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4389BD" w14:textId="77777777" w:rsidR="0086236E" w:rsidRPr="00C17724" w:rsidRDefault="0086236E" w:rsidP="00C17724">
      <w:pPr>
        <w:pBdr>
          <w:top w:val="nil"/>
          <w:left w:val="nil"/>
          <w:bottom w:val="nil"/>
          <w:right w:val="nil"/>
          <w:between w:val="nil"/>
        </w:pBdr>
        <w:spacing w:before="38"/>
        <w:jc w:val="center"/>
        <w:rPr>
          <w:b/>
          <w:sz w:val="26"/>
          <w:szCs w:val="26"/>
        </w:rPr>
      </w:pPr>
      <w:r w:rsidRPr="00C17724">
        <w:rPr>
          <w:b/>
          <w:sz w:val="26"/>
          <w:szCs w:val="26"/>
        </w:rPr>
        <w:t xml:space="preserve">LITERASI HAK ASASI MANUSIA DALAM KURIKULUM PENDIDIKAN KEWARGANEGARAAN DI PERGURUAN TINGGI </w:t>
      </w:r>
    </w:p>
    <w:p w14:paraId="310809B4" w14:textId="77777777" w:rsidR="0086236E" w:rsidRPr="00C17724" w:rsidRDefault="0086236E" w:rsidP="00C17724">
      <w:pPr>
        <w:pBdr>
          <w:top w:val="nil"/>
          <w:left w:val="nil"/>
          <w:bottom w:val="nil"/>
          <w:right w:val="nil"/>
          <w:between w:val="nil"/>
        </w:pBdr>
        <w:spacing w:before="38"/>
        <w:jc w:val="center"/>
        <w:rPr>
          <w:sz w:val="26"/>
          <w:szCs w:val="26"/>
        </w:rPr>
      </w:pPr>
      <w:r w:rsidRPr="00C17724">
        <w:rPr>
          <w:sz w:val="26"/>
          <w:szCs w:val="26"/>
        </w:rPr>
        <w:t>(</w:t>
      </w:r>
      <w:r w:rsidRPr="00C17724">
        <w:rPr>
          <w:b/>
          <w:i/>
          <w:sz w:val="26"/>
          <w:szCs w:val="26"/>
        </w:rPr>
        <w:t>Human Rights Literacy in the Curriculum of Citizenship Education in Indonesia Higher Education</w:t>
      </w:r>
      <w:r w:rsidRPr="00C17724">
        <w:rPr>
          <w:sz w:val="26"/>
          <w:szCs w:val="26"/>
        </w:rPr>
        <w:t>)</w:t>
      </w:r>
    </w:p>
    <w:p w14:paraId="1C690367" w14:textId="77777777" w:rsidR="0086236E" w:rsidRDefault="0086236E" w:rsidP="0086236E">
      <w:pPr>
        <w:pBdr>
          <w:top w:val="nil"/>
          <w:left w:val="nil"/>
          <w:bottom w:val="nil"/>
          <w:right w:val="nil"/>
          <w:between w:val="nil"/>
        </w:pBdr>
        <w:jc w:val="center"/>
        <w:rPr>
          <w:sz w:val="28"/>
          <w:szCs w:val="28"/>
        </w:rPr>
      </w:pPr>
    </w:p>
    <w:p w14:paraId="03B44510" w14:textId="77777777" w:rsidR="0086236E" w:rsidRPr="00C17724" w:rsidRDefault="0086236E" w:rsidP="00C17724">
      <w:pPr>
        <w:pBdr>
          <w:top w:val="nil"/>
          <w:left w:val="nil"/>
          <w:bottom w:val="nil"/>
          <w:right w:val="nil"/>
          <w:between w:val="nil"/>
        </w:pBdr>
        <w:spacing w:before="11"/>
        <w:jc w:val="center"/>
        <w:rPr>
          <w:b/>
          <w:color w:val="000000"/>
          <w:sz w:val="24"/>
          <w:szCs w:val="24"/>
        </w:rPr>
      </w:pPr>
      <w:r>
        <w:rPr>
          <w:b/>
          <w:color w:val="000000"/>
          <w:sz w:val="24"/>
          <w:szCs w:val="24"/>
        </w:rPr>
        <w:t>M</w:t>
      </w:r>
      <w:r w:rsidRPr="00C17724">
        <w:rPr>
          <w:b/>
          <w:color w:val="000000"/>
          <w:sz w:val="24"/>
          <w:szCs w:val="24"/>
        </w:rPr>
        <w:t>ajda El Muhtaj; M. Fahmi Siregar; Reh Bungana Beru PA; Fazli Rachman</w:t>
      </w:r>
    </w:p>
    <w:p w14:paraId="35CA2498" w14:textId="77777777" w:rsidR="0086236E" w:rsidRPr="00C17724" w:rsidRDefault="0086236E" w:rsidP="00C17724">
      <w:pPr>
        <w:pBdr>
          <w:top w:val="nil"/>
          <w:left w:val="nil"/>
          <w:bottom w:val="nil"/>
          <w:right w:val="nil"/>
          <w:between w:val="nil"/>
        </w:pBdr>
        <w:spacing w:before="11"/>
        <w:jc w:val="center"/>
        <w:rPr>
          <w:b/>
          <w:color w:val="000000"/>
          <w:sz w:val="24"/>
          <w:szCs w:val="24"/>
        </w:rPr>
      </w:pPr>
      <w:r w:rsidRPr="00C17724">
        <w:rPr>
          <w:b/>
          <w:color w:val="000000"/>
          <w:sz w:val="24"/>
          <w:szCs w:val="24"/>
        </w:rPr>
        <w:t xml:space="preserve">Fakultas Ilmu Sosial </w:t>
      </w:r>
    </w:p>
    <w:p w14:paraId="26EAB463" w14:textId="77777777" w:rsidR="0086236E" w:rsidRPr="00C17724" w:rsidRDefault="0086236E" w:rsidP="00C17724">
      <w:pPr>
        <w:pBdr>
          <w:top w:val="nil"/>
          <w:left w:val="nil"/>
          <w:bottom w:val="nil"/>
          <w:right w:val="nil"/>
          <w:between w:val="nil"/>
        </w:pBdr>
        <w:spacing w:before="11"/>
        <w:jc w:val="center"/>
        <w:rPr>
          <w:b/>
          <w:color w:val="000000"/>
          <w:sz w:val="24"/>
          <w:szCs w:val="24"/>
        </w:rPr>
      </w:pPr>
      <w:r w:rsidRPr="00C17724">
        <w:rPr>
          <w:b/>
          <w:color w:val="000000"/>
          <w:sz w:val="24"/>
          <w:szCs w:val="24"/>
        </w:rPr>
        <w:t>Universitas Negeri Medan, Medan</w:t>
      </w:r>
    </w:p>
    <w:p w14:paraId="47E4AB11" w14:textId="145ECA7D" w:rsidR="0086236E" w:rsidRPr="00C17724" w:rsidRDefault="001140F2" w:rsidP="00C17724">
      <w:pPr>
        <w:pBdr>
          <w:top w:val="nil"/>
          <w:left w:val="nil"/>
          <w:bottom w:val="nil"/>
          <w:right w:val="nil"/>
          <w:between w:val="nil"/>
        </w:pBdr>
        <w:spacing w:before="11"/>
        <w:jc w:val="center"/>
        <w:rPr>
          <w:b/>
          <w:sz w:val="24"/>
          <w:szCs w:val="24"/>
        </w:rPr>
      </w:pPr>
      <w:hyperlink r:id="rId8">
        <w:r w:rsidR="0086236E" w:rsidRPr="00C17724">
          <w:rPr>
            <w:b/>
            <w:sz w:val="24"/>
            <w:szCs w:val="24"/>
          </w:rPr>
          <w:t>elmuhtaj.73@gmail.com</w:t>
        </w:r>
      </w:hyperlink>
    </w:p>
    <w:p w14:paraId="7731FA1F" w14:textId="77777777" w:rsidR="00C17724" w:rsidRPr="00361BAE" w:rsidRDefault="00C17724" w:rsidP="00C17724">
      <w:pPr>
        <w:pBdr>
          <w:top w:val="nil"/>
          <w:left w:val="nil"/>
          <w:bottom w:val="nil"/>
          <w:right w:val="nil"/>
          <w:between w:val="nil"/>
        </w:pBdr>
        <w:spacing w:before="11"/>
        <w:jc w:val="center"/>
        <w:rPr>
          <w:sz w:val="28"/>
          <w:szCs w:val="28"/>
          <w:lang w:val="id-ID"/>
        </w:rPr>
      </w:pPr>
    </w:p>
    <w:p w14:paraId="2A8396A0" w14:textId="77777777" w:rsidR="00D300BA" w:rsidRDefault="00D300BA" w:rsidP="00D300BA">
      <w:pPr>
        <w:jc w:val="center"/>
        <w:rPr>
          <w:b/>
          <w:i/>
          <w:sz w:val="24"/>
          <w:szCs w:val="24"/>
        </w:rPr>
      </w:pPr>
      <w:r>
        <w:rPr>
          <w:b/>
          <w:i/>
          <w:sz w:val="24"/>
          <w:szCs w:val="24"/>
        </w:rPr>
        <w:t>ABSTRACT</w:t>
      </w:r>
    </w:p>
    <w:p w14:paraId="15363DBC" w14:textId="77777777" w:rsidR="00D300BA" w:rsidRDefault="00D300BA" w:rsidP="00D300BA">
      <w:pPr>
        <w:widowControl w:val="0"/>
        <w:autoSpaceDE w:val="0"/>
        <w:autoSpaceDN w:val="0"/>
        <w:adjustRightInd w:val="0"/>
        <w:ind w:right="49"/>
        <w:jc w:val="both"/>
        <w:rPr>
          <w:i/>
        </w:rPr>
      </w:pPr>
      <w:r w:rsidRPr="004A31A1">
        <w:rPr>
          <w:i/>
        </w:rPr>
        <w:t>Law No. 12 of 2003 concerning National Education System</w:t>
      </w:r>
      <w:r w:rsidRPr="004A31A1">
        <w:t xml:space="preserve"> </w:t>
      </w:r>
      <w:r w:rsidRPr="004A31A1">
        <w:rPr>
          <w:i/>
        </w:rPr>
        <w:t>and Law No. 12 of 2012 concerning Higher Education stated that there are four national obligatory subjects</w:t>
      </w:r>
      <w:r w:rsidR="007D2123">
        <w:rPr>
          <w:i/>
        </w:rPr>
        <w:t xml:space="preserve"> of knowledge</w:t>
      </w:r>
      <w:r w:rsidR="007D2123" w:rsidRPr="007D2123">
        <w:rPr>
          <w:i/>
        </w:rPr>
        <w:t xml:space="preserve"> </w:t>
      </w:r>
      <w:r w:rsidR="007D2123" w:rsidRPr="004A31A1">
        <w:rPr>
          <w:i/>
        </w:rPr>
        <w:t>must be taught to all Indonesian students</w:t>
      </w:r>
      <w:r w:rsidRPr="004A31A1">
        <w:t xml:space="preserve">, </w:t>
      </w:r>
      <w:r w:rsidRPr="004A31A1">
        <w:rPr>
          <w:i/>
        </w:rPr>
        <w:t xml:space="preserve">namely </w:t>
      </w:r>
      <w:r>
        <w:rPr>
          <w:i/>
        </w:rPr>
        <w:t>Agama</w:t>
      </w:r>
      <w:r w:rsidRPr="004A31A1">
        <w:t xml:space="preserve">, </w:t>
      </w:r>
      <w:r w:rsidRPr="004A31A1">
        <w:rPr>
          <w:i/>
        </w:rPr>
        <w:t>Pancasila</w:t>
      </w:r>
      <w:r w:rsidRPr="004A31A1">
        <w:t xml:space="preserve">, </w:t>
      </w:r>
      <w:r w:rsidRPr="004A31A1">
        <w:rPr>
          <w:i/>
        </w:rPr>
        <w:t>Bahasa Indonesia</w:t>
      </w:r>
      <w:r w:rsidRPr="004A31A1">
        <w:t xml:space="preserve">, </w:t>
      </w:r>
      <w:r w:rsidRPr="004A31A1">
        <w:rPr>
          <w:i/>
        </w:rPr>
        <w:t xml:space="preserve">and </w:t>
      </w:r>
      <w:r>
        <w:rPr>
          <w:i/>
        </w:rPr>
        <w:t>Pendidikan Kewarganegaraan</w:t>
      </w:r>
      <w:r w:rsidR="007D2123">
        <w:t xml:space="preserve">. </w:t>
      </w:r>
      <w:r w:rsidRPr="004A31A1">
        <w:rPr>
          <w:i/>
        </w:rPr>
        <w:t xml:space="preserve">The subject of </w:t>
      </w:r>
      <w:r w:rsidR="007D2123">
        <w:rPr>
          <w:i/>
        </w:rPr>
        <w:t>Pendidikan Kewarganegaraan</w:t>
      </w:r>
      <w:r w:rsidR="007D2123" w:rsidRPr="004A31A1">
        <w:rPr>
          <w:i/>
        </w:rPr>
        <w:t xml:space="preserve"> </w:t>
      </w:r>
      <w:r w:rsidR="007D2123">
        <w:t>(</w:t>
      </w:r>
      <w:r w:rsidR="007D2123" w:rsidRPr="007D2123">
        <w:rPr>
          <w:i/>
        </w:rPr>
        <w:t>citizenship education</w:t>
      </w:r>
      <w:r w:rsidR="007D2123">
        <w:rPr>
          <w:i/>
        </w:rPr>
        <w:t>/</w:t>
      </w:r>
      <w:r w:rsidRPr="004A31A1">
        <w:rPr>
          <w:i/>
        </w:rPr>
        <w:t>PKn</w:t>
      </w:r>
      <w:r w:rsidR="007D2123">
        <w:t>)</w:t>
      </w:r>
      <w:r w:rsidRPr="004A31A1">
        <w:rPr>
          <w:i/>
        </w:rPr>
        <w:t xml:space="preserve"> is obviously believed could be able to increase the highly awareness of the Indonesian national </w:t>
      </w:r>
      <w:r w:rsidR="007D2123">
        <w:rPr>
          <w:i/>
        </w:rPr>
        <w:t>character</w:t>
      </w:r>
      <w:r w:rsidRPr="004A31A1">
        <w:rPr>
          <w:i/>
        </w:rPr>
        <w:t xml:space="preserve"> and patriotic to homeland and of the Unitary State of Republic of Indonesia</w:t>
      </w:r>
      <w:r w:rsidRPr="004A31A1">
        <w:t xml:space="preserve">. </w:t>
      </w:r>
      <w:r w:rsidRPr="004A31A1">
        <w:rPr>
          <w:i/>
        </w:rPr>
        <w:t xml:space="preserve">This article aims to systematically examine the curriculum of </w:t>
      </w:r>
      <w:r w:rsidR="007D2123">
        <w:rPr>
          <w:i/>
        </w:rPr>
        <w:t>PKn</w:t>
      </w:r>
      <w:r w:rsidRPr="004A31A1">
        <w:rPr>
          <w:i/>
        </w:rPr>
        <w:t xml:space="preserve"> in related to reconstruct the remarkable efforts in building a democratic citizenship</w:t>
      </w:r>
      <w:r w:rsidR="0063241D">
        <w:rPr>
          <w:i/>
        </w:rPr>
        <w:t xml:space="preserve"> with human rights education</w:t>
      </w:r>
      <w:r w:rsidRPr="004A31A1">
        <w:rPr>
          <w:i/>
        </w:rPr>
        <w:t>. By means of qualitative method and normative-analytical approach, this article explain</w:t>
      </w:r>
      <w:r w:rsidR="007D2123">
        <w:rPr>
          <w:i/>
        </w:rPr>
        <w:t>s</w:t>
      </w:r>
      <w:r w:rsidRPr="004A31A1">
        <w:rPr>
          <w:i/>
        </w:rPr>
        <w:t xml:space="preserve"> the relationship between human rights </w:t>
      </w:r>
      <w:r w:rsidR="007D2123">
        <w:rPr>
          <w:i/>
        </w:rPr>
        <w:t xml:space="preserve">literacy </w:t>
      </w:r>
      <w:r w:rsidRPr="004A31A1">
        <w:rPr>
          <w:i/>
        </w:rPr>
        <w:t xml:space="preserve">and democratic citizenship through the curriculum of </w:t>
      </w:r>
      <w:r w:rsidR="00F80DA4">
        <w:rPr>
          <w:i/>
        </w:rPr>
        <w:t>PKn</w:t>
      </w:r>
      <w:r w:rsidRPr="004A31A1">
        <w:rPr>
          <w:i/>
        </w:rPr>
        <w:t xml:space="preserve"> in Indonesian higher education</w:t>
      </w:r>
      <w:r w:rsidR="007D2123">
        <w:t xml:space="preserve">. </w:t>
      </w:r>
      <w:r w:rsidRPr="004A31A1">
        <w:rPr>
          <w:i/>
        </w:rPr>
        <w:t>In conclusion</w:t>
      </w:r>
      <w:r w:rsidRPr="004A31A1">
        <w:t xml:space="preserve">, </w:t>
      </w:r>
      <w:r w:rsidRPr="004A31A1">
        <w:rPr>
          <w:i/>
        </w:rPr>
        <w:t xml:space="preserve">improvement and strengthening of human rights literacy paradigm are </w:t>
      </w:r>
      <w:r w:rsidR="00797AAC">
        <w:rPr>
          <w:i/>
        </w:rPr>
        <w:t xml:space="preserve">indispensable </w:t>
      </w:r>
      <w:r w:rsidRPr="004A31A1">
        <w:rPr>
          <w:i/>
        </w:rPr>
        <w:t>solutions to build a democratic citizenship</w:t>
      </w:r>
      <w:r w:rsidRPr="004A31A1">
        <w:t xml:space="preserve">. </w:t>
      </w:r>
      <w:r w:rsidRPr="004A31A1">
        <w:rPr>
          <w:i/>
        </w:rPr>
        <w:t xml:space="preserve">Finally, the paradigm shift of curriculum of citizenship education must be evaluated and embedded with human rights literacy efforts in the advancement of living of democratic citizenship particularly in the students as a young Indonesian citizen. </w:t>
      </w:r>
    </w:p>
    <w:p w14:paraId="5CEB2552" w14:textId="77777777" w:rsidR="001F44A9" w:rsidRPr="001F44A9" w:rsidRDefault="001F44A9" w:rsidP="00D300BA">
      <w:pPr>
        <w:widowControl w:val="0"/>
        <w:autoSpaceDE w:val="0"/>
        <w:autoSpaceDN w:val="0"/>
        <w:adjustRightInd w:val="0"/>
        <w:ind w:right="49"/>
        <w:jc w:val="both"/>
        <w:rPr>
          <w:b/>
          <w:i/>
        </w:rPr>
      </w:pPr>
      <w:r w:rsidRPr="001F44A9">
        <w:rPr>
          <w:b/>
          <w:i/>
        </w:rPr>
        <w:t>Keywords: human rights; human rights literacy; citizenship education.</w:t>
      </w:r>
    </w:p>
    <w:p w14:paraId="585E36AD" w14:textId="77777777" w:rsidR="00932DB5" w:rsidRDefault="00932DB5" w:rsidP="00D300BA">
      <w:pPr>
        <w:jc w:val="center"/>
        <w:rPr>
          <w:b/>
          <w:i/>
          <w:sz w:val="24"/>
          <w:szCs w:val="24"/>
        </w:rPr>
      </w:pPr>
    </w:p>
    <w:p w14:paraId="316474B9" w14:textId="77777777" w:rsidR="00D300BA" w:rsidRDefault="00D300BA" w:rsidP="00D300BA">
      <w:pPr>
        <w:jc w:val="center"/>
        <w:rPr>
          <w:b/>
          <w:i/>
          <w:sz w:val="24"/>
          <w:szCs w:val="24"/>
        </w:rPr>
      </w:pPr>
      <w:r>
        <w:rPr>
          <w:b/>
          <w:i/>
          <w:sz w:val="24"/>
          <w:szCs w:val="24"/>
        </w:rPr>
        <w:t>ABSTRAK</w:t>
      </w:r>
    </w:p>
    <w:p w14:paraId="75DEA9EE" w14:textId="77777777" w:rsidR="00D300BA" w:rsidRDefault="00D300BA" w:rsidP="00D300BA">
      <w:pPr>
        <w:jc w:val="both"/>
      </w:pPr>
      <w:r w:rsidRPr="004A31A1">
        <w:t>UU No. 12 Tahun 2003 tentang Sistem Pendidikan Nasional dan UU No. 12 tentang Pendidikan Tinggi menetapkan empat mata kuliah wajib nasional, yakni mata kuliah Agama, Bahasa Indonesia</w:t>
      </w:r>
      <w:r>
        <w:t xml:space="preserve">, </w:t>
      </w:r>
      <w:r w:rsidRPr="004A31A1">
        <w:t xml:space="preserve">Pancasila, dan PKn wajib diajarkan kepada mahasiswa di seluruh Indonesia. Mata kuliah PKn diyakini mampu meningkatkan kesadaran yang tinggi terhadap identitas nasional dan memiliki jiwa patriot terhadap tanah air. Dengan menggunakan metode kualitatif dan pendekatan analisis normatif </w:t>
      </w:r>
      <w:r w:rsidR="00356AAE">
        <w:t xml:space="preserve">tulisan </w:t>
      </w:r>
      <w:r w:rsidRPr="004A31A1">
        <w:t xml:space="preserve">ini bertujuan untuk mengkaji hubungan hak asasi manusia dan kewarganegaran demokratis melalui kurikulum PKn. Kesimpulannya, perbaikan dan penguatan kurikulum PKn harus dilakukan secara sistematis dan berkesinambungan dengan berpijak pada paradigma membangun kecerdasan hak asasi manusia. </w:t>
      </w:r>
      <w:r w:rsidR="00600A63">
        <w:t>P</w:t>
      </w:r>
      <w:r w:rsidRPr="004A31A1">
        <w:t xml:space="preserve">ergeseran paradigma kurikulum PKn wajib dievaluasi dan dilekatkan dengan upaya-upaya kecerdasan hak asasi manusia dalam peningkatan kehidupan kewaraganegaraan demokratis khususnya bagi mahasiswa sebagai warga negara muda Indonesia. </w:t>
      </w:r>
    </w:p>
    <w:p w14:paraId="4CB7B8AD" w14:textId="77777777" w:rsidR="004F4708" w:rsidRDefault="001F44A9" w:rsidP="00D300BA">
      <w:pPr>
        <w:jc w:val="both"/>
        <w:rPr>
          <w:b/>
        </w:rPr>
      </w:pPr>
      <w:r w:rsidRPr="001F44A9">
        <w:rPr>
          <w:b/>
        </w:rPr>
        <w:t>Kata Kunci: hak asasi manusia; literasi hak asasi manusia; pendidikan kewarganegaraan</w:t>
      </w:r>
      <w:r>
        <w:rPr>
          <w:b/>
        </w:rPr>
        <w:t>.</w:t>
      </w:r>
      <w:r w:rsidR="004F4708">
        <w:rPr>
          <w:b/>
        </w:rPr>
        <w:t xml:space="preserve"> </w:t>
      </w:r>
    </w:p>
    <w:p w14:paraId="561BCF63" w14:textId="77777777" w:rsidR="00774949" w:rsidRDefault="00774949" w:rsidP="00D300BA">
      <w:pPr>
        <w:jc w:val="both"/>
        <w:rPr>
          <w:b/>
        </w:rPr>
      </w:pPr>
    </w:p>
    <w:p w14:paraId="3F3492C6" w14:textId="77777777" w:rsidR="004F4708" w:rsidRDefault="004F4708" w:rsidP="00D300BA">
      <w:pPr>
        <w:jc w:val="both"/>
        <w:rPr>
          <w:b/>
        </w:rPr>
      </w:pPr>
    </w:p>
    <w:p w14:paraId="5EEF8C2C" w14:textId="77777777" w:rsidR="004F4708" w:rsidRDefault="004F4708" w:rsidP="00D300BA">
      <w:pPr>
        <w:jc w:val="both"/>
        <w:rPr>
          <w:b/>
        </w:rPr>
        <w:sectPr w:rsidR="004F4708" w:rsidSect="0086236E">
          <w:footerReference w:type="default" r:id="rId9"/>
          <w:pgSz w:w="12240" w:h="15840"/>
          <w:pgMar w:top="1582" w:right="822" w:bottom="278" w:left="1038" w:header="720" w:footer="720" w:gutter="0"/>
          <w:cols w:space="720"/>
          <w:docGrid w:linePitch="360"/>
        </w:sectPr>
      </w:pPr>
    </w:p>
    <w:p w14:paraId="64A3A3AE" w14:textId="77777777" w:rsidR="00D300BA" w:rsidRPr="00584F96" w:rsidRDefault="00D300BA" w:rsidP="00D300BA">
      <w:pPr>
        <w:jc w:val="both"/>
        <w:rPr>
          <w:b/>
          <w:sz w:val="24"/>
          <w:szCs w:val="24"/>
          <w:lang w:val="nb-NO"/>
        </w:rPr>
      </w:pPr>
      <w:r w:rsidRPr="00584F96">
        <w:rPr>
          <w:b/>
          <w:sz w:val="24"/>
          <w:szCs w:val="24"/>
          <w:lang w:val="nb-NO"/>
        </w:rPr>
        <w:t xml:space="preserve">PENDAHULUAN </w:t>
      </w:r>
    </w:p>
    <w:p w14:paraId="4348DFFF" w14:textId="77777777" w:rsidR="004F5EC0" w:rsidRPr="004F4708" w:rsidRDefault="00E21CD9" w:rsidP="004F4708">
      <w:pPr>
        <w:ind w:firstLine="567"/>
        <w:jc w:val="both"/>
        <w:rPr>
          <w:szCs w:val="26"/>
          <w:lang w:val="nb-NO"/>
        </w:rPr>
      </w:pPr>
      <w:r w:rsidRPr="004F4708">
        <w:rPr>
          <w:szCs w:val="26"/>
          <w:lang w:val="nb-NO"/>
        </w:rPr>
        <w:t xml:space="preserve">Pendidikan diakui sebagai investasi besar untuk membangun dan mengembangkan karakter kehidupan </w:t>
      </w:r>
      <w:r w:rsidRPr="004F4708">
        <w:rPr>
          <w:szCs w:val="26"/>
          <w:lang w:val="nb-NO"/>
        </w:rPr>
        <w:t xml:space="preserve">bangsa. Begitu pentingnya keberadaan </w:t>
      </w:r>
      <w:r w:rsidR="004B405B" w:rsidRPr="004F4708">
        <w:rPr>
          <w:szCs w:val="26"/>
          <w:lang w:val="nb-NO"/>
        </w:rPr>
        <w:t xml:space="preserve">dan peran </w:t>
      </w:r>
      <w:r w:rsidRPr="004F4708">
        <w:rPr>
          <w:szCs w:val="26"/>
          <w:lang w:val="nb-NO"/>
        </w:rPr>
        <w:t xml:space="preserve">pendidikan karena berkaitan erat dengan kemartabatan manusia, maka hak atas pendidikan merupakan hak </w:t>
      </w:r>
      <w:r w:rsidRPr="004F4708">
        <w:rPr>
          <w:szCs w:val="26"/>
          <w:lang w:val="nb-NO"/>
        </w:rPr>
        <w:lastRenderedPageBreak/>
        <w:t>asasi manusia (HAM).</w:t>
      </w:r>
      <w:r w:rsidR="00052AEA" w:rsidRPr="004F4708">
        <w:rPr>
          <w:rStyle w:val="FootnoteReference"/>
          <w:szCs w:val="26"/>
          <w:lang w:val="nb-NO"/>
        </w:rPr>
        <w:footnoteReference w:id="1"/>
      </w:r>
      <w:r w:rsidR="00052AEA" w:rsidRPr="004F4708">
        <w:rPr>
          <w:szCs w:val="26"/>
          <w:lang w:val="nb-NO"/>
        </w:rPr>
        <w:t xml:space="preserve"> </w:t>
      </w:r>
      <w:r w:rsidR="00FB37EA" w:rsidRPr="004F4708">
        <w:rPr>
          <w:szCs w:val="26"/>
          <w:lang w:val="nb-NO"/>
        </w:rPr>
        <w:t xml:space="preserve">Pendidikan adalah </w:t>
      </w:r>
      <w:r w:rsidR="006E77E5" w:rsidRPr="004F4708">
        <w:rPr>
          <w:szCs w:val="26"/>
          <w:lang w:val="nb-NO"/>
        </w:rPr>
        <w:t>hak</w:t>
      </w:r>
      <w:r w:rsidR="00FB37EA" w:rsidRPr="004F4708">
        <w:rPr>
          <w:szCs w:val="26"/>
          <w:lang w:val="nb-NO"/>
        </w:rPr>
        <w:t xml:space="preserve"> dan pendidikan juga sarana </w:t>
      </w:r>
      <w:r w:rsidR="00351010" w:rsidRPr="004F4708">
        <w:rPr>
          <w:szCs w:val="26"/>
          <w:lang w:val="nb-NO"/>
        </w:rPr>
        <w:t>utama (</w:t>
      </w:r>
      <w:r w:rsidR="00351010" w:rsidRPr="004F4708">
        <w:rPr>
          <w:i/>
          <w:szCs w:val="26"/>
          <w:lang w:val="nb-NO"/>
        </w:rPr>
        <w:t>indispensable means</w:t>
      </w:r>
      <w:r w:rsidR="00351010" w:rsidRPr="004F4708">
        <w:rPr>
          <w:szCs w:val="26"/>
          <w:lang w:val="nb-NO"/>
        </w:rPr>
        <w:t>)</w:t>
      </w:r>
      <w:r w:rsidR="00351010" w:rsidRPr="004F4708">
        <w:rPr>
          <w:i/>
          <w:szCs w:val="26"/>
          <w:lang w:val="nb-NO"/>
        </w:rPr>
        <w:t xml:space="preserve"> </w:t>
      </w:r>
      <w:r w:rsidR="006E1AD0" w:rsidRPr="004F4708">
        <w:rPr>
          <w:szCs w:val="26"/>
          <w:lang w:val="nb-NO"/>
        </w:rPr>
        <w:t xml:space="preserve">untuk </w:t>
      </w:r>
      <w:r w:rsidR="00FB37EA" w:rsidRPr="004F4708">
        <w:rPr>
          <w:szCs w:val="26"/>
          <w:lang w:val="nb-NO"/>
        </w:rPr>
        <w:t>me</w:t>
      </w:r>
      <w:r w:rsidR="00351010" w:rsidRPr="004F4708">
        <w:rPr>
          <w:szCs w:val="26"/>
          <w:lang w:val="nb-NO"/>
        </w:rPr>
        <w:t xml:space="preserve">ncapai </w:t>
      </w:r>
      <w:r w:rsidR="00FB37EA" w:rsidRPr="004F4708">
        <w:rPr>
          <w:szCs w:val="26"/>
          <w:lang w:val="nb-NO"/>
        </w:rPr>
        <w:t>HAM yang lain.</w:t>
      </w:r>
      <w:r w:rsidR="00052AEA" w:rsidRPr="004F4708">
        <w:rPr>
          <w:rStyle w:val="FootnoteReference"/>
          <w:szCs w:val="26"/>
          <w:lang w:val="nb-NO"/>
        </w:rPr>
        <w:footnoteReference w:id="2"/>
      </w:r>
    </w:p>
    <w:p w14:paraId="31B63ADA" w14:textId="77777777" w:rsidR="004F5EC0" w:rsidRPr="004F4708" w:rsidRDefault="004B405B" w:rsidP="004F4708">
      <w:pPr>
        <w:ind w:firstLine="567"/>
        <w:jc w:val="both"/>
        <w:rPr>
          <w:iCs/>
          <w:szCs w:val="26"/>
          <w:lang w:val="nb-NO"/>
        </w:rPr>
      </w:pPr>
      <w:r w:rsidRPr="004F4708">
        <w:rPr>
          <w:szCs w:val="26"/>
          <w:lang w:val="nb-NO"/>
        </w:rPr>
        <w:t xml:space="preserve">Instrumen HAM internasional </w:t>
      </w:r>
      <w:r w:rsidR="001F563A" w:rsidRPr="004F4708">
        <w:rPr>
          <w:szCs w:val="26"/>
          <w:lang w:val="nb-NO"/>
        </w:rPr>
        <w:t xml:space="preserve">di antaranya </w:t>
      </w:r>
      <w:r w:rsidRPr="004F4708">
        <w:rPr>
          <w:szCs w:val="26"/>
          <w:lang w:val="nb-NO"/>
        </w:rPr>
        <w:t>melalui ketentuan Pa</w:t>
      </w:r>
      <w:r w:rsidR="00C47865" w:rsidRPr="004F4708">
        <w:rPr>
          <w:szCs w:val="26"/>
          <w:lang w:val="nb-NO"/>
        </w:rPr>
        <w:t>s</w:t>
      </w:r>
      <w:r w:rsidRPr="004F4708">
        <w:rPr>
          <w:szCs w:val="26"/>
          <w:lang w:val="nb-NO"/>
        </w:rPr>
        <w:t>al 13 ayat (1) ICESCR</w:t>
      </w:r>
      <w:r w:rsidR="00052AEA" w:rsidRPr="004F4708">
        <w:rPr>
          <w:rStyle w:val="FootnoteReference"/>
          <w:szCs w:val="26"/>
          <w:lang w:val="nb-NO"/>
        </w:rPr>
        <w:footnoteReference w:id="3"/>
      </w:r>
      <w:r w:rsidRPr="004F4708">
        <w:rPr>
          <w:szCs w:val="26"/>
          <w:lang w:val="nb-NO"/>
        </w:rPr>
        <w:t xml:space="preserve"> menyatakan bahwa hak atas pendidikan </w:t>
      </w:r>
      <w:r w:rsidR="00C47865" w:rsidRPr="004F4708">
        <w:rPr>
          <w:szCs w:val="26"/>
          <w:lang w:val="nb-NO"/>
        </w:rPr>
        <w:t xml:space="preserve">adalah </w:t>
      </w:r>
      <w:r w:rsidRPr="004F4708">
        <w:rPr>
          <w:szCs w:val="26"/>
          <w:lang w:val="nb-NO"/>
        </w:rPr>
        <w:t>hak medasar bagi setiap orang</w:t>
      </w:r>
      <w:r w:rsidR="00583967" w:rsidRPr="004F4708">
        <w:rPr>
          <w:szCs w:val="26"/>
          <w:lang w:val="nb-NO"/>
        </w:rPr>
        <w:t xml:space="preserve"> dan ditujukan untuk mengembangkan kem</w:t>
      </w:r>
      <w:r w:rsidR="001F563A" w:rsidRPr="004F4708">
        <w:rPr>
          <w:szCs w:val="26"/>
          <w:lang w:val="nb-NO"/>
        </w:rPr>
        <w:t>a</w:t>
      </w:r>
      <w:r w:rsidR="00583967" w:rsidRPr="004F4708">
        <w:rPr>
          <w:szCs w:val="26"/>
          <w:lang w:val="nb-NO"/>
        </w:rPr>
        <w:t>mpuan manusia seutuhnya</w:t>
      </w:r>
      <w:r w:rsidR="00C47865" w:rsidRPr="004F4708">
        <w:rPr>
          <w:szCs w:val="26"/>
          <w:lang w:val="nb-NO"/>
        </w:rPr>
        <w:t xml:space="preserve">. </w:t>
      </w:r>
      <w:r w:rsidR="00E21CD9" w:rsidRPr="004F4708">
        <w:rPr>
          <w:szCs w:val="26"/>
          <w:lang w:val="nb-NO"/>
        </w:rPr>
        <w:t>Selain itu, hak atas pendidikan telah digariskan sebagai hak konstitusional</w:t>
      </w:r>
      <w:r w:rsidR="00C47865" w:rsidRPr="004F4708">
        <w:rPr>
          <w:szCs w:val="26"/>
          <w:lang w:val="nb-NO"/>
        </w:rPr>
        <w:t>,</w:t>
      </w:r>
      <w:r w:rsidR="00E21CD9" w:rsidRPr="004F4708">
        <w:rPr>
          <w:szCs w:val="26"/>
          <w:lang w:val="nb-NO"/>
        </w:rPr>
        <w:t xml:space="preserve"> sebagaimana dimaktubkan dalam Pasal 31 ayat (1) UUDNRI Tahun 1945 yang berbunyi </w:t>
      </w:r>
      <w:r w:rsidR="00E21CD9" w:rsidRPr="004F4708">
        <w:rPr>
          <w:iCs/>
          <w:szCs w:val="26"/>
          <w:lang w:val="nb-NO"/>
        </w:rPr>
        <w:t xml:space="preserve">setiap warga negara berhak mendapatkan pendidikan. </w:t>
      </w:r>
      <w:r w:rsidR="00826D5D" w:rsidRPr="004F4708">
        <w:rPr>
          <w:iCs/>
          <w:szCs w:val="26"/>
          <w:lang w:val="nb-NO"/>
        </w:rPr>
        <w:t>Hal yang sama juga dikuatkan dengan ketentuan Pasal 12 U</w:t>
      </w:r>
      <w:r w:rsidR="004F5EC0" w:rsidRPr="004F4708">
        <w:rPr>
          <w:iCs/>
          <w:szCs w:val="26"/>
          <w:lang w:val="nb-NO"/>
        </w:rPr>
        <w:t>U No. 39 Tahun 1999 tentang HAM</w:t>
      </w:r>
    </w:p>
    <w:p w14:paraId="51511242" w14:textId="77777777" w:rsidR="004F5EC0" w:rsidRPr="004F4708" w:rsidRDefault="00D300BA" w:rsidP="004F4708">
      <w:pPr>
        <w:ind w:firstLine="567"/>
        <w:jc w:val="both"/>
        <w:rPr>
          <w:szCs w:val="26"/>
          <w:lang w:val="nb-NO"/>
        </w:rPr>
      </w:pPr>
      <w:r w:rsidRPr="004F4708">
        <w:rPr>
          <w:szCs w:val="26"/>
        </w:rPr>
        <w:t>Dalam kaitan</w:t>
      </w:r>
      <w:r w:rsidR="00E10A0C" w:rsidRPr="004F4708">
        <w:rPr>
          <w:szCs w:val="26"/>
        </w:rPr>
        <w:t xml:space="preserve"> itu, </w:t>
      </w:r>
      <w:r w:rsidR="004A19C3" w:rsidRPr="004F4708">
        <w:rPr>
          <w:szCs w:val="26"/>
        </w:rPr>
        <w:t xml:space="preserve">ketentuan Paal 4 ayat (1) </w:t>
      </w:r>
      <w:r w:rsidRPr="004F4708">
        <w:rPr>
          <w:szCs w:val="26"/>
        </w:rPr>
        <w:t xml:space="preserve">UU </w:t>
      </w:r>
      <w:r w:rsidR="00E10A0C" w:rsidRPr="004F4708">
        <w:rPr>
          <w:szCs w:val="26"/>
        </w:rPr>
        <w:t xml:space="preserve">No. </w:t>
      </w:r>
      <w:r w:rsidR="00826D5D" w:rsidRPr="004F4708">
        <w:rPr>
          <w:szCs w:val="26"/>
        </w:rPr>
        <w:t>2</w:t>
      </w:r>
      <w:r w:rsidR="00E10A0C" w:rsidRPr="004F4708">
        <w:rPr>
          <w:szCs w:val="26"/>
        </w:rPr>
        <w:t>0</w:t>
      </w:r>
      <w:r w:rsidR="00826D5D" w:rsidRPr="004F4708">
        <w:rPr>
          <w:szCs w:val="26"/>
        </w:rPr>
        <w:t xml:space="preserve"> Tahun 2003 </w:t>
      </w:r>
      <w:r w:rsidR="00E10A0C" w:rsidRPr="004F4708">
        <w:rPr>
          <w:szCs w:val="26"/>
        </w:rPr>
        <w:t xml:space="preserve">tentang Sistem Pendidikan Nasional (UU Sisdiknas) </w:t>
      </w:r>
      <w:r w:rsidRPr="004F4708">
        <w:rPr>
          <w:szCs w:val="26"/>
        </w:rPr>
        <w:t>mene</w:t>
      </w:r>
      <w:r w:rsidR="004A19C3" w:rsidRPr="004F4708">
        <w:rPr>
          <w:szCs w:val="26"/>
        </w:rPr>
        <w:t xml:space="preserve">gaskan bahwa </w:t>
      </w:r>
      <w:r w:rsidRPr="004F4708">
        <w:rPr>
          <w:szCs w:val="26"/>
        </w:rPr>
        <w:t xml:space="preserve">pendidikan diselenggarakan secara demokratis dan berkeadilan serta tidak diskriminatif dengan menjunjung tinggi </w:t>
      </w:r>
      <w:r w:rsidR="004A19C3" w:rsidRPr="004F4708">
        <w:rPr>
          <w:szCs w:val="26"/>
        </w:rPr>
        <w:t xml:space="preserve">HAM, </w:t>
      </w:r>
      <w:r w:rsidRPr="004F4708">
        <w:rPr>
          <w:szCs w:val="26"/>
        </w:rPr>
        <w:t>nilai keagamaan, nilai kultural, dan kemajemukan bangsa. Sebagai prinsip</w:t>
      </w:r>
      <w:r w:rsidR="00C47865" w:rsidRPr="004F4708">
        <w:rPr>
          <w:szCs w:val="26"/>
        </w:rPr>
        <w:t xml:space="preserve">, maka sesungguhnya nilai dan </w:t>
      </w:r>
      <w:r w:rsidRPr="004F4708">
        <w:rPr>
          <w:szCs w:val="26"/>
        </w:rPr>
        <w:t xml:space="preserve">standar HAM menjadi bagian penting dalam penyelenggaraan proses pendidikan nasional di Indonesia. Dengan kata lain, HAM menjadi salah satu dasar </w:t>
      </w:r>
      <w:r w:rsidR="00512307" w:rsidRPr="004F4708">
        <w:rPr>
          <w:szCs w:val="26"/>
        </w:rPr>
        <w:t xml:space="preserve">penting </w:t>
      </w:r>
      <w:r w:rsidRPr="004F4708">
        <w:rPr>
          <w:szCs w:val="26"/>
        </w:rPr>
        <w:t xml:space="preserve">bagi tegaknya </w:t>
      </w:r>
      <w:r w:rsidR="00746049" w:rsidRPr="004F4708">
        <w:rPr>
          <w:szCs w:val="26"/>
        </w:rPr>
        <w:t xml:space="preserve">sistem </w:t>
      </w:r>
      <w:r w:rsidRPr="004F4708">
        <w:rPr>
          <w:szCs w:val="26"/>
        </w:rPr>
        <w:t xml:space="preserve">pendidikan nasional. </w:t>
      </w:r>
    </w:p>
    <w:p w14:paraId="62E3B01E" w14:textId="77777777" w:rsidR="004F5EC0" w:rsidRPr="004F4708" w:rsidRDefault="00D300BA" w:rsidP="004F4708">
      <w:pPr>
        <w:ind w:firstLine="567"/>
        <w:jc w:val="both"/>
        <w:rPr>
          <w:szCs w:val="26"/>
          <w:lang w:val="nb-NO"/>
        </w:rPr>
      </w:pPr>
      <w:r w:rsidRPr="004F4708">
        <w:rPr>
          <w:szCs w:val="26"/>
        </w:rPr>
        <w:t xml:space="preserve">Dalam kaitan dengan pendidikan tinggi sebagai bagian dari sistem pendidikan nasional, </w:t>
      </w:r>
      <w:r w:rsidR="001457CF" w:rsidRPr="004F4708">
        <w:rPr>
          <w:szCs w:val="26"/>
        </w:rPr>
        <w:t xml:space="preserve">ketentuan Pasal 6 </w:t>
      </w:r>
      <w:r w:rsidRPr="004F4708">
        <w:rPr>
          <w:szCs w:val="26"/>
        </w:rPr>
        <w:t xml:space="preserve">UU No. 12 Tahun 2012 tentang Pendidikan Tinggi (selanjutnya UU Dikti) menegaskan bahwa penyelenggaraan pendidikan tinggi didasarkan pada prinsip demokratis dan berkeadilan serta tidak diskriminatif dengan menjunjung tinggi HAM, nilai agama, nilai budaya, kemajemukan, persatuan, dan kesatuan bangsa. </w:t>
      </w:r>
    </w:p>
    <w:p w14:paraId="27985C58" w14:textId="77777777" w:rsidR="004F5EC0" w:rsidRPr="004F4708" w:rsidRDefault="00D300BA" w:rsidP="004F4708">
      <w:pPr>
        <w:ind w:firstLine="567"/>
        <w:jc w:val="both"/>
        <w:rPr>
          <w:szCs w:val="26"/>
        </w:rPr>
      </w:pPr>
      <w:r w:rsidRPr="004F4708">
        <w:rPr>
          <w:szCs w:val="26"/>
        </w:rPr>
        <w:t xml:space="preserve">Untuk menumbuhkembangkan pemahaman dan kesadaran HAM, maka </w:t>
      </w:r>
      <w:r w:rsidR="001457CF" w:rsidRPr="004F4708">
        <w:rPr>
          <w:szCs w:val="26"/>
        </w:rPr>
        <w:t xml:space="preserve">upaya </w:t>
      </w:r>
      <w:r w:rsidRPr="004F4708">
        <w:rPr>
          <w:szCs w:val="26"/>
        </w:rPr>
        <w:t xml:space="preserve">pendidikan HAM </w:t>
      </w:r>
      <w:r w:rsidR="001457CF" w:rsidRPr="004F4708">
        <w:rPr>
          <w:szCs w:val="26"/>
        </w:rPr>
        <w:t>(</w:t>
      </w:r>
      <w:r w:rsidR="001457CF" w:rsidRPr="004F4708">
        <w:rPr>
          <w:i/>
          <w:szCs w:val="26"/>
        </w:rPr>
        <w:t>human rights education</w:t>
      </w:r>
      <w:r w:rsidR="001457CF" w:rsidRPr="004F4708">
        <w:rPr>
          <w:szCs w:val="26"/>
        </w:rPr>
        <w:t>)</w:t>
      </w:r>
      <w:r w:rsidR="001457CF" w:rsidRPr="004F4708">
        <w:rPr>
          <w:i/>
          <w:szCs w:val="26"/>
        </w:rPr>
        <w:t xml:space="preserve"> </w:t>
      </w:r>
      <w:r w:rsidRPr="004F4708">
        <w:rPr>
          <w:szCs w:val="26"/>
        </w:rPr>
        <w:t>mutlak diketahui dan selanjutnya diimplementasikan dalam proses pembelajaran di setiap satuan pendidikan.</w:t>
      </w:r>
      <w:r w:rsidR="00052AEA" w:rsidRPr="004F4708">
        <w:rPr>
          <w:rStyle w:val="FootnoteReference"/>
          <w:szCs w:val="26"/>
        </w:rPr>
        <w:footnoteReference w:id="4"/>
      </w:r>
      <w:r w:rsidR="00271725" w:rsidRPr="004F4708">
        <w:rPr>
          <w:szCs w:val="26"/>
        </w:rPr>
        <w:t xml:space="preserve"> </w:t>
      </w:r>
      <w:r w:rsidRPr="004F4708">
        <w:rPr>
          <w:szCs w:val="26"/>
        </w:rPr>
        <w:t>Atas dasar itu, maka memberikan ruang pendidikan HAM bagi para mahasiswa sama pentingnya dengan menjadikan prinsip dan nilai-nilai HAM dalam upaya memperkuat fungsi dan tujuan pendidikan nasional dan pendidikan tinggi itu sendiri.</w:t>
      </w:r>
    </w:p>
    <w:p w14:paraId="53595D44" w14:textId="3B4D387C" w:rsidR="004F5EC0" w:rsidRPr="004F4708" w:rsidRDefault="00D300BA" w:rsidP="004F4708">
      <w:pPr>
        <w:ind w:firstLine="567"/>
        <w:jc w:val="both"/>
        <w:rPr>
          <w:sz w:val="20"/>
          <w:szCs w:val="24"/>
        </w:rPr>
      </w:pPr>
      <w:r w:rsidRPr="004F4708">
        <w:rPr>
          <w:sz w:val="20"/>
          <w:szCs w:val="24"/>
        </w:rPr>
        <w:t>D</w:t>
      </w:r>
      <w:r w:rsidR="001457CF" w:rsidRPr="004F4708">
        <w:rPr>
          <w:sz w:val="20"/>
          <w:szCs w:val="24"/>
        </w:rPr>
        <w:t>alam perspekt</w:t>
      </w:r>
      <w:r w:rsidRPr="004F4708">
        <w:rPr>
          <w:sz w:val="20"/>
          <w:szCs w:val="24"/>
        </w:rPr>
        <w:t>i</w:t>
      </w:r>
      <w:r w:rsidR="001457CF" w:rsidRPr="004F4708">
        <w:rPr>
          <w:sz w:val="20"/>
          <w:szCs w:val="24"/>
        </w:rPr>
        <w:t>f</w:t>
      </w:r>
      <w:r w:rsidRPr="004F4708">
        <w:rPr>
          <w:sz w:val="20"/>
          <w:szCs w:val="24"/>
        </w:rPr>
        <w:t xml:space="preserve"> </w:t>
      </w:r>
      <w:r w:rsidR="001457CF" w:rsidRPr="004F4708">
        <w:rPr>
          <w:sz w:val="20"/>
          <w:szCs w:val="24"/>
        </w:rPr>
        <w:t xml:space="preserve">global, </w:t>
      </w:r>
      <w:r w:rsidR="00DE5093" w:rsidRPr="004F4708">
        <w:rPr>
          <w:sz w:val="20"/>
          <w:szCs w:val="24"/>
        </w:rPr>
        <w:t>pendidikan HAM diakui dan dijadikan sebagai konsensus dalam upaya pencapaian kesadaran HAM secara universal</w:t>
      </w:r>
      <w:r w:rsidR="00EE5F8E" w:rsidRPr="004F4708">
        <w:rPr>
          <w:sz w:val="20"/>
          <w:szCs w:val="24"/>
        </w:rPr>
        <w:t>.</w:t>
      </w:r>
      <w:r w:rsidR="00271725" w:rsidRPr="004F4708">
        <w:rPr>
          <w:rStyle w:val="FootnoteReference"/>
          <w:sz w:val="20"/>
          <w:szCs w:val="24"/>
        </w:rPr>
        <w:footnoteReference w:id="5"/>
      </w:r>
      <w:r w:rsidR="00271725" w:rsidRPr="004F4708">
        <w:rPr>
          <w:sz w:val="20"/>
          <w:szCs w:val="24"/>
        </w:rPr>
        <w:t xml:space="preserve"> </w:t>
      </w:r>
      <w:r w:rsidR="000C7F3A" w:rsidRPr="004F4708">
        <w:rPr>
          <w:sz w:val="20"/>
          <w:szCs w:val="24"/>
        </w:rPr>
        <w:t xml:space="preserve">Salah satu upaya tersebut adalah lahirnya </w:t>
      </w:r>
      <w:r w:rsidR="00EE5F8E" w:rsidRPr="004F4708">
        <w:rPr>
          <w:sz w:val="20"/>
          <w:szCs w:val="24"/>
        </w:rPr>
        <w:t>Deklarasi dan Program Aksi Wina (</w:t>
      </w:r>
      <w:r w:rsidR="00EE5F8E" w:rsidRPr="004F4708">
        <w:rPr>
          <w:i/>
          <w:sz w:val="20"/>
          <w:szCs w:val="24"/>
        </w:rPr>
        <w:t>Vienna Declaration and Programme of Action</w:t>
      </w:r>
      <w:r w:rsidR="00EE5F8E" w:rsidRPr="004F4708">
        <w:rPr>
          <w:sz w:val="20"/>
          <w:szCs w:val="24"/>
        </w:rPr>
        <w:t>)</w:t>
      </w:r>
      <w:r w:rsidR="00F46DF3" w:rsidRPr="004F4708">
        <w:rPr>
          <w:sz w:val="20"/>
          <w:szCs w:val="24"/>
        </w:rPr>
        <w:t xml:space="preserve"> 1993</w:t>
      </w:r>
      <w:r w:rsidR="000C7F3A" w:rsidRPr="004F4708">
        <w:rPr>
          <w:sz w:val="20"/>
          <w:szCs w:val="24"/>
        </w:rPr>
        <w:t>. Pendidikan HAM ditegaskan sebagai langkah efektif merawat harmoni sosial, toleransi dan perdamaian dunia.</w:t>
      </w:r>
      <w:r w:rsidR="00FB153A" w:rsidRPr="004F4708">
        <w:rPr>
          <w:rStyle w:val="FootnoteReference"/>
          <w:sz w:val="20"/>
          <w:szCs w:val="24"/>
        </w:rPr>
        <w:footnoteReference w:id="6"/>
      </w:r>
    </w:p>
    <w:p w14:paraId="2E640EDA" w14:textId="42AFB837" w:rsidR="004F5EC0" w:rsidRPr="004F4708" w:rsidRDefault="000C7F3A" w:rsidP="004F4708">
      <w:pPr>
        <w:ind w:firstLine="567"/>
        <w:jc w:val="both"/>
        <w:rPr>
          <w:sz w:val="20"/>
          <w:szCs w:val="24"/>
          <w:lang w:val="nb-NO"/>
        </w:rPr>
      </w:pPr>
      <w:r w:rsidRPr="004F4708">
        <w:rPr>
          <w:szCs w:val="26"/>
        </w:rPr>
        <w:t xml:space="preserve">Dalam perkembangan berikutnya, </w:t>
      </w:r>
      <w:r w:rsidR="001C63B5" w:rsidRPr="004F4708">
        <w:rPr>
          <w:szCs w:val="26"/>
        </w:rPr>
        <w:t>pada 10 Desember 2004 PBB meluncurkan Program Dunia Pendidikan HAM (</w:t>
      </w:r>
      <w:r w:rsidR="001C63B5" w:rsidRPr="004F4708">
        <w:rPr>
          <w:i/>
          <w:szCs w:val="26"/>
        </w:rPr>
        <w:t>World Programme for Human Rights Education</w:t>
      </w:r>
      <w:r w:rsidR="001C63B5" w:rsidRPr="004F4708">
        <w:rPr>
          <w:szCs w:val="26"/>
        </w:rPr>
        <w:t>).</w:t>
      </w:r>
      <w:r w:rsidR="00AA3DC0" w:rsidRPr="004F4708">
        <w:rPr>
          <w:rStyle w:val="FootnoteReference"/>
          <w:szCs w:val="26"/>
        </w:rPr>
        <w:footnoteReference w:id="7"/>
      </w:r>
      <w:r w:rsidR="001C63B5" w:rsidRPr="004F4708">
        <w:rPr>
          <w:szCs w:val="26"/>
        </w:rPr>
        <w:t xml:space="preserve"> R</w:t>
      </w:r>
      <w:r w:rsidRPr="004F4708">
        <w:rPr>
          <w:szCs w:val="26"/>
        </w:rPr>
        <w:t>encana-rencana aksi p</w:t>
      </w:r>
      <w:r w:rsidR="00D300BA" w:rsidRPr="004F4708">
        <w:rPr>
          <w:szCs w:val="26"/>
        </w:rPr>
        <w:t xml:space="preserve">endidikan HAM </w:t>
      </w:r>
      <w:r w:rsidRPr="004F4708">
        <w:rPr>
          <w:szCs w:val="26"/>
        </w:rPr>
        <w:t xml:space="preserve">muncul untuk memperkuat implementasi program dunia </w:t>
      </w:r>
      <w:r w:rsidR="001C63B5" w:rsidRPr="004F4708">
        <w:rPr>
          <w:szCs w:val="26"/>
        </w:rPr>
        <w:t>ini.</w:t>
      </w:r>
      <w:r w:rsidR="00365D8D" w:rsidRPr="004F4708">
        <w:rPr>
          <w:rStyle w:val="FootnoteReference"/>
          <w:szCs w:val="26"/>
        </w:rPr>
        <w:footnoteReference w:id="8"/>
      </w:r>
      <w:r w:rsidRPr="004F4708">
        <w:rPr>
          <w:szCs w:val="26"/>
        </w:rPr>
        <w:t xml:space="preserve"> </w:t>
      </w:r>
      <w:r w:rsidR="003D4F09" w:rsidRPr="004F4708">
        <w:rPr>
          <w:szCs w:val="26"/>
        </w:rPr>
        <w:t>Pendidikan HAM m</w:t>
      </w:r>
      <w:r w:rsidR="00D300BA" w:rsidRPr="004F4708">
        <w:rPr>
          <w:szCs w:val="26"/>
        </w:rPr>
        <w:t>encakup tiga komponen penting, yaitu (1) pengetahuan dan keterampilan</w:t>
      </w:r>
      <w:r w:rsidR="00236F34" w:rsidRPr="004F4708">
        <w:rPr>
          <w:szCs w:val="26"/>
        </w:rPr>
        <w:t xml:space="preserve"> (</w:t>
      </w:r>
      <w:r w:rsidR="00236F34" w:rsidRPr="004F4708">
        <w:rPr>
          <w:i/>
          <w:szCs w:val="26"/>
        </w:rPr>
        <w:t>knowledge and skills</w:t>
      </w:r>
      <w:r w:rsidR="00236F34" w:rsidRPr="004F4708">
        <w:rPr>
          <w:szCs w:val="26"/>
        </w:rPr>
        <w:t>)</w:t>
      </w:r>
      <w:r w:rsidR="00D300BA" w:rsidRPr="004F4708">
        <w:rPr>
          <w:szCs w:val="26"/>
        </w:rPr>
        <w:t>, yakni pembelajaran tentang HAM dan mekanismenya; (2) nilai, sikap dan perilaku</w:t>
      </w:r>
      <w:r w:rsidR="00236F34" w:rsidRPr="004F4708">
        <w:rPr>
          <w:szCs w:val="26"/>
        </w:rPr>
        <w:t xml:space="preserve"> (</w:t>
      </w:r>
      <w:r w:rsidR="00236F34" w:rsidRPr="004F4708">
        <w:rPr>
          <w:i/>
          <w:szCs w:val="26"/>
        </w:rPr>
        <w:t>values</w:t>
      </w:r>
      <w:r w:rsidR="00236F34" w:rsidRPr="004F4708">
        <w:rPr>
          <w:szCs w:val="26"/>
        </w:rPr>
        <w:t xml:space="preserve">, </w:t>
      </w:r>
      <w:r w:rsidR="00236F34" w:rsidRPr="004F4708">
        <w:rPr>
          <w:i/>
          <w:szCs w:val="26"/>
        </w:rPr>
        <w:t>attitudes and behaviour</w:t>
      </w:r>
      <w:r w:rsidR="00236F34" w:rsidRPr="004F4708">
        <w:rPr>
          <w:szCs w:val="26"/>
        </w:rPr>
        <w:t>)</w:t>
      </w:r>
      <w:r w:rsidR="00D300BA" w:rsidRPr="004F4708">
        <w:rPr>
          <w:szCs w:val="26"/>
        </w:rPr>
        <w:t>, yakni pengembangan nilai  dan penegakan sikap dan perilaku yang menjunjung tinggi HAM; dan (3) tindakan</w:t>
      </w:r>
      <w:r w:rsidR="00236F34" w:rsidRPr="004F4708">
        <w:rPr>
          <w:szCs w:val="26"/>
        </w:rPr>
        <w:t xml:space="preserve"> (</w:t>
      </w:r>
      <w:r w:rsidR="00236F34" w:rsidRPr="004F4708">
        <w:rPr>
          <w:i/>
          <w:szCs w:val="26"/>
        </w:rPr>
        <w:t>action</w:t>
      </w:r>
      <w:r w:rsidR="00236F34" w:rsidRPr="004F4708">
        <w:rPr>
          <w:szCs w:val="26"/>
        </w:rPr>
        <w:t>)</w:t>
      </w:r>
      <w:r w:rsidR="00D300BA" w:rsidRPr="004F4708">
        <w:rPr>
          <w:szCs w:val="26"/>
        </w:rPr>
        <w:t>, yakni bertindak untuk membela dan memajukan HAM.</w:t>
      </w:r>
      <w:r w:rsidR="00271725" w:rsidRPr="004F4708">
        <w:rPr>
          <w:rStyle w:val="FootnoteReference"/>
          <w:szCs w:val="26"/>
        </w:rPr>
        <w:footnoteReference w:id="9"/>
      </w:r>
    </w:p>
    <w:p w14:paraId="0B87266A" w14:textId="77777777" w:rsidR="004F5EC0" w:rsidRPr="004F4708" w:rsidRDefault="00FB09B9" w:rsidP="004F4708">
      <w:pPr>
        <w:ind w:firstLine="567"/>
        <w:jc w:val="both"/>
        <w:rPr>
          <w:szCs w:val="26"/>
        </w:rPr>
      </w:pPr>
      <w:r w:rsidRPr="004F4708">
        <w:rPr>
          <w:szCs w:val="26"/>
        </w:rPr>
        <w:t xml:space="preserve">Kebijakan pendidikan tinggi harus memastikan sistem pendidikan tinggi yang secara eksplisit memajukan pendidikan HAM dengan memerhatikan lima </w:t>
      </w:r>
      <w:r w:rsidR="00A958B0" w:rsidRPr="004F4708">
        <w:rPr>
          <w:szCs w:val="26"/>
        </w:rPr>
        <w:t>hal berikut ini, yakni: (1) kebijakan dan langkah-langkah terkait; (2) sarana dan proses pengajaran dan pembelajaran; (3) penelitian; (4) lingkungan pembelajaran; dan (5) personil pengajaran pendidikan tinggi yang profesional.</w:t>
      </w:r>
      <w:r w:rsidR="00271725" w:rsidRPr="004F4708">
        <w:rPr>
          <w:rStyle w:val="FootnoteReference"/>
          <w:szCs w:val="26"/>
        </w:rPr>
        <w:footnoteReference w:id="10"/>
      </w:r>
    </w:p>
    <w:p w14:paraId="295C67CD" w14:textId="77777777" w:rsidR="004F5EC0" w:rsidRPr="004F4708" w:rsidRDefault="00D300BA" w:rsidP="004F4708">
      <w:pPr>
        <w:ind w:firstLine="567"/>
        <w:jc w:val="both"/>
        <w:rPr>
          <w:sz w:val="20"/>
          <w:szCs w:val="24"/>
          <w:lang w:val="nb-NO"/>
        </w:rPr>
      </w:pPr>
      <w:r w:rsidRPr="004F4708">
        <w:rPr>
          <w:szCs w:val="26"/>
        </w:rPr>
        <w:t xml:space="preserve">Untuk meningkatkan standar nasional pendidikan tinggi, </w:t>
      </w:r>
      <w:r w:rsidR="00C345A2" w:rsidRPr="004F4708">
        <w:rPr>
          <w:szCs w:val="26"/>
        </w:rPr>
        <w:t xml:space="preserve">Pasal 35 UU Dikti menekankan bahwa </w:t>
      </w:r>
      <w:r w:rsidRPr="004F4708">
        <w:rPr>
          <w:szCs w:val="26"/>
        </w:rPr>
        <w:t>pengembangan kebijakan pendidikan HAM di perguruan tinggi berisikan muatan materi HAM yang masuk dalam rumpun mata kuliah wajib pada kurikulum pendidikan tinggi di semua program studi. Ada empat mata kuliah wajib dalam kurikulum pendidikan tinggi, yakni:</w:t>
      </w:r>
      <w:r w:rsidR="00E565D7" w:rsidRPr="004F4708">
        <w:rPr>
          <w:szCs w:val="26"/>
        </w:rPr>
        <w:t xml:space="preserve"> (1) Agama; (2) Pancasila; (3) K</w:t>
      </w:r>
      <w:r w:rsidRPr="004F4708">
        <w:rPr>
          <w:szCs w:val="26"/>
        </w:rPr>
        <w:t xml:space="preserve">ewarganegaraan; dan (4) Bahasa Indonesia. </w:t>
      </w:r>
    </w:p>
    <w:p w14:paraId="6F761D12" w14:textId="77777777" w:rsidR="004F5EC0" w:rsidRPr="004F4708" w:rsidRDefault="00574C12" w:rsidP="004F4708">
      <w:pPr>
        <w:ind w:firstLine="567"/>
        <w:jc w:val="both"/>
        <w:rPr>
          <w:sz w:val="20"/>
          <w:szCs w:val="24"/>
          <w:lang w:val="nb-NO"/>
        </w:rPr>
      </w:pPr>
      <w:r w:rsidRPr="004F4708">
        <w:rPr>
          <w:szCs w:val="26"/>
        </w:rPr>
        <w:t xml:space="preserve">Penjelasan Pasal 35 </w:t>
      </w:r>
      <w:r w:rsidR="001B3EF9" w:rsidRPr="004F4708">
        <w:rPr>
          <w:szCs w:val="26"/>
        </w:rPr>
        <w:t xml:space="preserve">ayat (3) </w:t>
      </w:r>
      <w:r w:rsidRPr="004F4708">
        <w:rPr>
          <w:szCs w:val="26"/>
        </w:rPr>
        <w:t xml:space="preserve">UU Dikti menjelaskan </w:t>
      </w:r>
      <w:r w:rsidR="00D300BA" w:rsidRPr="004F4708">
        <w:rPr>
          <w:szCs w:val="26"/>
        </w:rPr>
        <w:t>“mata kuliah kewarganegaraan” adalah pendidikan yang mencakup Pancasila, Undang-Undang Dasar Negara Republik Indonesia Tahun 1945, Negara Kesatuan Republik Indonesia dan Bhinneka Tunggal Ika untuk membentuk mahasiswa menjadi warga negara yang memiliki rasa kebangsaan dan cinta tanah air.</w:t>
      </w:r>
    </w:p>
    <w:p w14:paraId="7065A079" w14:textId="03B789EC" w:rsidR="00D300BA" w:rsidRPr="004F4708" w:rsidRDefault="00D300BA" w:rsidP="004F4708">
      <w:pPr>
        <w:ind w:firstLine="567"/>
        <w:jc w:val="both"/>
        <w:rPr>
          <w:szCs w:val="26"/>
        </w:rPr>
      </w:pPr>
      <w:r w:rsidRPr="004F4708">
        <w:rPr>
          <w:szCs w:val="26"/>
        </w:rPr>
        <w:t>Pada semua jenjang pendidikan, termasuk pelatihan kerja atau pengalaman kerja, capaian pendidikan dibingkai dalam formulasi kerangka kualifikasi nasional Indonesia (KKNI) berdasarkan Perpres No. 8 Tahun 2012. Tingkatan keseteraan capaian pendidikan tinggi lulusan sarjana sesungguhnya setara dengan jenjang enam dari sembilan jenjang KKNI, yakni sebagai berikut:</w:t>
      </w:r>
    </w:p>
    <w:p w14:paraId="05CA2B3C" w14:textId="77777777" w:rsidR="00D300BA" w:rsidRPr="004F4708" w:rsidRDefault="00D300BA" w:rsidP="004F4708">
      <w:pPr>
        <w:autoSpaceDE w:val="0"/>
        <w:autoSpaceDN w:val="0"/>
        <w:adjustRightInd w:val="0"/>
        <w:ind w:left="709"/>
        <w:jc w:val="both"/>
        <w:rPr>
          <w:szCs w:val="26"/>
        </w:rPr>
      </w:pPr>
      <w:r w:rsidRPr="004F4708">
        <w:rPr>
          <w:szCs w:val="26"/>
        </w:rPr>
        <w:t>(1) Mampu mengaplikasikan bidang keahliannya dan memanfaatkan ilmu pengetahuan, teknologi, dan/atau seni pada bidangnya dalam penyelesaian masalah serta mampu beradaptasi terhadap situasi yang dihadapi; (2) menguasai konsep teoritis bidang pengetahuan tertentu secara umum dan konsep teoritis bagian khusus dalam bidang pengetahuan tersebut secara mendalam, serta mampu memformulasikan penyelesaian masalah prosedural; (3) mampu mengambil keputusan yang tepat berdasarkan analisis informasi dan data, dan mampu memberikan petunjuk dalam memilih berbagai alternatif solusi secara mandiri dan kelompok; dan (4) bertanggung jawab pada pekerjaan sendiri dan dapat diberi tanggung jawab atas pencapaian hasil kerja organisasi.</w:t>
      </w:r>
      <w:r w:rsidR="00271725" w:rsidRPr="004F4708">
        <w:rPr>
          <w:rStyle w:val="FootnoteReference"/>
          <w:szCs w:val="26"/>
        </w:rPr>
        <w:footnoteReference w:id="11"/>
      </w:r>
    </w:p>
    <w:p w14:paraId="5FA81B4C" w14:textId="77777777" w:rsidR="004F5EC0" w:rsidRPr="004F4708" w:rsidRDefault="00457B8B" w:rsidP="004F4708">
      <w:pPr>
        <w:ind w:firstLine="567"/>
        <w:jc w:val="both"/>
        <w:rPr>
          <w:szCs w:val="26"/>
        </w:rPr>
      </w:pPr>
      <w:r w:rsidRPr="004F4708">
        <w:rPr>
          <w:szCs w:val="26"/>
        </w:rPr>
        <w:t xml:space="preserve">Capaian KKNI ini sesungguhnya menekankan </w:t>
      </w:r>
      <w:r w:rsidR="0054575E" w:rsidRPr="004F4708">
        <w:rPr>
          <w:szCs w:val="26"/>
        </w:rPr>
        <w:t xml:space="preserve">pada </w:t>
      </w:r>
      <w:r w:rsidRPr="004F4708">
        <w:rPr>
          <w:szCs w:val="26"/>
        </w:rPr>
        <w:t xml:space="preserve">karakter kemandirian dan tanggung jawab. Tidak berlebihan jika dikatakan PKn sebagai bagian </w:t>
      </w:r>
      <w:r w:rsidR="00197C83" w:rsidRPr="004F4708">
        <w:rPr>
          <w:szCs w:val="26"/>
        </w:rPr>
        <w:t xml:space="preserve">penting </w:t>
      </w:r>
      <w:r w:rsidRPr="004F4708">
        <w:rPr>
          <w:szCs w:val="26"/>
        </w:rPr>
        <w:t xml:space="preserve">dari kebijakan Mata Kuliah Umum (MKU) </w:t>
      </w:r>
      <w:r w:rsidR="00CB1AD5" w:rsidRPr="004F4708">
        <w:rPr>
          <w:szCs w:val="26"/>
        </w:rPr>
        <w:t xml:space="preserve">atau Mata Kuliah Wajib Umum (MKWU) </w:t>
      </w:r>
      <w:r w:rsidRPr="004F4708">
        <w:rPr>
          <w:szCs w:val="26"/>
        </w:rPr>
        <w:t xml:space="preserve">di tingkat perguruan tinggi </w:t>
      </w:r>
      <w:r w:rsidR="0050493F" w:rsidRPr="004F4708">
        <w:rPr>
          <w:szCs w:val="26"/>
        </w:rPr>
        <w:t>turut</w:t>
      </w:r>
      <w:r w:rsidRPr="004F4708">
        <w:rPr>
          <w:szCs w:val="26"/>
        </w:rPr>
        <w:t xml:space="preserve"> memberikan kontribusi signifikan </w:t>
      </w:r>
      <w:r w:rsidR="00A23E82" w:rsidRPr="004F4708">
        <w:rPr>
          <w:szCs w:val="26"/>
        </w:rPr>
        <w:t xml:space="preserve">untuk </w:t>
      </w:r>
      <w:r w:rsidRPr="004F4708">
        <w:rPr>
          <w:szCs w:val="26"/>
        </w:rPr>
        <w:t>memperkuat capaian KKNI tersebut.</w:t>
      </w:r>
      <w:r w:rsidR="008F7D94" w:rsidRPr="004F4708">
        <w:rPr>
          <w:rStyle w:val="FootnoteReference"/>
          <w:szCs w:val="26"/>
        </w:rPr>
        <w:footnoteReference w:id="12"/>
      </w:r>
    </w:p>
    <w:p w14:paraId="67B0B814" w14:textId="77777777" w:rsidR="004F5EC0" w:rsidRPr="004F4708" w:rsidRDefault="00457B8B" w:rsidP="004F4708">
      <w:pPr>
        <w:ind w:firstLine="567"/>
        <w:jc w:val="both"/>
        <w:rPr>
          <w:szCs w:val="26"/>
        </w:rPr>
      </w:pPr>
      <w:r w:rsidRPr="004F4708">
        <w:rPr>
          <w:szCs w:val="26"/>
        </w:rPr>
        <w:t>Bahkan lebih penting dari itu, s</w:t>
      </w:r>
      <w:r w:rsidR="00D300BA" w:rsidRPr="004F4708">
        <w:rPr>
          <w:szCs w:val="26"/>
        </w:rPr>
        <w:t xml:space="preserve">ignifikansi materi muatan HAM dalam mata kuliah </w:t>
      </w:r>
      <w:r w:rsidRPr="004F4708">
        <w:rPr>
          <w:szCs w:val="26"/>
        </w:rPr>
        <w:t xml:space="preserve">PKn </w:t>
      </w:r>
      <w:r w:rsidR="00A23E82" w:rsidRPr="004F4708">
        <w:rPr>
          <w:szCs w:val="26"/>
        </w:rPr>
        <w:t xml:space="preserve">sesungguhnya </w:t>
      </w:r>
      <w:r w:rsidR="00D300BA" w:rsidRPr="004F4708">
        <w:rPr>
          <w:szCs w:val="26"/>
        </w:rPr>
        <w:t xml:space="preserve">memiliki korelasi yang sangat kuat dengan </w:t>
      </w:r>
      <w:r w:rsidR="00011760" w:rsidRPr="004F4708">
        <w:rPr>
          <w:szCs w:val="26"/>
        </w:rPr>
        <w:t xml:space="preserve">pendidikan </w:t>
      </w:r>
      <w:r w:rsidR="008E556B" w:rsidRPr="004F4708">
        <w:rPr>
          <w:szCs w:val="26"/>
        </w:rPr>
        <w:t xml:space="preserve">pembentukan karakter warga negara yang demokratis di Indonesia. Tentu saja, </w:t>
      </w:r>
      <w:r w:rsidR="00C77532" w:rsidRPr="004F4708">
        <w:rPr>
          <w:szCs w:val="26"/>
        </w:rPr>
        <w:t xml:space="preserve">PKn merupakan modalitas penting untuk meningkatkan literasi HAM. </w:t>
      </w:r>
    </w:p>
    <w:p w14:paraId="5BEA25C9" w14:textId="77777777" w:rsidR="004F5EC0" w:rsidRPr="004F4708" w:rsidRDefault="00CF4208" w:rsidP="004F4708">
      <w:pPr>
        <w:ind w:firstLine="567"/>
        <w:jc w:val="both"/>
        <w:rPr>
          <w:szCs w:val="26"/>
        </w:rPr>
      </w:pPr>
      <w:r w:rsidRPr="004F4708">
        <w:rPr>
          <w:szCs w:val="26"/>
        </w:rPr>
        <w:t xml:space="preserve">Kurikulum </w:t>
      </w:r>
      <w:r w:rsidR="00C77532" w:rsidRPr="004F4708">
        <w:rPr>
          <w:szCs w:val="26"/>
        </w:rPr>
        <w:t xml:space="preserve">PKn </w:t>
      </w:r>
      <w:r w:rsidR="0054575E" w:rsidRPr="004F4708">
        <w:rPr>
          <w:szCs w:val="26"/>
        </w:rPr>
        <w:t xml:space="preserve">sejatinya </w:t>
      </w:r>
      <w:r w:rsidR="00C77532" w:rsidRPr="004F4708">
        <w:rPr>
          <w:szCs w:val="26"/>
        </w:rPr>
        <w:t xml:space="preserve">berkaitan dengan transformasi masyarakat demokratis </w:t>
      </w:r>
      <w:r w:rsidR="0054575E" w:rsidRPr="004F4708">
        <w:rPr>
          <w:szCs w:val="26"/>
        </w:rPr>
        <w:t>Indonesia</w:t>
      </w:r>
      <w:r w:rsidR="00FD6541" w:rsidRPr="004F4708">
        <w:rPr>
          <w:szCs w:val="26"/>
        </w:rPr>
        <w:t xml:space="preserve">. Hal ini dapat ditandai dengan kedalaman upaya </w:t>
      </w:r>
      <w:r w:rsidR="00C77532" w:rsidRPr="004F4708">
        <w:rPr>
          <w:szCs w:val="26"/>
        </w:rPr>
        <w:t xml:space="preserve">internalisasi nilai untuk </w:t>
      </w:r>
      <w:r w:rsidR="008E556B" w:rsidRPr="004F4708">
        <w:rPr>
          <w:szCs w:val="26"/>
        </w:rPr>
        <w:t xml:space="preserve">respek pada </w:t>
      </w:r>
      <w:r w:rsidR="00011760" w:rsidRPr="004F4708">
        <w:rPr>
          <w:szCs w:val="26"/>
        </w:rPr>
        <w:t>HAM</w:t>
      </w:r>
      <w:r w:rsidR="00C77532" w:rsidRPr="004F4708">
        <w:rPr>
          <w:szCs w:val="26"/>
        </w:rPr>
        <w:t xml:space="preserve">. </w:t>
      </w:r>
      <w:r w:rsidR="00432FC5" w:rsidRPr="004F4708">
        <w:rPr>
          <w:szCs w:val="26"/>
        </w:rPr>
        <w:t>L</w:t>
      </w:r>
      <w:r w:rsidR="00C77532" w:rsidRPr="004F4708">
        <w:rPr>
          <w:szCs w:val="26"/>
        </w:rPr>
        <w:t xml:space="preserve">iterasi HAM </w:t>
      </w:r>
      <w:r w:rsidR="00432FC5" w:rsidRPr="004F4708">
        <w:rPr>
          <w:szCs w:val="26"/>
        </w:rPr>
        <w:t xml:space="preserve">akan mendorong </w:t>
      </w:r>
      <w:r w:rsidR="00C77532" w:rsidRPr="004F4708">
        <w:rPr>
          <w:szCs w:val="26"/>
        </w:rPr>
        <w:t>pemahaman pada nilai-nilai kemartabatan, kesetaraan dan kebebasan sebagai nilai dan hak yang diperjuangkan melalui internalisasi dan implementasi HAM di ruang-ruang pendidikan.</w:t>
      </w:r>
      <w:r w:rsidR="008F7D94" w:rsidRPr="004F4708">
        <w:rPr>
          <w:rStyle w:val="FootnoteReference"/>
          <w:szCs w:val="26"/>
        </w:rPr>
        <w:footnoteReference w:id="13"/>
      </w:r>
      <w:r w:rsidR="008F7D94" w:rsidRPr="004F4708">
        <w:rPr>
          <w:szCs w:val="26"/>
        </w:rPr>
        <w:t xml:space="preserve"> </w:t>
      </w:r>
      <w:r w:rsidR="00C77532" w:rsidRPr="004F4708">
        <w:rPr>
          <w:szCs w:val="26"/>
        </w:rPr>
        <w:t xml:space="preserve">Dengan kata lain, </w:t>
      </w:r>
      <w:r w:rsidR="00432FC5" w:rsidRPr="004F4708">
        <w:rPr>
          <w:szCs w:val="26"/>
        </w:rPr>
        <w:t>PKn</w:t>
      </w:r>
      <w:r w:rsidR="00C77532" w:rsidRPr="004F4708">
        <w:rPr>
          <w:szCs w:val="26"/>
        </w:rPr>
        <w:t xml:space="preserve"> </w:t>
      </w:r>
      <w:r w:rsidR="00011760" w:rsidRPr="004F4708">
        <w:rPr>
          <w:szCs w:val="26"/>
        </w:rPr>
        <w:t xml:space="preserve">dan </w:t>
      </w:r>
      <w:r w:rsidR="00D300BA" w:rsidRPr="004F4708">
        <w:rPr>
          <w:szCs w:val="26"/>
        </w:rPr>
        <w:t>peningkatan literasi HAM</w:t>
      </w:r>
      <w:r w:rsidR="008E556B" w:rsidRPr="004F4708">
        <w:rPr>
          <w:szCs w:val="26"/>
        </w:rPr>
        <w:t xml:space="preserve"> menjadi bagian yang tak terpisahkan dalam kerangka mem</w:t>
      </w:r>
      <w:r w:rsidR="00C77532" w:rsidRPr="004F4708">
        <w:rPr>
          <w:szCs w:val="26"/>
        </w:rPr>
        <w:t xml:space="preserve">bentuk dan memperkuat </w:t>
      </w:r>
      <w:r w:rsidR="008E556B" w:rsidRPr="004F4708">
        <w:rPr>
          <w:szCs w:val="26"/>
        </w:rPr>
        <w:t>perkuat jati diri warga negara muda Indonesia, yakni para mahasiswa</w:t>
      </w:r>
      <w:r w:rsidR="00D300BA" w:rsidRPr="004F4708">
        <w:rPr>
          <w:szCs w:val="26"/>
        </w:rPr>
        <w:t>.</w:t>
      </w:r>
      <w:r w:rsidR="008E556B" w:rsidRPr="004F4708">
        <w:rPr>
          <w:szCs w:val="26"/>
        </w:rPr>
        <w:t xml:space="preserve"> </w:t>
      </w:r>
    </w:p>
    <w:p w14:paraId="1F742EF6" w14:textId="40B880A3" w:rsidR="007E15C7" w:rsidRPr="004F4708" w:rsidRDefault="007E15C7" w:rsidP="004F4708">
      <w:pPr>
        <w:ind w:firstLine="567"/>
        <w:jc w:val="both"/>
        <w:rPr>
          <w:sz w:val="24"/>
          <w:szCs w:val="26"/>
        </w:rPr>
      </w:pPr>
      <w:r w:rsidRPr="004F4708">
        <w:rPr>
          <w:szCs w:val="26"/>
        </w:rPr>
        <w:t xml:space="preserve">Dalam kaitan inilah penelitian tentang esensi </w:t>
      </w:r>
      <w:r w:rsidR="00D11876" w:rsidRPr="004F4708">
        <w:rPr>
          <w:szCs w:val="26"/>
        </w:rPr>
        <w:t xml:space="preserve">dan perkembangan </w:t>
      </w:r>
      <w:r w:rsidRPr="004F4708">
        <w:rPr>
          <w:szCs w:val="26"/>
        </w:rPr>
        <w:t>kurikulum</w:t>
      </w:r>
      <w:r w:rsidR="008F7D94" w:rsidRPr="004F4708">
        <w:rPr>
          <w:rStyle w:val="FootnoteReference"/>
          <w:szCs w:val="26"/>
        </w:rPr>
        <w:footnoteReference w:id="14"/>
      </w:r>
      <w:r w:rsidR="0004724C" w:rsidRPr="004F4708">
        <w:rPr>
          <w:szCs w:val="26"/>
        </w:rPr>
        <w:t xml:space="preserve"> </w:t>
      </w:r>
      <w:r w:rsidRPr="004F4708">
        <w:rPr>
          <w:szCs w:val="26"/>
        </w:rPr>
        <w:t xml:space="preserve">PKn di jenjang pendidikan tinggi dan korelasinya dengan </w:t>
      </w:r>
      <w:r w:rsidR="00D11876" w:rsidRPr="004F4708">
        <w:rPr>
          <w:szCs w:val="26"/>
        </w:rPr>
        <w:t xml:space="preserve">literasi HAM </w:t>
      </w:r>
      <w:r w:rsidR="00011760" w:rsidRPr="004F4708">
        <w:rPr>
          <w:szCs w:val="26"/>
        </w:rPr>
        <w:t xml:space="preserve">sangat menarik dilakukan. </w:t>
      </w:r>
      <w:r w:rsidR="007562DA" w:rsidRPr="004F4708">
        <w:rPr>
          <w:szCs w:val="26"/>
        </w:rPr>
        <w:t>Dengan demikian, t</w:t>
      </w:r>
      <w:r w:rsidR="00323A9D" w:rsidRPr="004F4708">
        <w:rPr>
          <w:szCs w:val="26"/>
        </w:rPr>
        <w:t xml:space="preserve">entu saja yang tidak bisa diabaikan adalah </w:t>
      </w:r>
      <w:r w:rsidR="00261F2B" w:rsidRPr="004F4708">
        <w:rPr>
          <w:szCs w:val="26"/>
        </w:rPr>
        <w:t>meng</w:t>
      </w:r>
      <w:r w:rsidR="00321EE6" w:rsidRPr="004F4708">
        <w:rPr>
          <w:szCs w:val="26"/>
        </w:rPr>
        <w:t xml:space="preserve">uji materi muatan HAM </w:t>
      </w:r>
      <w:r w:rsidR="00A30E28" w:rsidRPr="004F4708">
        <w:rPr>
          <w:szCs w:val="26"/>
        </w:rPr>
        <w:t>di</w:t>
      </w:r>
      <w:r w:rsidR="00323A9D" w:rsidRPr="004F4708">
        <w:rPr>
          <w:szCs w:val="26"/>
        </w:rPr>
        <w:t xml:space="preserve"> dalam </w:t>
      </w:r>
      <w:r w:rsidR="003F6FDD" w:rsidRPr="004F4708">
        <w:rPr>
          <w:szCs w:val="26"/>
        </w:rPr>
        <w:t>Buku Ajar</w:t>
      </w:r>
      <w:r w:rsidR="00323A9D" w:rsidRPr="004F4708">
        <w:rPr>
          <w:szCs w:val="26"/>
        </w:rPr>
        <w:t xml:space="preserve"> PKn di </w:t>
      </w:r>
      <w:r w:rsidR="007E6475" w:rsidRPr="004F4708">
        <w:rPr>
          <w:szCs w:val="26"/>
        </w:rPr>
        <w:t xml:space="preserve">tingkat pendidikan tinggi di </w:t>
      </w:r>
      <w:r w:rsidR="00323A9D" w:rsidRPr="004F4708">
        <w:rPr>
          <w:szCs w:val="26"/>
        </w:rPr>
        <w:t>Indonesia.</w:t>
      </w:r>
      <w:r w:rsidR="00323A9D" w:rsidRPr="004F4708">
        <w:rPr>
          <w:sz w:val="24"/>
          <w:szCs w:val="26"/>
        </w:rPr>
        <w:t xml:space="preserve">  </w:t>
      </w:r>
    </w:p>
    <w:p w14:paraId="473A61E4" w14:textId="77777777" w:rsidR="00323A9D" w:rsidRDefault="00323A9D" w:rsidP="004F4708">
      <w:pPr>
        <w:jc w:val="both"/>
        <w:rPr>
          <w:b/>
          <w:sz w:val="24"/>
          <w:szCs w:val="24"/>
        </w:rPr>
      </w:pPr>
    </w:p>
    <w:p w14:paraId="25CA4F75" w14:textId="77777777" w:rsidR="00D300BA" w:rsidRDefault="00D300BA" w:rsidP="004F4708">
      <w:pPr>
        <w:jc w:val="both"/>
        <w:rPr>
          <w:b/>
          <w:sz w:val="24"/>
          <w:szCs w:val="24"/>
        </w:rPr>
      </w:pPr>
      <w:r>
        <w:rPr>
          <w:b/>
          <w:sz w:val="24"/>
          <w:szCs w:val="24"/>
        </w:rPr>
        <w:t>METODE PENELITIAN</w:t>
      </w:r>
    </w:p>
    <w:p w14:paraId="4C6423CB" w14:textId="77777777" w:rsidR="004F5EC0" w:rsidRPr="004F4708" w:rsidRDefault="00D300BA" w:rsidP="004F4708">
      <w:pPr>
        <w:ind w:firstLine="567"/>
        <w:jc w:val="both"/>
        <w:rPr>
          <w:szCs w:val="26"/>
        </w:rPr>
      </w:pPr>
      <w:r w:rsidRPr="004F4708">
        <w:rPr>
          <w:szCs w:val="26"/>
        </w:rPr>
        <w:t>Jenis penelitian ini adalah penelitian deskriptif kualitatif,</w:t>
      </w:r>
      <w:r w:rsidR="0004724C" w:rsidRPr="004F4708">
        <w:rPr>
          <w:rStyle w:val="FootnoteReference"/>
          <w:szCs w:val="26"/>
        </w:rPr>
        <w:footnoteReference w:id="15"/>
      </w:r>
      <w:r w:rsidR="0004724C" w:rsidRPr="004F4708">
        <w:rPr>
          <w:szCs w:val="26"/>
        </w:rPr>
        <w:t xml:space="preserve"> </w:t>
      </w:r>
      <w:r w:rsidRPr="004F4708">
        <w:rPr>
          <w:szCs w:val="26"/>
        </w:rPr>
        <w:t xml:space="preserve">yakni penelitian dilakukan dengan tujuan utama, yaitu menggambarkan secara sistematis fakta dan karakteristik objek atau subjek yang diteliti secara tepat. Penelitian deskriptif merupakan metode penelitian yang berusaha menggambarkan dan menginterpretasi objek sesuai dengan apa adanya. </w:t>
      </w:r>
      <w:bookmarkStart w:id="0" w:name="more"/>
      <w:bookmarkEnd w:id="0"/>
      <w:r w:rsidR="00EC5443" w:rsidRPr="004F4708">
        <w:rPr>
          <w:szCs w:val="26"/>
        </w:rPr>
        <w:t>Pendekatan kualitatif adalah prosedur penelitian yang menghasilkan data deskriptif berupa kata-kata tertulis atau lisan dari orang-orang dan perilaku yang dapat dialami.</w:t>
      </w:r>
    </w:p>
    <w:p w14:paraId="6C4E7704" w14:textId="38BDFD56" w:rsidR="00363A1C" w:rsidRPr="00363A1C" w:rsidRDefault="001C1B8D" w:rsidP="004F4708">
      <w:pPr>
        <w:ind w:firstLine="567"/>
        <w:jc w:val="both"/>
        <w:rPr>
          <w:sz w:val="26"/>
          <w:szCs w:val="26"/>
        </w:rPr>
      </w:pPr>
      <w:r w:rsidRPr="004F4708">
        <w:rPr>
          <w:szCs w:val="26"/>
        </w:rPr>
        <w:t xml:space="preserve">Penelitian ini adalah penelitian </w:t>
      </w:r>
      <w:r w:rsidR="0012219A" w:rsidRPr="004F4708">
        <w:rPr>
          <w:szCs w:val="26"/>
        </w:rPr>
        <w:t xml:space="preserve">HAM dengan menetapkan </w:t>
      </w:r>
      <w:r w:rsidR="00A47D8B" w:rsidRPr="004F4708">
        <w:rPr>
          <w:szCs w:val="26"/>
        </w:rPr>
        <w:t xml:space="preserve">kajian pada </w:t>
      </w:r>
      <w:r w:rsidR="003B6145" w:rsidRPr="004F4708">
        <w:rPr>
          <w:szCs w:val="26"/>
        </w:rPr>
        <w:t>pemahaman terhadap nilai dan wacana HAM yang berkembang.</w:t>
      </w:r>
      <w:r w:rsidR="0004724C" w:rsidRPr="004F4708">
        <w:rPr>
          <w:rStyle w:val="FootnoteReference"/>
          <w:szCs w:val="26"/>
        </w:rPr>
        <w:footnoteReference w:id="16"/>
      </w:r>
      <w:r w:rsidR="0004724C" w:rsidRPr="004F4708">
        <w:rPr>
          <w:szCs w:val="26"/>
        </w:rPr>
        <w:t xml:space="preserve"> </w:t>
      </w:r>
      <w:r w:rsidR="003B6145" w:rsidRPr="004F4708">
        <w:rPr>
          <w:szCs w:val="26"/>
        </w:rPr>
        <w:t xml:space="preserve">Dalam konteks ini, </w:t>
      </w:r>
      <w:r w:rsidR="00993324" w:rsidRPr="004F4708">
        <w:rPr>
          <w:szCs w:val="26"/>
        </w:rPr>
        <w:t xml:space="preserve">wacana </w:t>
      </w:r>
      <w:r w:rsidR="00A47D8B" w:rsidRPr="004F4708">
        <w:rPr>
          <w:szCs w:val="26"/>
        </w:rPr>
        <w:t>li</w:t>
      </w:r>
      <w:r w:rsidR="00A47D8B" w:rsidRPr="004F4708">
        <w:rPr>
          <w:color w:val="000000"/>
          <w:szCs w:val="26"/>
        </w:rPr>
        <w:t>terasi HAM</w:t>
      </w:r>
      <w:r w:rsidR="003B6145" w:rsidRPr="004F4708">
        <w:rPr>
          <w:color w:val="000000"/>
          <w:szCs w:val="26"/>
        </w:rPr>
        <w:t xml:space="preserve"> menjadi</w:t>
      </w:r>
      <w:r w:rsidR="0012219A" w:rsidRPr="004F4708">
        <w:rPr>
          <w:color w:val="000000"/>
          <w:szCs w:val="26"/>
        </w:rPr>
        <w:t xml:space="preserve"> unit analisisnya. </w:t>
      </w:r>
      <w:r w:rsidR="00D6327C" w:rsidRPr="004F4708">
        <w:rPr>
          <w:color w:val="000000"/>
          <w:szCs w:val="26"/>
        </w:rPr>
        <w:t>Penelitian ini</w:t>
      </w:r>
      <w:r w:rsidR="00363A1C" w:rsidRPr="004F4708">
        <w:rPr>
          <w:color w:val="000000"/>
          <w:szCs w:val="26"/>
        </w:rPr>
        <w:t xml:space="preserve"> men</w:t>
      </w:r>
      <w:r w:rsidR="00D6327C" w:rsidRPr="004F4708">
        <w:rPr>
          <w:color w:val="000000"/>
          <w:szCs w:val="26"/>
        </w:rPr>
        <w:t xml:space="preserve">itikberatkan analisis terhadap perkembangan PKn </w:t>
      </w:r>
      <w:r w:rsidR="0037174D" w:rsidRPr="004F4708">
        <w:rPr>
          <w:color w:val="000000"/>
          <w:szCs w:val="26"/>
        </w:rPr>
        <w:t xml:space="preserve">dalam kebijakan MKU atau MKWU di perguruan tinggi serta </w:t>
      </w:r>
      <w:r w:rsidR="00993324" w:rsidRPr="004F4708">
        <w:rPr>
          <w:color w:val="000000"/>
          <w:szCs w:val="26"/>
        </w:rPr>
        <w:t xml:space="preserve">literasi HAM melalui </w:t>
      </w:r>
      <w:r w:rsidR="00363A1C" w:rsidRPr="004F4708">
        <w:rPr>
          <w:color w:val="000000"/>
          <w:szCs w:val="26"/>
        </w:rPr>
        <w:t>materi muatan HAM d</w:t>
      </w:r>
      <w:r w:rsidR="007E7B52" w:rsidRPr="004F4708">
        <w:rPr>
          <w:color w:val="000000"/>
          <w:szCs w:val="26"/>
        </w:rPr>
        <w:t>i d</w:t>
      </w:r>
      <w:r w:rsidR="00363A1C" w:rsidRPr="004F4708">
        <w:rPr>
          <w:color w:val="000000"/>
          <w:szCs w:val="26"/>
        </w:rPr>
        <w:t xml:space="preserve">alam </w:t>
      </w:r>
      <w:r w:rsidR="007E7B52" w:rsidRPr="004F4708">
        <w:rPr>
          <w:color w:val="000000"/>
          <w:szCs w:val="26"/>
        </w:rPr>
        <w:t xml:space="preserve">Buku Ajar </w:t>
      </w:r>
      <w:r w:rsidR="00363A1C" w:rsidRPr="004F4708">
        <w:rPr>
          <w:color w:val="000000"/>
          <w:szCs w:val="26"/>
        </w:rPr>
        <w:t xml:space="preserve">PKn di tingkat perguruan tinggi di Indonesia. </w:t>
      </w:r>
      <w:r w:rsidR="00363A1C" w:rsidRPr="00363A1C">
        <w:rPr>
          <w:sz w:val="26"/>
          <w:szCs w:val="26"/>
        </w:rPr>
        <w:t xml:space="preserve"> </w:t>
      </w:r>
    </w:p>
    <w:p w14:paraId="315A8433" w14:textId="77777777" w:rsidR="00D300BA" w:rsidRPr="00F5484C" w:rsidRDefault="00D300BA" w:rsidP="00D300BA">
      <w:pPr>
        <w:jc w:val="both"/>
        <w:rPr>
          <w:b/>
          <w:sz w:val="26"/>
          <w:szCs w:val="26"/>
        </w:rPr>
      </w:pPr>
      <w:r w:rsidRPr="00F5484C">
        <w:rPr>
          <w:b/>
          <w:sz w:val="26"/>
          <w:szCs w:val="26"/>
        </w:rPr>
        <w:t>PEMBAHASAN</w:t>
      </w:r>
      <w:r w:rsidR="007B4457" w:rsidRPr="00F5484C">
        <w:rPr>
          <w:b/>
          <w:sz w:val="26"/>
          <w:szCs w:val="26"/>
        </w:rPr>
        <w:t xml:space="preserve"> DAN ANALISIS</w:t>
      </w:r>
    </w:p>
    <w:p w14:paraId="788E6B18" w14:textId="77777777" w:rsidR="00D300BA" w:rsidRPr="004F4708" w:rsidRDefault="00D300BA" w:rsidP="004F5EC0">
      <w:pPr>
        <w:pStyle w:val="ListParagraph"/>
        <w:numPr>
          <w:ilvl w:val="0"/>
          <w:numId w:val="1"/>
        </w:numPr>
        <w:autoSpaceDE w:val="0"/>
        <w:autoSpaceDN w:val="0"/>
        <w:adjustRightInd w:val="0"/>
        <w:ind w:left="567" w:hanging="567"/>
        <w:jc w:val="both"/>
        <w:rPr>
          <w:b/>
          <w:color w:val="000000"/>
        </w:rPr>
      </w:pPr>
      <w:r w:rsidRPr="004F4708">
        <w:rPr>
          <w:b/>
          <w:color w:val="000000"/>
        </w:rPr>
        <w:t>P</w:t>
      </w:r>
      <w:r w:rsidR="00F5231C" w:rsidRPr="004F4708">
        <w:rPr>
          <w:b/>
          <w:color w:val="000000"/>
        </w:rPr>
        <w:t xml:space="preserve">erkembangan PKn </w:t>
      </w:r>
      <w:r w:rsidRPr="004F4708">
        <w:rPr>
          <w:b/>
          <w:color w:val="000000"/>
        </w:rPr>
        <w:t>di Indonesia</w:t>
      </w:r>
    </w:p>
    <w:p w14:paraId="16BDB8C4" w14:textId="77777777" w:rsidR="004F5EC0" w:rsidRPr="004F4708" w:rsidRDefault="009B6C30" w:rsidP="004F5EC0">
      <w:pPr>
        <w:pStyle w:val="ListParagraph"/>
        <w:ind w:left="0" w:firstLine="567"/>
        <w:contextualSpacing w:val="0"/>
        <w:jc w:val="both"/>
        <w:rPr>
          <w:szCs w:val="26"/>
        </w:rPr>
      </w:pPr>
      <w:r w:rsidRPr="004F4708">
        <w:rPr>
          <w:szCs w:val="26"/>
        </w:rPr>
        <w:t xml:space="preserve">Sesungguhnya, PKn di Indonesia bukanlah hal baru. Beragam model dan nomenklatur PKn berkembang mengikuti irama kebijakan pendidikan nasional pada zamannya. </w:t>
      </w:r>
      <w:r w:rsidR="0065409C" w:rsidRPr="004F4708">
        <w:rPr>
          <w:szCs w:val="26"/>
        </w:rPr>
        <w:t>Kelihatam bahwa s</w:t>
      </w:r>
      <w:r w:rsidRPr="004F4708">
        <w:rPr>
          <w:szCs w:val="26"/>
        </w:rPr>
        <w:t xml:space="preserve">edapat mungkin manifestasi </w:t>
      </w:r>
      <w:r w:rsidR="00A247D3" w:rsidRPr="004F4708">
        <w:rPr>
          <w:szCs w:val="26"/>
        </w:rPr>
        <w:t>bentuk</w:t>
      </w:r>
      <w:r w:rsidR="00D04805" w:rsidRPr="004F4708">
        <w:rPr>
          <w:szCs w:val="26"/>
        </w:rPr>
        <w:t>-bentuk</w:t>
      </w:r>
      <w:r w:rsidR="00A247D3" w:rsidRPr="004F4708">
        <w:rPr>
          <w:szCs w:val="26"/>
        </w:rPr>
        <w:t xml:space="preserve"> </w:t>
      </w:r>
      <w:r w:rsidRPr="004F4708">
        <w:rPr>
          <w:szCs w:val="26"/>
        </w:rPr>
        <w:t>kesadaran bernegara</w:t>
      </w:r>
      <w:r w:rsidR="00D04805" w:rsidRPr="004F4708">
        <w:rPr>
          <w:szCs w:val="26"/>
        </w:rPr>
        <w:t xml:space="preserve"> direfleksikan ke dalam kebijakan pendidikan</w:t>
      </w:r>
      <w:r w:rsidRPr="004F4708">
        <w:rPr>
          <w:szCs w:val="26"/>
        </w:rPr>
        <w:t xml:space="preserve">. </w:t>
      </w:r>
    </w:p>
    <w:p w14:paraId="3C52913D" w14:textId="77777777" w:rsidR="004F5EC0" w:rsidRPr="004F4708" w:rsidRDefault="00A247D3" w:rsidP="004F5EC0">
      <w:pPr>
        <w:pStyle w:val="ListParagraph"/>
        <w:ind w:left="0" w:firstLine="567"/>
        <w:contextualSpacing w:val="0"/>
        <w:jc w:val="both"/>
        <w:rPr>
          <w:szCs w:val="26"/>
        </w:rPr>
      </w:pPr>
      <w:r w:rsidRPr="004F4708">
        <w:rPr>
          <w:szCs w:val="26"/>
        </w:rPr>
        <w:t xml:space="preserve">Nomenklatur PKn </w:t>
      </w:r>
      <w:r w:rsidR="0096531B" w:rsidRPr="004F4708">
        <w:rPr>
          <w:szCs w:val="26"/>
        </w:rPr>
        <w:t>mengalami pe</w:t>
      </w:r>
      <w:r w:rsidRPr="004F4708">
        <w:rPr>
          <w:szCs w:val="26"/>
        </w:rPr>
        <w:t>rubahan sesuai dengan tuntutan zamannya</w:t>
      </w:r>
      <w:r w:rsidR="0096531B" w:rsidRPr="004F4708">
        <w:rPr>
          <w:szCs w:val="26"/>
        </w:rPr>
        <w:t>. Bahkan, dalam rentang waktu yang panjang, kehadiran PKn dalam konteks pendidikan nasional Indonesia, tidak saja semata-mata disadari dapat memberikan kontribusi signifikan bagi penguatan paradigma dan sikap berbangsa dan bernegara, tetapi juga diyakini sangat efektif mendorong indoktrinasi terhadap pemantapan ideologi-ideologi penguasa di masa tertentu.</w:t>
      </w:r>
    </w:p>
    <w:p w14:paraId="5D56E5B5" w14:textId="77777777" w:rsidR="004F5EC0" w:rsidRPr="004F4708" w:rsidRDefault="0027578C" w:rsidP="004F5EC0">
      <w:pPr>
        <w:pStyle w:val="ListParagraph"/>
        <w:ind w:left="0" w:firstLine="567"/>
        <w:contextualSpacing w:val="0"/>
        <w:jc w:val="both"/>
        <w:rPr>
          <w:szCs w:val="26"/>
        </w:rPr>
      </w:pPr>
      <w:r w:rsidRPr="004F4708">
        <w:rPr>
          <w:szCs w:val="26"/>
        </w:rPr>
        <w:t>Beberapa nomenklatur PKn yang pernah berlaku dan digunakan adalah sebagai berikut</w:t>
      </w:r>
      <w:r w:rsidR="00185428" w:rsidRPr="004F4708">
        <w:rPr>
          <w:szCs w:val="26"/>
        </w:rPr>
        <w:t>:</w:t>
      </w:r>
      <w:r w:rsidRPr="004F4708">
        <w:rPr>
          <w:szCs w:val="26"/>
        </w:rPr>
        <w:t xml:space="preserve"> </w:t>
      </w:r>
      <w:r w:rsidR="009B6C30" w:rsidRPr="004F4708">
        <w:rPr>
          <w:szCs w:val="26"/>
        </w:rPr>
        <w:t>Pelajaran Civics (1957-1962), Pendidikan Kemasyarakatan yang merupakan integrasi sejarah, ilmu bumi dan kewarganegaraan (1964), Pendidikan Kewargaan Negara (1968-1969), Pendidikan Kewarganegaraan, Civics dan Hukum (1973), Pendidikan Moral Pancasila/PMP (1975-1984), Pendidikan Pancasila dan Kewarganegaraan/PPKn (1994) dan Pendidikan Kewarganegaraan/PKn (1998-sekarang).</w:t>
      </w:r>
      <w:r w:rsidR="0004724C" w:rsidRPr="004F4708">
        <w:rPr>
          <w:rStyle w:val="FootnoteReference"/>
          <w:color w:val="000000"/>
          <w:szCs w:val="26"/>
        </w:rPr>
        <w:footnoteReference w:id="17"/>
      </w:r>
    </w:p>
    <w:p w14:paraId="1339C8B3" w14:textId="77777777" w:rsidR="004F5EC0" w:rsidRPr="004F4708" w:rsidRDefault="009B6C30" w:rsidP="004F5EC0">
      <w:pPr>
        <w:pStyle w:val="ListParagraph"/>
        <w:ind w:left="0" w:firstLine="567"/>
        <w:contextualSpacing w:val="0"/>
        <w:jc w:val="both"/>
        <w:rPr>
          <w:szCs w:val="26"/>
        </w:rPr>
      </w:pPr>
      <w:r w:rsidRPr="004F4708">
        <w:rPr>
          <w:szCs w:val="26"/>
        </w:rPr>
        <w:t xml:space="preserve">Pada masa Orde Lama (1945-1965), pelajaran Civics yang diperluas dengan judul mata pelajaran </w:t>
      </w:r>
      <w:r w:rsidRPr="004F4708">
        <w:rPr>
          <w:i/>
          <w:szCs w:val="26"/>
        </w:rPr>
        <w:t xml:space="preserve">Manusia dan Masjarakat Baru Indonesia </w:t>
      </w:r>
      <w:r w:rsidRPr="004F4708">
        <w:rPr>
          <w:szCs w:val="26"/>
        </w:rPr>
        <w:t>secara tegas menyatakan untuk mendukung Manifesto Politik Republik Indonesia untuk membangun masyarakat baru versi Soekarno, Masyarakat Sosialis Indonesia.</w:t>
      </w:r>
      <w:r w:rsidR="0004724C" w:rsidRPr="004F4708">
        <w:rPr>
          <w:rStyle w:val="FootnoteReference"/>
          <w:szCs w:val="26"/>
        </w:rPr>
        <w:footnoteReference w:id="18"/>
      </w:r>
    </w:p>
    <w:p w14:paraId="55C8383F" w14:textId="77777777" w:rsidR="004F5EC0" w:rsidRPr="004F4708" w:rsidRDefault="009B6C30" w:rsidP="004F5EC0">
      <w:pPr>
        <w:pStyle w:val="ListParagraph"/>
        <w:ind w:left="0" w:firstLine="567"/>
        <w:contextualSpacing w:val="0"/>
        <w:jc w:val="both"/>
        <w:rPr>
          <w:szCs w:val="26"/>
        </w:rPr>
      </w:pPr>
      <w:r w:rsidRPr="004F4708">
        <w:rPr>
          <w:szCs w:val="26"/>
        </w:rPr>
        <w:t xml:space="preserve">Pada masa Orde Baru (1966-1998), nomenklatur yang digunakan untuk secara efektif melancarkan ideologinya adalah Pendidikan Moral Pancasila (PMP) yang berisikan materi Pancasila, sebagaimana diuraikan dalam Pedoman Penghayatan dan Pengamalan Pancasila (P-4). </w:t>
      </w:r>
    </w:p>
    <w:p w14:paraId="33A2E35E" w14:textId="77777777" w:rsidR="004F5EC0" w:rsidRPr="004F4708" w:rsidRDefault="009B6C30" w:rsidP="004F5EC0">
      <w:pPr>
        <w:pStyle w:val="ListParagraph"/>
        <w:ind w:left="0" w:firstLine="567"/>
        <w:contextualSpacing w:val="0"/>
        <w:jc w:val="both"/>
        <w:rPr>
          <w:szCs w:val="26"/>
        </w:rPr>
      </w:pPr>
      <w:r w:rsidRPr="004F4708">
        <w:rPr>
          <w:szCs w:val="26"/>
        </w:rPr>
        <w:t>Mata pelajaran ini berlaku untuk semua jenjang sekolah – dari sekolah dasar sampai perguruan tinggi - sebagai mandat dari Ketetapan MPR No. II/MPR/1978 tentang Pedoman Penghayatan dan Pengamalan Pancasila (Ekaprasetya Pancakarsa) dan Penetapan tentang Penegasan Pancasila Sebagai Dasar Negara.</w:t>
      </w:r>
      <w:r w:rsidRPr="004F4708">
        <w:rPr>
          <w:rStyle w:val="FootnoteReference"/>
          <w:szCs w:val="26"/>
        </w:rPr>
        <w:footnoteReference w:id="19"/>
      </w:r>
      <w:r w:rsidR="005E3BAC" w:rsidRPr="004F4708">
        <w:rPr>
          <w:szCs w:val="26"/>
        </w:rPr>
        <w:t xml:space="preserve"> </w:t>
      </w:r>
    </w:p>
    <w:p w14:paraId="73548B1A" w14:textId="77777777" w:rsidR="004F5EC0" w:rsidRPr="004F4708" w:rsidRDefault="00E45CDD" w:rsidP="004F5EC0">
      <w:pPr>
        <w:pStyle w:val="ListParagraph"/>
        <w:ind w:left="0" w:firstLine="567"/>
        <w:contextualSpacing w:val="0"/>
        <w:jc w:val="both"/>
        <w:rPr>
          <w:szCs w:val="26"/>
        </w:rPr>
      </w:pPr>
      <w:r w:rsidRPr="004F4708">
        <w:rPr>
          <w:szCs w:val="26"/>
        </w:rPr>
        <w:t xml:space="preserve">Pada Era Reformasi (1998-sekarang), nomenklatur yang digunakan adalah pendidikan kewarganegaraan (PKn). Untuk jenjang perguruan tinggi, sebagiannya </w:t>
      </w:r>
      <w:r w:rsidR="00185428" w:rsidRPr="004F4708">
        <w:rPr>
          <w:szCs w:val="26"/>
        </w:rPr>
        <w:t xml:space="preserve">bahkan </w:t>
      </w:r>
      <w:r w:rsidRPr="004F4708">
        <w:rPr>
          <w:szCs w:val="26"/>
        </w:rPr>
        <w:t>menggunakan nomenklatur tambahan Pendidikan Kewarganegaraan dan HAM</w:t>
      </w:r>
      <w:r w:rsidR="0004724C" w:rsidRPr="004F4708">
        <w:rPr>
          <w:rStyle w:val="FootnoteReference"/>
          <w:color w:val="000000"/>
          <w:szCs w:val="26"/>
        </w:rPr>
        <w:footnoteReference w:id="20"/>
      </w:r>
      <w:r w:rsidRPr="004F4708">
        <w:rPr>
          <w:szCs w:val="26"/>
        </w:rPr>
        <w:t xml:space="preserve"> untuk me</w:t>
      </w:r>
      <w:r w:rsidR="00185428" w:rsidRPr="004F4708">
        <w:rPr>
          <w:szCs w:val="26"/>
        </w:rPr>
        <w:t xml:space="preserve">refleksikan </w:t>
      </w:r>
      <w:r w:rsidRPr="004F4708">
        <w:rPr>
          <w:szCs w:val="26"/>
        </w:rPr>
        <w:t>reformasi kurikulum dan meng</w:t>
      </w:r>
      <w:r w:rsidR="00185428" w:rsidRPr="004F4708">
        <w:rPr>
          <w:szCs w:val="26"/>
        </w:rPr>
        <w:t>adaptasi kon</w:t>
      </w:r>
      <w:r w:rsidRPr="004F4708">
        <w:rPr>
          <w:szCs w:val="26"/>
        </w:rPr>
        <w:t>teks ke-Ind</w:t>
      </w:r>
      <w:r w:rsidR="004F5EC0" w:rsidRPr="004F4708">
        <w:rPr>
          <w:szCs w:val="26"/>
        </w:rPr>
        <w:t xml:space="preserve">onesian baru di Era Reformasi. </w:t>
      </w:r>
    </w:p>
    <w:p w14:paraId="489D0809" w14:textId="77777777" w:rsidR="004F5EC0" w:rsidRPr="004F4708" w:rsidRDefault="00D300BA" w:rsidP="004F5EC0">
      <w:pPr>
        <w:pStyle w:val="ListParagraph"/>
        <w:ind w:left="0" w:firstLine="567"/>
        <w:contextualSpacing w:val="0"/>
        <w:jc w:val="both"/>
        <w:rPr>
          <w:szCs w:val="26"/>
        </w:rPr>
      </w:pPr>
      <w:r w:rsidRPr="004F4708">
        <w:rPr>
          <w:szCs w:val="26"/>
        </w:rPr>
        <w:t xml:space="preserve">Kemunculan reformasi 1998 berimplikasi pada </w:t>
      </w:r>
      <w:r w:rsidR="004D7E4E" w:rsidRPr="004F4708">
        <w:rPr>
          <w:szCs w:val="26"/>
        </w:rPr>
        <w:t xml:space="preserve">kaji ulang </w:t>
      </w:r>
      <w:r w:rsidRPr="004F4708">
        <w:rPr>
          <w:szCs w:val="26"/>
        </w:rPr>
        <w:t xml:space="preserve">pemantapan arah dan tujuan pendidikan nasional. Pasca-Orde Baru, kehendak nasional atas formulasi warga negara dan relasinya dengan negara mengalami perubahan fundamental. Hal itu sangat logis karena relasi fungsional antara keduanya – dalam sejarah panjang </w:t>
      </w:r>
      <w:r w:rsidR="00200817" w:rsidRPr="004F4708">
        <w:rPr>
          <w:szCs w:val="26"/>
        </w:rPr>
        <w:t xml:space="preserve">Orde Baru di </w:t>
      </w:r>
      <w:r w:rsidRPr="004F4708">
        <w:rPr>
          <w:szCs w:val="26"/>
        </w:rPr>
        <w:t>Indonesia - acapkali dibangun dalam kendali kekuasaan yang mo</w:t>
      </w:r>
      <w:r w:rsidR="005E3BAC" w:rsidRPr="004F4708">
        <w:rPr>
          <w:szCs w:val="26"/>
        </w:rPr>
        <w:t>nolitik dan politik birokrasi otoritarianisme.</w:t>
      </w:r>
      <w:r w:rsidR="0004724C" w:rsidRPr="004F4708">
        <w:rPr>
          <w:rStyle w:val="FootnoteReference"/>
          <w:color w:val="000000"/>
          <w:szCs w:val="26"/>
        </w:rPr>
        <w:footnoteReference w:id="21"/>
      </w:r>
    </w:p>
    <w:p w14:paraId="2AB57C00" w14:textId="77777777" w:rsidR="004F5EC0" w:rsidRPr="004F4708" w:rsidRDefault="007A38F3" w:rsidP="004F5EC0">
      <w:pPr>
        <w:pStyle w:val="ListParagraph"/>
        <w:ind w:left="0" w:firstLine="567"/>
        <w:contextualSpacing w:val="0"/>
        <w:jc w:val="both"/>
        <w:rPr>
          <w:szCs w:val="26"/>
        </w:rPr>
      </w:pPr>
      <w:r w:rsidRPr="004F4708">
        <w:rPr>
          <w:szCs w:val="26"/>
        </w:rPr>
        <w:t>Arah dan pijakan normatif negara hukum demokratis di era Reformasi sangat mewarnai pergeseran paradigma PKn. Pendekatan kewarganegaraan republikan (</w:t>
      </w:r>
      <w:r w:rsidRPr="004F4708">
        <w:rPr>
          <w:i/>
          <w:szCs w:val="26"/>
        </w:rPr>
        <w:t>republican citizenship</w:t>
      </w:r>
      <w:r w:rsidRPr="004F4708">
        <w:rPr>
          <w:szCs w:val="26"/>
        </w:rPr>
        <w:t>)</w:t>
      </w:r>
      <w:r w:rsidR="00DB779B" w:rsidRPr="004F4708">
        <w:rPr>
          <w:rStyle w:val="FootnoteReference"/>
          <w:szCs w:val="26"/>
        </w:rPr>
        <w:footnoteReference w:id="22"/>
      </w:r>
      <w:r w:rsidRPr="004F4708">
        <w:rPr>
          <w:i/>
          <w:szCs w:val="26"/>
        </w:rPr>
        <w:t xml:space="preserve"> </w:t>
      </w:r>
      <w:r w:rsidRPr="004F4708">
        <w:rPr>
          <w:szCs w:val="26"/>
        </w:rPr>
        <w:t xml:space="preserve">yang ditandai dengan konstruk proteksi hukum relasi sosial dan politik dalam negara menjadi pilihan rasional </w:t>
      </w:r>
      <w:r w:rsidR="00455BCD" w:rsidRPr="004F4708">
        <w:rPr>
          <w:szCs w:val="26"/>
        </w:rPr>
        <w:t xml:space="preserve">di ea Reformasi. Relasi negara-warga negara dan penetapan standar kebajikan umum </w:t>
      </w:r>
      <w:r w:rsidR="00AE2A1C" w:rsidRPr="004F4708">
        <w:rPr>
          <w:szCs w:val="26"/>
        </w:rPr>
        <w:t>(</w:t>
      </w:r>
      <w:r w:rsidR="00AE2A1C" w:rsidRPr="004F4708">
        <w:rPr>
          <w:i/>
          <w:szCs w:val="26"/>
        </w:rPr>
        <w:t>public virtu</w:t>
      </w:r>
      <w:r w:rsidR="00200817" w:rsidRPr="004F4708">
        <w:rPr>
          <w:i/>
          <w:szCs w:val="26"/>
        </w:rPr>
        <w:t>es</w:t>
      </w:r>
      <w:r w:rsidR="00AE2A1C" w:rsidRPr="004F4708">
        <w:rPr>
          <w:szCs w:val="26"/>
        </w:rPr>
        <w:t>)</w:t>
      </w:r>
      <w:r w:rsidR="00AE2A1C" w:rsidRPr="004F4708">
        <w:rPr>
          <w:i/>
          <w:szCs w:val="26"/>
        </w:rPr>
        <w:t xml:space="preserve"> </w:t>
      </w:r>
      <w:r w:rsidR="00455BCD" w:rsidRPr="004F4708">
        <w:rPr>
          <w:szCs w:val="26"/>
        </w:rPr>
        <w:t xml:space="preserve">dikuatkan melalui konstitusi. </w:t>
      </w:r>
    </w:p>
    <w:p w14:paraId="04AC31B7" w14:textId="79615BCB" w:rsidR="00D300BA" w:rsidRPr="004F4708" w:rsidRDefault="00E066D1" w:rsidP="004F5EC0">
      <w:pPr>
        <w:pStyle w:val="ListParagraph"/>
        <w:ind w:left="0" w:firstLine="567"/>
        <w:contextualSpacing w:val="0"/>
        <w:jc w:val="both"/>
        <w:rPr>
          <w:szCs w:val="26"/>
        </w:rPr>
      </w:pPr>
      <w:r w:rsidRPr="004F4708">
        <w:rPr>
          <w:szCs w:val="26"/>
        </w:rPr>
        <w:t>Perkembangan PKn di e</w:t>
      </w:r>
      <w:r w:rsidR="00D300BA" w:rsidRPr="004F4708">
        <w:rPr>
          <w:szCs w:val="26"/>
        </w:rPr>
        <w:t xml:space="preserve">ra Reformasi menempatkan warga negara demokratis sebagai pilar </w:t>
      </w:r>
      <w:r w:rsidR="00DF1F6C" w:rsidRPr="004F4708">
        <w:rPr>
          <w:szCs w:val="26"/>
        </w:rPr>
        <w:t xml:space="preserve">utama </w:t>
      </w:r>
      <w:r w:rsidR="00D300BA" w:rsidRPr="004F4708">
        <w:rPr>
          <w:szCs w:val="26"/>
        </w:rPr>
        <w:t xml:space="preserve">yang mampu menopang </w:t>
      </w:r>
      <w:r w:rsidR="00DF1F6C" w:rsidRPr="004F4708">
        <w:rPr>
          <w:szCs w:val="26"/>
        </w:rPr>
        <w:t xml:space="preserve">tegaknya </w:t>
      </w:r>
      <w:r w:rsidR="00D300BA" w:rsidRPr="004F4708">
        <w:rPr>
          <w:szCs w:val="26"/>
        </w:rPr>
        <w:t xml:space="preserve">identitas </w:t>
      </w:r>
      <w:r w:rsidR="00DF1F6C" w:rsidRPr="004F4708">
        <w:rPr>
          <w:szCs w:val="26"/>
        </w:rPr>
        <w:t xml:space="preserve">dan karakter </w:t>
      </w:r>
      <w:r w:rsidR="00D300BA" w:rsidRPr="004F4708">
        <w:rPr>
          <w:szCs w:val="26"/>
        </w:rPr>
        <w:t xml:space="preserve">nasional. </w:t>
      </w:r>
      <w:r w:rsidR="00DF1F6C" w:rsidRPr="004F4708">
        <w:rPr>
          <w:szCs w:val="26"/>
        </w:rPr>
        <w:t xml:space="preserve">Transformasi idealitas konstitusionalisme baru Indonesia diharapkan mampu menguatkan upaya pencapaian tujuan nasional Indonesia. </w:t>
      </w:r>
      <w:r w:rsidR="00D300BA" w:rsidRPr="004F4708">
        <w:rPr>
          <w:szCs w:val="26"/>
        </w:rPr>
        <w:t xml:space="preserve">Iklim politik </w:t>
      </w:r>
      <w:r w:rsidR="00DF1F6C" w:rsidRPr="004F4708">
        <w:rPr>
          <w:szCs w:val="26"/>
        </w:rPr>
        <w:t xml:space="preserve">dengan desentralisasi pemerintahan, kebebasan pers, penghormatan HAM jelas </w:t>
      </w:r>
      <w:r w:rsidR="00D300BA" w:rsidRPr="004F4708">
        <w:rPr>
          <w:szCs w:val="26"/>
        </w:rPr>
        <w:t xml:space="preserve">meniscayakan ruang partisipasi </w:t>
      </w:r>
      <w:r w:rsidR="00DF1F6C" w:rsidRPr="004F4708">
        <w:rPr>
          <w:szCs w:val="26"/>
        </w:rPr>
        <w:t xml:space="preserve">aktif </w:t>
      </w:r>
      <w:r w:rsidR="00D300BA" w:rsidRPr="004F4708">
        <w:rPr>
          <w:szCs w:val="26"/>
        </w:rPr>
        <w:t>warga negara. Konstruk</w:t>
      </w:r>
      <w:r w:rsidR="00DF1F6C" w:rsidRPr="004F4708">
        <w:rPr>
          <w:szCs w:val="26"/>
        </w:rPr>
        <w:t>si</w:t>
      </w:r>
      <w:r w:rsidR="00D300BA" w:rsidRPr="004F4708">
        <w:rPr>
          <w:szCs w:val="26"/>
        </w:rPr>
        <w:t xml:space="preserve"> PKn pun </w:t>
      </w:r>
      <w:r w:rsidR="00DF1F6C" w:rsidRPr="004F4708">
        <w:rPr>
          <w:szCs w:val="26"/>
        </w:rPr>
        <w:t>mengalami perubahan fundamental</w:t>
      </w:r>
      <w:r w:rsidR="0067332A" w:rsidRPr="004F4708">
        <w:rPr>
          <w:szCs w:val="26"/>
        </w:rPr>
        <w:t xml:space="preserve">. PKn </w:t>
      </w:r>
      <w:r w:rsidR="00D300BA" w:rsidRPr="004F4708">
        <w:rPr>
          <w:szCs w:val="26"/>
        </w:rPr>
        <w:t xml:space="preserve">menitikberatkan </w:t>
      </w:r>
      <w:r w:rsidR="0067332A" w:rsidRPr="004F4708">
        <w:rPr>
          <w:szCs w:val="26"/>
        </w:rPr>
        <w:t xml:space="preserve">materi muatannya </w:t>
      </w:r>
      <w:r w:rsidR="00D300BA" w:rsidRPr="004F4708">
        <w:rPr>
          <w:szCs w:val="26"/>
        </w:rPr>
        <w:t>pada sistem demokrasi, tertib hukum dan masyarakat sipil.</w:t>
      </w:r>
    </w:p>
    <w:p w14:paraId="5CFBF69F" w14:textId="77777777" w:rsidR="00D300BA" w:rsidRPr="004F4708" w:rsidRDefault="00D300BA" w:rsidP="004F5EC0">
      <w:pPr>
        <w:pStyle w:val="ListParagraph"/>
        <w:numPr>
          <w:ilvl w:val="0"/>
          <w:numId w:val="1"/>
        </w:numPr>
        <w:autoSpaceDE w:val="0"/>
        <w:autoSpaceDN w:val="0"/>
        <w:adjustRightInd w:val="0"/>
        <w:ind w:left="567" w:hanging="567"/>
        <w:contextualSpacing w:val="0"/>
        <w:jc w:val="both"/>
        <w:rPr>
          <w:b/>
          <w:sz w:val="20"/>
          <w:szCs w:val="24"/>
        </w:rPr>
      </w:pPr>
      <w:r w:rsidRPr="004F4708">
        <w:rPr>
          <w:b/>
          <w:sz w:val="20"/>
          <w:szCs w:val="24"/>
        </w:rPr>
        <w:t>Materi Muatan HAM dalam Kurikulum PKn</w:t>
      </w:r>
    </w:p>
    <w:p w14:paraId="37188A9D" w14:textId="77777777" w:rsidR="004F5EC0" w:rsidRPr="004F4708" w:rsidRDefault="007465DB" w:rsidP="004F5EC0">
      <w:pPr>
        <w:pStyle w:val="ListParagraph"/>
        <w:autoSpaceDE w:val="0"/>
        <w:autoSpaceDN w:val="0"/>
        <w:adjustRightInd w:val="0"/>
        <w:ind w:left="0" w:firstLine="567"/>
        <w:contextualSpacing w:val="0"/>
        <w:jc w:val="both"/>
        <w:rPr>
          <w:szCs w:val="26"/>
        </w:rPr>
      </w:pPr>
      <w:r w:rsidRPr="004F4708">
        <w:rPr>
          <w:szCs w:val="26"/>
        </w:rPr>
        <w:t xml:space="preserve">Tuntutan </w:t>
      </w:r>
      <w:r w:rsidRPr="004F4708">
        <w:rPr>
          <w:sz w:val="20"/>
          <w:szCs w:val="24"/>
        </w:rPr>
        <w:t>k</w:t>
      </w:r>
      <w:r w:rsidR="009E11B5" w:rsidRPr="004F4708">
        <w:rPr>
          <w:szCs w:val="26"/>
        </w:rPr>
        <w:t>ehendak hidup yang demokratis</w:t>
      </w:r>
      <w:r w:rsidRPr="004F4708">
        <w:rPr>
          <w:szCs w:val="26"/>
        </w:rPr>
        <w:t>, partisipatif d</w:t>
      </w:r>
      <w:r w:rsidR="009E11B5" w:rsidRPr="004F4708">
        <w:rPr>
          <w:szCs w:val="26"/>
        </w:rPr>
        <w:t xml:space="preserve">an akuntabilitas penyelenggraan pemerintahan menjadi isu utama bergesernya nomenklatur dan materi muatan PKn. Tekanan pada pengenalan lembaga-lembaga politik negara, HAM, konstitusionalisme dan demokratisasi menjadi cakupan pembahasan yang menonjol dalam mata pelajaran PKn. PKn </w:t>
      </w:r>
      <w:r w:rsidR="00802D4F" w:rsidRPr="004F4708">
        <w:rPr>
          <w:szCs w:val="26"/>
        </w:rPr>
        <w:t>bergerak sebagai</w:t>
      </w:r>
      <w:r w:rsidR="009E11B5" w:rsidRPr="004F4708">
        <w:rPr>
          <w:szCs w:val="26"/>
        </w:rPr>
        <w:t xml:space="preserve"> media </w:t>
      </w:r>
      <w:r w:rsidR="00802D4F" w:rsidRPr="004F4708">
        <w:rPr>
          <w:szCs w:val="26"/>
        </w:rPr>
        <w:t xml:space="preserve">pembelajaran </w:t>
      </w:r>
      <w:r w:rsidR="009E11B5" w:rsidRPr="004F4708">
        <w:rPr>
          <w:szCs w:val="26"/>
        </w:rPr>
        <w:t xml:space="preserve">terbaik yang diyakini mampu membekali materi muatan HAM yang berimplikasi positif terhadap peningkatan literasi HAM. </w:t>
      </w:r>
    </w:p>
    <w:p w14:paraId="53515787" w14:textId="77777777" w:rsidR="004F5EC0" w:rsidRPr="004F4708" w:rsidRDefault="00700151" w:rsidP="004F5EC0">
      <w:pPr>
        <w:pStyle w:val="ListParagraph"/>
        <w:autoSpaceDE w:val="0"/>
        <w:autoSpaceDN w:val="0"/>
        <w:adjustRightInd w:val="0"/>
        <w:ind w:left="0" w:firstLine="567"/>
        <w:contextualSpacing w:val="0"/>
        <w:jc w:val="both"/>
        <w:rPr>
          <w:szCs w:val="26"/>
        </w:rPr>
      </w:pPr>
      <w:r w:rsidRPr="004F4708">
        <w:rPr>
          <w:szCs w:val="26"/>
        </w:rPr>
        <w:t>M</w:t>
      </w:r>
      <w:r w:rsidR="00CB79D4" w:rsidRPr="004F4708">
        <w:rPr>
          <w:szCs w:val="26"/>
        </w:rPr>
        <w:t>ateri muatan HAM terangkum dalam materi muatan pembelajaran PKn di setiap satuan pendidikan, baik dasar dan menengah, maupun pendidikan tinggi. Khusus untuk PKn di satuan pendidikan tinggi, muatan materi HAM sepenuhnya berisikan cara pandang holistik ke-Indonesiaan dalam upaya mengukuhkan kepribadian dan jati diri warga negara Indonesia.</w:t>
      </w:r>
      <w:r w:rsidR="00C15609" w:rsidRPr="004F4708">
        <w:rPr>
          <w:rStyle w:val="FootnoteReference"/>
          <w:color w:val="000000"/>
          <w:szCs w:val="26"/>
        </w:rPr>
        <w:footnoteReference w:id="23"/>
      </w:r>
    </w:p>
    <w:p w14:paraId="571AF1CF" w14:textId="77777777" w:rsidR="004F5EC0" w:rsidRPr="004F4708" w:rsidRDefault="00CB79D4" w:rsidP="004F5EC0">
      <w:pPr>
        <w:pStyle w:val="ListParagraph"/>
        <w:autoSpaceDE w:val="0"/>
        <w:autoSpaceDN w:val="0"/>
        <w:adjustRightInd w:val="0"/>
        <w:ind w:left="0" w:firstLine="567"/>
        <w:contextualSpacing w:val="0"/>
        <w:jc w:val="both"/>
        <w:rPr>
          <w:szCs w:val="26"/>
        </w:rPr>
      </w:pPr>
      <w:r w:rsidRPr="004F4708">
        <w:rPr>
          <w:szCs w:val="26"/>
        </w:rPr>
        <w:t>Karakteristik ini menjadi pembedaan yang kuat untuk menerjemahkan materi muatan ajar PKN ke dalam bingkai pembelajaran berpusat pada siswa atau mahasiswa.</w:t>
      </w:r>
      <w:r w:rsidR="00C15609" w:rsidRPr="004F4708">
        <w:rPr>
          <w:rStyle w:val="FootnoteReference"/>
          <w:color w:val="000000"/>
          <w:szCs w:val="26"/>
        </w:rPr>
        <w:footnoteReference w:id="24"/>
      </w:r>
      <w:r w:rsidR="009D4B44" w:rsidRPr="004F4708">
        <w:rPr>
          <w:szCs w:val="26"/>
        </w:rPr>
        <w:t xml:space="preserve"> </w:t>
      </w:r>
      <w:r w:rsidRPr="004F4708">
        <w:rPr>
          <w:szCs w:val="26"/>
        </w:rPr>
        <w:t xml:space="preserve">Ragam materi muatan pun dikembangkan pada kajian-kajian kewarganegaraan, seperti toleransi, HAM, keadilan sosial, keragaman dan kesetaraan, </w:t>
      </w:r>
    </w:p>
    <w:p w14:paraId="697D8EC5" w14:textId="77777777" w:rsidR="004F5EC0" w:rsidRPr="004F4708" w:rsidRDefault="003A5406" w:rsidP="004F5EC0">
      <w:pPr>
        <w:pStyle w:val="ListParagraph"/>
        <w:autoSpaceDE w:val="0"/>
        <w:autoSpaceDN w:val="0"/>
        <w:adjustRightInd w:val="0"/>
        <w:ind w:left="0" w:firstLine="567"/>
        <w:contextualSpacing w:val="0"/>
        <w:jc w:val="both"/>
        <w:rPr>
          <w:szCs w:val="26"/>
        </w:rPr>
      </w:pPr>
      <w:r w:rsidRPr="004F4708">
        <w:rPr>
          <w:szCs w:val="26"/>
        </w:rPr>
        <w:t>Namun demikian, kelihatan bahwa m</w:t>
      </w:r>
      <w:r w:rsidR="00CB79D4" w:rsidRPr="004F4708">
        <w:rPr>
          <w:szCs w:val="26"/>
        </w:rPr>
        <w:t xml:space="preserve">ateri muatan HAM dalam kurikulum PKn semata-mata dijabarkan dalam konteks </w:t>
      </w:r>
      <w:r w:rsidR="00CB79D4" w:rsidRPr="004F4708">
        <w:rPr>
          <w:i/>
          <w:szCs w:val="26"/>
        </w:rPr>
        <w:t xml:space="preserve">civil rights </w:t>
      </w:r>
      <w:r w:rsidR="00CB79D4" w:rsidRPr="004F4708">
        <w:rPr>
          <w:szCs w:val="26"/>
        </w:rPr>
        <w:t xml:space="preserve">dan </w:t>
      </w:r>
      <w:r w:rsidR="00CB79D4" w:rsidRPr="004F4708">
        <w:rPr>
          <w:i/>
          <w:szCs w:val="26"/>
        </w:rPr>
        <w:t xml:space="preserve">civil liberties </w:t>
      </w:r>
      <w:r w:rsidR="00CB79D4" w:rsidRPr="004F4708">
        <w:rPr>
          <w:szCs w:val="26"/>
        </w:rPr>
        <w:t>yang mengerucut ke dalam spektrum partisipasi politik dalam sistem demokrasi elektoral Indonesia. Hal ini di</w:t>
      </w:r>
      <w:r w:rsidRPr="004F4708">
        <w:rPr>
          <w:szCs w:val="26"/>
        </w:rPr>
        <w:t xml:space="preserve">artikulasikan </w:t>
      </w:r>
      <w:r w:rsidR="00CB79D4" w:rsidRPr="004F4708">
        <w:rPr>
          <w:szCs w:val="26"/>
        </w:rPr>
        <w:t xml:space="preserve">sebagai pencapaian </w:t>
      </w:r>
      <w:r w:rsidR="00CB79D4" w:rsidRPr="004F4708">
        <w:rPr>
          <w:i/>
          <w:szCs w:val="26"/>
        </w:rPr>
        <w:t>good citizen</w:t>
      </w:r>
      <w:r w:rsidR="00CB79D4" w:rsidRPr="004F4708">
        <w:rPr>
          <w:szCs w:val="26"/>
        </w:rPr>
        <w:t>.</w:t>
      </w:r>
      <w:r w:rsidR="00C15609" w:rsidRPr="004F4708">
        <w:rPr>
          <w:rStyle w:val="FootnoteReference"/>
          <w:color w:val="000000"/>
          <w:szCs w:val="26"/>
        </w:rPr>
        <w:footnoteReference w:id="25"/>
      </w:r>
      <w:r w:rsidR="00CB79D4" w:rsidRPr="004F4708">
        <w:rPr>
          <w:i/>
          <w:szCs w:val="26"/>
        </w:rPr>
        <w:t xml:space="preserve"> </w:t>
      </w:r>
      <w:r w:rsidR="00CB79D4" w:rsidRPr="004F4708">
        <w:rPr>
          <w:szCs w:val="26"/>
        </w:rPr>
        <w:t>Dalam kaitan ini, hak menyampaikan pendapat dan menggunakan hak pilih politik sebagai manifestasi partisipasi politik menjadi andalan utam</w:t>
      </w:r>
      <w:r w:rsidR="004F5EC0" w:rsidRPr="004F4708">
        <w:rPr>
          <w:szCs w:val="26"/>
        </w:rPr>
        <w:t xml:space="preserve">a materi muatan HAM dalam PKn. </w:t>
      </w:r>
    </w:p>
    <w:p w14:paraId="3CED3D49" w14:textId="77777777" w:rsidR="004F5EC0" w:rsidRPr="004F4708" w:rsidRDefault="00D300BA" w:rsidP="004F5EC0">
      <w:pPr>
        <w:pStyle w:val="ListParagraph"/>
        <w:autoSpaceDE w:val="0"/>
        <w:autoSpaceDN w:val="0"/>
        <w:adjustRightInd w:val="0"/>
        <w:ind w:left="0" w:firstLine="567"/>
        <w:contextualSpacing w:val="0"/>
        <w:jc w:val="both"/>
        <w:rPr>
          <w:szCs w:val="26"/>
        </w:rPr>
      </w:pPr>
      <w:r w:rsidRPr="004F4708">
        <w:rPr>
          <w:szCs w:val="26"/>
        </w:rPr>
        <w:t>Dari struktur mata kuliah wajib di perguruan tinggi, mata kuliah PKn dikenal sebagai mata kuliah yang berarsian langsung dengan materi muatan HAM. Kurikulum PKn yang berisikan sejumlah pembahasan terkait sistem demokrasi, tertib hukum dan akses keadilan sosial setidaknya mencakup tiga komponen mendasar, yakni sistem pemerintahan dan penegakan hukum, sistem demokrasi dan desentralisasi serta partisipa</w:t>
      </w:r>
      <w:r w:rsidR="004F5EC0" w:rsidRPr="004F4708">
        <w:rPr>
          <w:szCs w:val="26"/>
        </w:rPr>
        <w:t>si publik dan masyarakat sipil.</w:t>
      </w:r>
    </w:p>
    <w:p w14:paraId="6D473D91" w14:textId="77777777" w:rsidR="004F5EC0" w:rsidRPr="004F4708" w:rsidRDefault="00D300BA" w:rsidP="004F5EC0">
      <w:pPr>
        <w:pStyle w:val="ListParagraph"/>
        <w:autoSpaceDE w:val="0"/>
        <w:autoSpaceDN w:val="0"/>
        <w:adjustRightInd w:val="0"/>
        <w:ind w:left="0" w:firstLine="567"/>
        <w:contextualSpacing w:val="0"/>
        <w:jc w:val="both"/>
        <w:rPr>
          <w:szCs w:val="26"/>
        </w:rPr>
      </w:pPr>
      <w:r w:rsidRPr="004F4708">
        <w:rPr>
          <w:szCs w:val="26"/>
        </w:rPr>
        <w:t>Ketiga komponen utama ini dihadirkan untuk menguatkan pemahaman, sikap dan keterampilan warga negara Indonesia yang toleran, demokratis, patuh kepada hukum serta penatakelolaan organisasi pemerintahan yang baik. Sesungguhnya tarikan nafasnya berkaitan kuat dengan modalitas reformasi Indonesia sejak 1998 yang mengusung arah baru demokratisasi Indonesia daalm mewujudkan kehadiran wargan negara global yang respek pada HAM dan cinta perdamaian dunia</w:t>
      </w:r>
      <w:r w:rsidR="004F5EC0" w:rsidRPr="004F4708">
        <w:rPr>
          <w:szCs w:val="26"/>
        </w:rPr>
        <w:t xml:space="preserve">. </w:t>
      </w:r>
    </w:p>
    <w:p w14:paraId="79B3D220" w14:textId="77777777" w:rsidR="004F5EC0" w:rsidRPr="004F4708" w:rsidRDefault="00D300BA" w:rsidP="004F5EC0">
      <w:pPr>
        <w:pStyle w:val="ListParagraph"/>
        <w:autoSpaceDE w:val="0"/>
        <w:autoSpaceDN w:val="0"/>
        <w:adjustRightInd w:val="0"/>
        <w:ind w:left="0" w:firstLine="567"/>
        <w:contextualSpacing w:val="0"/>
        <w:jc w:val="both"/>
        <w:rPr>
          <w:szCs w:val="26"/>
        </w:rPr>
      </w:pPr>
      <w:r w:rsidRPr="004F4708">
        <w:rPr>
          <w:szCs w:val="26"/>
        </w:rPr>
        <w:t xml:space="preserve">Keterkaitan antara </w:t>
      </w:r>
      <w:r w:rsidR="009F62E8" w:rsidRPr="004F4708">
        <w:rPr>
          <w:szCs w:val="26"/>
        </w:rPr>
        <w:t xml:space="preserve">subyek </w:t>
      </w:r>
      <w:r w:rsidRPr="004F4708">
        <w:rPr>
          <w:szCs w:val="26"/>
        </w:rPr>
        <w:t xml:space="preserve">kewarganegaraan dan HAM sesungguhnya sangat kuat. Pendidikan HAM </w:t>
      </w:r>
      <w:r w:rsidR="00DB50E8" w:rsidRPr="004F4708">
        <w:rPr>
          <w:szCs w:val="26"/>
        </w:rPr>
        <w:t xml:space="preserve">acapkali dipandang sangat dekat dengan </w:t>
      </w:r>
      <w:r w:rsidRPr="004F4708">
        <w:rPr>
          <w:szCs w:val="26"/>
        </w:rPr>
        <w:t xml:space="preserve">PKn </w:t>
      </w:r>
      <w:r w:rsidR="00DB50E8" w:rsidRPr="004F4708">
        <w:rPr>
          <w:szCs w:val="26"/>
        </w:rPr>
        <w:t xml:space="preserve">karena berisikan materi muatan keadilan sosial yang </w:t>
      </w:r>
      <w:r w:rsidR="005C25EF" w:rsidRPr="004F4708">
        <w:rPr>
          <w:szCs w:val="26"/>
        </w:rPr>
        <w:t xml:space="preserve">turut </w:t>
      </w:r>
      <w:r w:rsidR="00DB50E8" w:rsidRPr="004F4708">
        <w:rPr>
          <w:szCs w:val="26"/>
        </w:rPr>
        <w:t>berupaya memajukan budaya HA</w:t>
      </w:r>
      <w:r w:rsidR="00122483" w:rsidRPr="004F4708">
        <w:rPr>
          <w:szCs w:val="26"/>
        </w:rPr>
        <w:t xml:space="preserve">M melalui </w:t>
      </w:r>
      <w:r w:rsidR="005C25EF" w:rsidRPr="004F4708">
        <w:rPr>
          <w:szCs w:val="26"/>
        </w:rPr>
        <w:t xml:space="preserve">ragam </w:t>
      </w:r>
      <w:r w:rsidR="00122483" w:rsidRPr="004F4708">
        <w:rPr>
          <w:szCs w:val="26"/>
        </w:rPr>
        <w:t>pengajaran (</w:t>
      </w:r>
      <w:r w:rsidR="00122483" w:rsidRPr="004F4708">
        <w:rPr>
          <w:i/>
          <w:szCs w:val="26"/>
        </w:rPr>
        <w:t>teaching</w:t>
      </w:r>
      <w:r w:rsidR="00122483" w:rsidRPr="004F4708">
        <w:rPr>
          <w:szCs w:val="26"/>
        </w:rPr>
        <w:t>) dan pembela</w:t>
      </w:r>
      <w:r w:rsidR="00DB50E8" w:rsidRPr="004F4708">
        <w:rPr>
          <w:szCs w:val="26"/>
        </w:rPr>
        <w:t>jaran</w:t>
      </w:r>
      <w:r w:rsidR="00122483" w:rsidRPr="004F4708">
        <w:rPr>
          <w:szCs w:val="26"/>
        </w:rPr>
        <w:t xml:space="preserve"> (</w:t>
      </w:r>
      <w:r w:rsidR="00122483" w:rsidRPr="004F4708">
        <w:rPr>
          <w:i/>
          <w:szCs w:val="26"/>
        </w:rPr>
        <w:t>leraning</w:t>
      </w:r>
      <w:r w:rsidR="00122483" w:rsidRPr="004F4708">
        <w:rPr>
          <w:szCs w:val="26"/>
        </w:rPr>
        <w:t>)</w:t>
      </w:r>
      <w:r w:rsidR="00DB50E8" w:rsidRPr="004F4708">
        <w:rPr>
          <w:szCs w:val="26"/>
        </w:rPr>
        <w:t>.</w:t>
      </w:r>
      <w:r w:rsidR="00C15609" w:rsidRPr="004F4708">
        <w:rPr>
          <w:rStyle w:val="FootnoteReference"/>
          <w:color w:val="000000"/>
          <w:szCs w:val="26"/>
        </w:rPr>
        <w:footnoteReference w:id="26"/>
      </w:r>
    </w:p>
    <w:p w14:paraId="42E26622" w14:textId="77777777" w:rsidR="004F5EC0" w:rsidRPr="004F4708" w:rsidRDefault="005C25EF" w:rsidP="004F5EC0">
      <w:pPr>
        <w:pStyle w:val="ListParagraph"/>
        <w:autoSpaceDE w:val="0"/>
        <w:autoSpaceDN w:val="0"/>
        <w:adjustRightInd w:val="0"/>
        <w:ind w:left="0" w:firstLine="567"/>
        <w:contextualSpacing w:val="0"/>
        <w:jc w:val="both"/>
        <w:rPr>
          <w:szCs w:val="26"/>
        </w:rPr>
      </w:pPr>
      <w:r w:rsidRPr="004F4708">
        <w:rPr>
          <w:szCs w:val="26"/>
        </w:rPr>
        <w:t>Sebagai</w:t>
      </w:r>
      <w:r w:rsidR="00D300BA" w:rsidRPr="004F4708">
        <w:rPr>
          <w:szCs w:val="26"/>
        </w:rPr>
        <w:t xml:space="preserve"> kaum muda</w:t>
      </w:r>
      <w:r w:rsidRPr="004F4708">
        <w:rPr>
          <w:szCs w:val="26"/>
        </w:rPr>
        <w:t xml:space="preserve">, mahasiswa adalah </w:t>
      </w:r>
      <w:r w:rsidR="00D300BA" w:rsidRPr="004F4708">
        <w:rPr>
          <w:szCs w:val="26"/>
        </w:rPr>
        <w:t>warga negara muda (</w:t>
      </w:r>
      <w:r w:rsidR="00D300BA" w:rsidRPr="004F4708">
        <w:rPr>
          <w:i/>
          <w:szCs w:val="26"/>
        </w:rPr>
        <w:t>young citizen</w:t>
      </w:r>
      <w:r w:rsidR="00D300BA" w:rsidRPr="004F4708">
        <w:rPr>
          <w:szCs w:val="26"/>
        </w:rPr>
        <w:t xml:space="preserve">). Pola kecenderunganya adalah berpikir kritis dan memiliki kekuatan komunitas yang kuat. Pemahaman atas hak-hak dasar konstitusional mereka patut ditumbuhkan </w:t>
      </w:r>
      <w:r w:rsidR="00F224BF" w:rsidRPr="004F4708">
        <w:rPr>
          <w:szCs w:val="26"/>
        </w:rPr>
        <w:t xml:space="preserve">termasuk mekanisme konstitusional yang berbasis HAM dalam kerangka manifestasi </w:t>
      </w:r>
      <w:r w:rsidR="00D300BA" w:rsidRPr="004F4708">
        <w:rPr>
          <w:szCs w:val="26"/>
        </w:rPr>
        <w:t>warga negara</w:t>
      </w:r>
      <w:r w:rsidR="00F224BF" w:rsidRPr="004F4708">
        <w:rPr>
          <w:szCs w:val="26"/>
        </w:rPr>
        <w:t xml:space="preserve"> demokratis</w:t>
      </w:r>
      <w:r w:rsidR="00D300BA" w:rsidRPr="004F4708">
        <w:rPr>
          <w:szCs w:val="26"/>
        </w:rPr>
        <w:t>. Di sinilah arti pentingnya proses membangun kesadaran budaya inklusif dan demokratis melalui kurikulum PKn.</w:t>
      </w:r>
      <w:r w:rsidR="002C6BAF" w:rsidRPr="004F4708">
        <w:rPr>
          <w:rStyle w:val="FootnoteReference"/>
          <w:i/>
          <w:szCs w:val="26"/>
        </w:rPr>
        <w:t xml:space="preserve"> </w:t>
      </w:r>
      <w:r w:rsidR="002C6BAF" w:rsidRPr="004F4708">
        <w:rPr>
          <w:szCs w:val="26"/>
        </w:rPr>
        <w:t>Bahkan lebih dari itu,</w:t>
      </w:r>
      <w:r w:rsidR="00D300BA" w:rsidRPr="004F4708">
        <w:rPr>
          <w:szCs w:val="26"/>
        </w:rPr>
        <w:t xml:space="preserve"> </w:t>
      </w:r>
      <w:r w:rsidR="002C6BAF" w:rsidRPr="004F4708">
        <w:rPr>
          <w:szCs w:val="26"/>
        </w:rPr>
        <w:t xml:space="preserve">menurut </w:t>
      </w:r>
      <w:r w:rsidR="00D300BA" w:rsidRPr="004F4708">
        <w:rPr>
          <w:szCs w:val="26"/>
        </w:rPr>
        <w:t>Jagdish Gundara</w:t>
      </w:r>
      <w:r w:rsidR="002C6BAF" w:rsidRPr="004F4708">
        <w:rPr>
          <w:szCs w:val="26"/>
        </w:rPr>
        <w:t xml:space="preserve"> kurikulum PKn juga mampu mendorong kaum muda yang tidak puas dengan mekanisme politik dapat menggunakan prinsip-prinsip konstitusi dan HAM.</w:t>
      </w:r>
      <w:r w:rsidR="00C15609" w:rsidRPr="004F4708">
        <w:rPr>
          <w:rStyle w:val="FootnoteReference"/>
          <w:color w:val="000000"/>
          <w:szCs w:val="26"/>
        </w:rPr>
        <w:footnoteReference w:id="27"/>
      </w:r>
    </w:p>
    <w:p w14:paraId="2954D61E" w14:textId="77777777" w:rsidR="004F5EC0" w:rsidRPr="004F4708" w:rsidRDefault="00D300BA" w:rsidP="004F5EC0">
      <w:pPr>
        <w:pStyle w:val="ListParagraph"/>
        <w:autoSpaceDE w:val="0"/>
        <w:autoSpaceDN w:val="0"/>
        <w:adjustRightInd w:val="0"/>
        <w:ind w:left="0" w:firstLine="567"/>
        <w:contextualSpacing w:val="0"/>
        <w:jc w:val="both"/>
        <w:rPr>
          <w:szCs w:val="26"/>
        </w:rPr>
      </w:pPr>
      <w:r w:rsidRPr="004F4708">
        <w:rPr>
          <w:szCs w:val="26"/>
        </w:rPr>
        <w:t xml:space="preserve">Sebagai </w:t>
      </w:r>
      <w:r w:rsidRPr="004F4708">
        <w:rPr>
          <w:i/>
          <w:szCs w:val="26"/>
        </w:rPr>
        <w:t>young citizen</w:t>
      </w:r>
      <w:r w:rsidRPr="004F4708">
        <w:rPr>
          <w:szCs w:val="26"/>
        </w:rPr>
        <w:t>, pemahaman, kepedulian dan keikutsertaan mahasiswa dalam membangun kualitas demokrasi sangat menentukan masa depan demokrasi itu sendiri. Pendidikan HAM menjadi sorotan utama dalam pengembangkan kurikulum PKn. Upaya ini sangat beralasan karena pendidikan HAM mendorong kesadaran pergaulan manusia yang beragam melalui sikap toleran, non-diskriminatif dan tanggung jawab menge</w:t>
      </w:r>
      <w:r w:rsidR="004F5EC0" w:rsidRPr="004F4708">
        <w:rPr>
          <w:szCs w:val="26"/>
        </w:rPr>
        <w:t xml:space="preserve">kalkan kesetaraan kemanusiaan. </w:t>
      </w:r>
    </w:p>
    <w:p w14:paraId="666F2993" w14:textId="77777777" w:rsidR="004F5EC0" w:rsidRPr="004F4708" w:rsidRDefault="00D300BA" w:rsidP="004F5EC0">
      <w:pPr>
        <w:pStyle w:val="ListParagraph"/>
        <w:autoSpaceDE w:val="0"/>
        <w:autoSpaceDN w:val="0"/>
        <w:adjustRightInd w:val="0"/>
        <w:ind w:left="0" w:firstLine="567"/>
        <w:contextualSpacing w:val="0"/>
        <w:jc w:val="both"/>
        <w:rPr>
          <w:szCs w:val="26"/>
        </w:rPr>
      </w:pPr>
      <w:r w:rsidRPr="004F4708">
        <w:rPr>
          <w:szCs w:val="26"/>
        </w:rPr>
        <w:t xml:space="preserve">Kesalahpahaman </w:t>
      </w:r>
      <w:r w:rsidR="0094680E" w:rsidRPr="004F4708">
        <w:rPr>
          <w:szCs w:val="26"/>
        </w:rPr>
        <w:t xml:space="preserve">sempurna </w:t>
      </w:r>
      <w:r w:rsidRPr="004F4708">
        <w:rPr>
          <w:szCs w:val="26"/>
        </w:rPr>
        <w:t>terjadi ketika relasi hak dan kewajiban warga negara berupaya mereduksi HAM</w:t>
      </w:r>
      <w:r w:rsidR="0094680E" w:rsidRPr="004F4708">
        <w:rPr>
          <w:szCs w:val="26"/>
        </w:rPr>
        <w:t xml:space="preserve"> itu sendiri</w:t>
      </w:r>
      <w:r w:rsidRPr="004F4708">
        <w:rPr>
          <w:szCs w:val="26"/>
        </w:rPr>
        <w:t xml:space="preserve">. Padahal, substansi hak dalam penggunaan bahasa </w:t>
      </w:r>
      <w:r w:rsidR="0094680E" w:rsidRPr="004F4708">
        <w:rPr>
          <w:szCs w:val="26"/>
        </w:rPr>
        <w:t xml:space="preserve">dan kultur </w:t>
      </w:r>
      <w:r w:rsidRPr="004F4708">
        <w:rPr>
          <w:szCs w:val="26"/>
        </w:rPr>
        <w:t xml:space="preserve">HAM sejatinya dipahami sebagai berimplikasi lahirnya kewajiban bagi pihak lain untuk menghormati dan melindungi HAM. </w:t>
      </w:r>
      <w:r w:rsidR="008B5E68" w:rsidRPr="004F4708">
        <w:rPr>
          <w:szCs w:val="26"/>
        </w:rPr>
        <w:t>Tristan McCowan menegaskan, t</w:t>
      </w:r>
      <w:r w:rsidRPr="004F4708">
        <w:rPr>
          <w:szCs w:val="26"/>
        </w:rPr>
        <w:t xml:space="preserve">idak jarang kesalahpahaman </w:t>
      </w:r>
      <w:r w:rsidR="008B5E68" w:rsidRPr="004F4708">
        <w:rPr>
          <w:szCs w:val="26"/>
        </w:rPr>
        <w:t xml:space="preserve">yang berakar dari kekeliruan fatal </w:t>
      </w:r>
      <w:r w:rsidRPr="004F4708">
        <w:rPr>
          <w:szCs w:val="26"/>
        </w:rPr>
        <w:t xml:space="preserve">ini terjadi sebagai bentuk mengekuivalensi </w:t>
      </w:r>
      <w:r w:rsidR="0094680E" w:rsidRPr="004F4708">
        <w:rPr>
          <w:szCs w:val="26"/>
        </w:rPr>
        <w:t>antara hak,</w:t>
      </w:r>
      <w:r w:rsidRPr="004F4708">
        <w:rPr>
          <w:szCs w:val="26"/>
        </w:rPr>
        <w:t xml:space="preserve"> tanggung jawab </w:t>
      </w:r>
      <w:r w:rsidR="0094680E" w:rsidRPr="004F4708">
        <w:rPr>
          <w:szCs w:val="26"/>
        </w:rPr>
        <w:t>dan</w:t>
      </w:r>
      <w:r w:rsidRPr="004F4708">
        <w:rPr>
          <w:szCs w:val="26"/>
        </w:rPr>
        <w:t xml:space="preserve"> kewajiban.</w:t>
      </w:r>
      <w:r w:rsidR="00C15609" w:rsidRPr="004F4708">
        <w:rPr>
          <w:rStyle w:val="FootnoteReference"/>
          <w:color w:val="000000"/>
          <w:szCs w:val="26"/>
        </w:rPr>
        <w:footnoteReference w:id="28"/>
      </w:r>
    </w:p>
    <w:p w14:paraId="55CF98C4" w14:textId="519AE350" w:rsidR="00D300BA" w:rsidRPr="004F4708" w:rsidRDefault="00D300BA" w:rsidP="004F5EC0">
      <w:pPr>
        <w:pStyle w:val="ListParagraph"/>
        <w:autoSpaceDE w:val="0"/>
        <w:autoSpaceDN w:val="0"/>
        <w:adjustRightInd w:val="0"/>
        <w:ind w:left="0" w:firstLine="567"/>
        <w:contextualSpacing w:val="0"/>
        <w:jc w:val="both"/>
        <w:rPr>
          <w:szCs w:val="26"/>
        </w:rPr>
      </w:pPr>
      <w:r w:rsidRPr="004F4708">
        <w:rPr>
          <w:szCs w:val="26"/>
        </w:rPr>
        <w:t xml:space="preserve">Menyadari bahwa hal ini sangat penting, kehadiran PKn </w:t>
      </w:r>
      <w:r w:rsidR="0024756C" w:rsidRPr="004F4708">
        <w:rPr>
          <w:szCs w:val="26"/>
        </w:rPr>
        <w:t xml:space="preserve">sejatinya </w:t>
      </w:r>
      <w:r w:rsidRPr="004F4708">
        <w:rPr>
          <w:szCs w:val="26"/>
        </w:rPr>
        <w:t xml:space="preserve">mesti mampu mendorong sikap respek pada HAM dan mampu bersikap kritis terhadap segala tindakan </w:t>
      </w:r>
      <w:r w:rsidR="003A3CF7" w:rsidRPr="004F4708">
        <w:rPr>
          <w:szCs w:val="26"/>
        </w:rPr>
        <w:t>represif</w:t>
      </w:r>
      <w:r w:rsidRPr="004F4708">
        <w:rPr>
          <w:szCs w:val="26"/>
        </w:rPr>
        <w:t xml:space="preserve"> negara. </w:t>
      </w:r>
      <w:r w:rsidR="003A3CF7" w:rsidRPr="004F4708">
        <w:rPr>
          <w:szCs w:val="26"/>
        </w:rPr>
        <w:t>Rolf Gollop s</w:t>
      </w:r>
      <w:r w:rsidRPr="004F4708">
        <w:rPr>
          <w:szCs w:val="26"/>
        </w:rPr>
        <w:t xml:space="preserve">elengkapnya </w:t>
      </w:r>
      <w:r w:rsidR="003A3CF7" w:rsidRPr="004F4708">
        <w:rPr>
          <w:szCs w:val="26"/>
        </w:rPr>
        <w:t xml:space="preserve">mengatakan </w:t>
      </w:r>
      <w:r w:rsidRPr="004F4708">
        <w:rPr>
          <w:szCs w:val="26"/>
        </w:rPr>
        <w:t>sebagai berikut:</w:t>
      </w:r>
    </w:p>
    <w:p w14:paraId="49A6FDF1" w14:textId="078DA3FF" w:rsidR="00D300BA" w:rsidRPr="004F4708" w:rsidRDefault="00D300BA" w:rsidP="004F4708">
      <w:pPr>
        <w:autoSpaceDE w:val="0"/>
        <w:autoSpaceDN w:val="0"/>
        <w:adjustRightInd w:val="0"/>
        <w:ind w:left="567"/>
        <w:jc w:val="both"/>
        <w:rPr>
          <w:szCs w:val="26"/>
        </w:rPr>
      </w:pPr>
      <w:r w:rsidRPr="004F4708">
        <w:rPr>
          <w:i/>
          <w:szCs w:val="26"/>
        </w:rPr>
        <w:t>Children are the citizens of tomorrow. A democratic attitude towards children is crucial if children are to grow up with respect for human rights and a critical attitude towards repression.</w:t>
      </w:r>
      <w:r w:rsidR="00C15609" w:rsidRPr="004F4708">
        <w:rPr>
          <w:rStyle w:val="FootnoteReference"/>
          <w:i/>
          <w:szCs w:val="26"/>
        </w:rPr>
        <w:footnoteReference w:id="29"/>
      </w:r>
      <w:r w:rsidR="00C15609" w:rsidRPr="004F4708">
        <w:rPr>
          <w:szCs w:val="26"/>
        </w:rPr>
        <w:t xml:space="preserve"> </w:t>
      </w:r>
      <w:r w:rsidR="003A3CF7" w:rsidRPr="004F4708">
        <w:rPr>
          <w:szCs w:val="26"/>
        </w:rPr>
        <w:t>(</w:t>
      </w:r>
      <w:r w:rsidR="00501099" w:rsidRPr="004F4708">
        <w:rPr>
          <w:szCs w:val="26"/>
        </w:rPr>
        <w:t xml:space="preserve">kaum anak </w:t>
      </w:r>
      <w:r w:rsidR="003A3CF7" w:rsidRPr="004F4708">
        <w:rPr>
          <w:szCs w:val="26"/>
        </w:rPr>
        <w:t>adalah warga negara esok</w:t>
      </w:r>
      <w:r w:rsidR="00C31F49" w:rsidRPr="004F4708">
        <w:rPr>
          <w:szCs w:val="26"/>
        </w:rPr>
        <w:t xml:space="preserve"> hari</w:t>
      </w:r>
      <w:r w:rsidR="003A3CF7" w:rsidRPr="004F4708">
        <w:rPr>
          <w:szCs w:val="26"/>
        </w:rPr>
        <w:t xml:space="preserve">. Sikap demokratis </w:t>
      </w:r>
      <w:r w:rsidR="00C31F49" w:rsidRPr="004F4708">
        <w:rPr>
          <w:szCs w:val="26"/>
        </w:rPr>
        <w:t>terhadap</w:t>
      </w:r>
      <w:r w:rsidR="003A3CF7" w:rsidRPr="004F4708">
        <w:rPr>
          <w:szCs w:val="26"/>
        </w:rPr>
        <w:t xml:space="preserve"> mereka </w:t>
      </w:r>
      <w:r w:rsidR="00C31F49" w:rsidRPr="004F4708">
        <w:rPr>
          <w:szCs w:val="26"/>
        </w:rPr>
        <w:t xml:space="preserve">sangat </w:t>
      </w:r>
      <w:r w:rsidR="003A3CF7" w:rsidRPr="004F4708">
        <w:rPr>
          <w:szCs w:val="26"/>
        </w:rPr>
        <w:t xml:space="preserve">penting </w:t>
      </w:r>
      <w:r w:rsidR="00C31F49" w:rsidRPr="004F4708">
        <w:rPr>
          <w:szCs w:val="26"/>
        </w:rPr>
        <w:t>kalau</w:t>
      </w:r>
      <w:r w:rsidR="003A3CF7" w:rsidRPr="004F4708">
        <w:rPr>
          <w:szCs w:val="26"/>
        </w:rPr>
        <w:t xml:space="preserve"> mereka tumbuh kembang dengan penghormatan HAM dan sikap yang kritis terhadap penindasan).</w:t>
      </w:r>
    </w:p>
    <w:p w14:paraId="4A2976D7" w14:textId="0D82764B" w:rsidR="004F5EC0" w:rsidRPr="004F4708" w:rsidRDefault="00D300BA" w:rsidP="004F4708">
      <w:pPr>
        <w:autoSpaceDE w:val="0"/>
        <w:autoSpaceDN w:val="0"/>
        <w:adjustRightInd w:val="0"/>
        <w:ind w:firstLine="567"/>
        <w:jc w:val="both"/>
        <w:rPr>
          <w:i/>
          <w:szCs w:val="26"/>
        </w:rPr>
      </w:pPr>
      <w:r w:rsidRPr="004F4708">
        <w:rPr>
          <w:szCs w:val="26"/>
        </w:rPr>
        <w:t xml:space="preserve">Dalam kaitan itu, penting kiranya dipikirkan kehadiran kurikulum PKn yang senafas dengan tantangan perubahan-perubahan fundamental demokratisasi yang terjadi di Indonesia. Iklim dan budaya demokrasi sesungguhnya berkembang dan berkaitan erat dengan </w:t>
      </w:r>
      <w:r w:rsidR="00581A27" w:rsidRPr="004F4708">
        <w:rPr>
          <w:szCs w:val="26"/>
        </w:rPr>
        <w:t xml:space="preserve">realitas </w:t>
      </w:r>
      <w:r w:rsidRPr="004F4708">
        <w:rPr>
          <w:szCs w:val="26"/>
        </w:rPr>
        <w:t xml:space="preserve">variabel kosmopolitan </w:t>
      </w:r>
      <w:r w:rsidR="00581A27" w:rsidRPr="004F4708">
        <w:rPr>
          <w:szCs w:val="26"/>
        </w:rPr>
        <w:t xml:space="preserve">sebagai warga dunia </w:t>
      </w:r>
      <w:r w:rsidR="00F90208" w:rsidRPr="004F4708">
        <w:rPr>
          <w:szCs w:val="26"/>
        </w:rPr>
        <w:t>(</w:t>
      </w:r>
      <w:r w:rsidR="00F90208" w:rsidRPr="004F4708">
        <w:rPr>
          <w:i/>
          <w:szCs w:val="26"/>
        </w:rPr>
        <w:t>citizen of the world</w:t>
      </w:r>
      <w:r w:rsidR="00F90208" w:rsidRPr="004F4708">
        <w:rPr>
          <w:szCs w:val="26"/>
        </w:rPr>
        <w:t>)</w:t>
      </w:r>
      <w:r w:rsidR="0024756C" w:rsidRPr="004F4708">
        <w:rPr>
          <w:szCs w:val="26"/>
        </w:rPr>
        <w:t>.</w:t>
      </w:r>
      <w:r w:rsidR="00C15609" w:rsidRPr="004F4708">
        <w:rPr>
          <w:rStyle w:val="FootnoteReference"/>
          <w:szCs w:val="26"/>
        </w:rPr>
        <w:footnoteReference w:id="30"/>
      </w:r>
      <w:r w:rsidR="00C15609" w:rsidRPr="004F4708">
        <w:rPr>
          <w:i/>
          <w:szCs w:val="26"/>
        </w:rPr>
        <w:t xml:space="preserve"> </w:t>
      </w:r>
      <w:r w:rsidRPr="004F4708">
        <w:rPr>
          <w:szCs w:val="26"/>
        </w:rPr>
        <w:t>Konstruksi identitas nasional harus dipahami sebagai pertautan sistem nilai yang ajeg, baik global maupun nasional dan lokal. Kurikulum PKn mesti ditata dalam kaitan sistem nilai itu yang memungkinkan hadirnya cara pandang diversitas yang mampu mewujudkan kebaikan bersama.</w:t>
      </w:r>
      <w:r w:rsidR="00C15609" w:rsidRPr="004F4708">
        <w:rPr>
          <w:rStyle w:val="FootnoteReference"/>
          <w:szCs w:val="26"/>
        </w:rPr>
        <w:footnoteReference w:id="31"/>
      </w:r>
      <w:r w:rsidRPr="004F4708">
        <w:rPr>
          <w:szCs w:val="26"/>
        </w:rPr>
        <w:t xml:space="preserve"> </w:t>
      </w:r>
    </w:p>
    <w:p w14:paraId="29F4F37A" w14:textId="77777777" w:rsidR="004F5EC0" w:rsidRPr="004F4708" w:rsidRDefault="00D300BA" w:rsidP="004F5EC0">
      <w:pPr>
        <w:pBdr>
          <w:top w:val="nil"/>
          <w:left w:val="nil"/>
          <w:bottom w:val="nil"/>
          <w:right w:val="nil"/>
          <w:between w:val="nil"/>
        </w:pBdr>
        <w:ind w:firstLine="567"/>
        <w:jc w:val="both"/>
        <w:rPr>
          <w:i/>
          <w:szCs w:val="26"/>
        </w:rPr>
      </w:pPr>
      <w:r w:rsidRPr="004F4708">
        <w:rPr>
          <w:i/>
          <w:iCs/>
          <w:szCs w:val="26"/>
        </w:rPr>
        <w:t>Before one asks what it means to be an American, one must ask who is an American</w:t>
      </w:r>
      <w:r w:rsidRPr="004F4708">
        <w:rPr>
          <w:szCs w:val="26"/>
        </w:rPr>
        <w:t xml:space="preserve"> merupakan pernyataan penting tentang adanya realitas kosmopolitan yang patut direspons dengan bijaksana. Ini pertanda penting bahwa kebijaksanan menyangkut identitas nasional dalam kon</w:t>
      </w:r>
      <w:r w:rsidR="009B07B7" w:rsidRPr="004F4708">
        <w:rPr>
          <w:szCs w:val="26"/>
        </w:rPr>
        <w:t>s</w:t>
      </w:r>
      <w:r w:rsidRPr="004F4708">
        <w:rPr>
          <w:szCs w:val="26"/>
        </w:rPr>
        <w:t>truk PKn akan berhadapan serius dengan tuntutan kosmopolitan yang senanatiasa akan mencari formulasi baru terkait bahasa moral universal iluminatif yang bisa dijadikan acuan sebagai konsensus nasional.</w:t>
      </w:r>
      <w:r w:rsidR="00C15609" w:rsidRPr="004F4708">
        <w:rPr>
          <w:rStyle w:val="FootnoteReference"/>
          <w:szCs w:val="26"/>
        </w:rPr>
        <w:footnoteReference w:id="32"/>
      </w:r>
    </w:p>
    <w:p w14:paraId="0EB6FFEF" w14:textId="77777777" w:rsidR="004F5EC0" w:rsidRPr="004F4708" w:rsidRDefault="00D300BA" w:rsidP="004F5EC0">
      <w:pPr>
        <w:pBdr>
          <w:top w:val="nil"/>
          <w:left w:val="nil"/>
          <w:bottom w:val="nil"/>
          <w:right w:val="nil"/>
          <w:between w:val="nil"/>
        </w:pBdr>
        <w:ind w:firstLine="567"/>
        <w:jc w:val="both"/>
        <w:rPr>
          <w:i/>
          <w:szCs w:val="26"/>
        </w:rPr>
      </w:pPr>
      <w:r w:rsidRPr="004F4708">
        <w:rPr>
          <w:szCs w:val="26"/>
        </w:rPr>
        <w:t xml:space="preserve">Digitalisasi media dan perubahan-perubahan ikutannya berimplikasi langsung pada upaya-upaya sistematis untuk membangun budaya kewarganegaraan modern Indonesia. Menyikapi hal ini, tentu saja materi muatan HAM sebagai </w:t>
      </w:r>
      <w:r w:rsidRPr="004F4708">
        <w:rPr>
          <w:i/>
          <w:szCs w:val="26"/>
        </w:rPr>
        <w:t xml:space="preserve">a powerful moral language </w:t>
      </w:r>
      <w:r w:rsidRPr="004F4708">
        <w:rPr>
          <w:szCs w:val="26"/>
        </w:rPr>
        <w:t xml:space="preserve">dalam PKn menjadi signifikan diperhatikan. Nick Stevenson </w:t>
      </w:r>
      <w:r w:rsidR="00703864" w:rsidRPr="004F4708">
        <w:rPr>
          <w:szCs w:val="26"/>
        </w:rPr>
        <w:t xml:space="preserve">menyebutkan ada empat bentuk respek budaya kewargangeraan masa depan, yakni: (1) respek terhadap perjuangan dunia untuk HAM; (2) respek pada pengaruh media baru; (3) respek pada perkembangan pengabaian dan koneksi </w:t>
      </w:r>
      <w:r w:rsidR="00CD1797" w:rsidRPr="004F4708">
        <w:rPr>
          <w:szCs w:val="26"/>
        </w:rPr>
        <w:t>k</w:t>
      </w:r>
      <w:r w:rsidR="00703864" w:rsidRPr="004F4708">
        <w:rPr>
          <w:szCs w:val="26"/>
        </w:rPr>
        <w:t>osmopolitan; dan (4) respek pada pengaruh media komersial masyarakat.</w:t>
      </w:r>
      <w:r w:rsidR="00E9414B" w:rsidRPr="004F4708">
        <w:rPr>
          <w:rStyle w:val="FootnoteReference"/>
          <w:szCs w:val="26"/>
        </w:rPr>
        <w:footnoteReference w:id="33"/>
      </w:r>
    </w:p>
    <w:p w14:paraId="22290A5B" w14:textId="1D852D12" w:rsidR="00111F62" w:rsidRPr="004F4708" w:rsidRDefault="00523B5A" w:rsidP="004F5EC0">
      <w:pPr>
        <w:pBdr>
          <w:top w:val="nil"/>
          <w:left w:val="nil"/>
          <w:bottom w:val="nil"/>
          <w:right w:val="nil"/>
          <w:between w:val="nil"/>
        </w:pBdr>
        <w:ind w:firstLine="567"/>
        <w:jc w:val="both"/>
        <w:rPr>
          <w:i/>
          <w:szCs w:val="26"/>
        </w:rPr>
      </w:pPr>
      <w:r w:rsidRPr="004F4708">
        <w:rPr>
          <w:szCs w:val="26"/>
        </w:rPr>
        <w:t xml:space="preserve">Melalui dasar pikir ini, </w:t>
      </w:r>
      <w:r w:rsidR="00397F25" w:rsidRPr="004F4708">
        <w:rPr>
          <w:szCs w:val="26"/>
        </w:rPr>
        <w:t xml:space="preserve">Roux dan Becker menyebutkan pentingnya </w:t>
      </w:r>
      <w:r w:rsidRPr="004F4708">
        <w:rPr>
          <w:szCs w:val="26"/>
        </w:rPr>
        <w:t xml:space="preserve">pandangan dunia tentang HAM </w:t>
      </w:r>
      <w:r w:rsidR="00AF5FEB" w:rsidRPr="004F4708">
        <w:rPr>
          <w:szCs w:val="26"/>
        </w:rPr>
        <w:t xml:space="preserve">dan pendidikan HAM ditransformasi ke arah </w:t>
      </w:r>
      <w:r w:rsidRPr="004F4708">
        <w:rPr>
          <w:szCs w:val="26"/>
        </w:rPr>
        <w:t xml:space="preserve">literasi HAM </w:t>
      </w:r>
      <w:r w:rsidR="00AF5FEB" w:rsidRPr="004F4708">
        <w:rPr>
          <w:szCs w:val="26"/>
        </w:rPr>
        <w:t>sebagai nexus.</w:t>
      </w:r>
      <w:r w:rsidR="00BB7E95" w:rsidRPr="004F4708">
        <w:rPr>
          <w:rStyle w:val="FootnoteReference"/>
          <w:szCs w:val="26"/>
        </w:rPr>
        <w:footnoteReference w:id="34"/>
      </w:r>
      <w:r w:rsidR="00BB7E95" w:rsidRPr="004F4708">
        <w:rPr>
          <w:szCs w:val="26"/>
        </w:rPr>
        <w:t xml:space="preserve"> </w:t>
      </w:r>
      <w:r w:rsidRPr="004F4708">
        <w:rPr>
          <w:szCs w:val="26"/>
        </w:rPr>
        <w:t xml:space="preserve">Dalam konteks PKn, uji muatan materi HAM yang berkorelasi terhadap literasi HAM penting dilakukan. Tidak saja memperkuat pemahaman mahasiswa terhadap dinamika pertumbuhan dan </w:t>
      </w:r>
      <w:r w:rsidR="008E14C2" w:rsidRPr="004F4708">
        <w:rPr>
          <w:szCs w:val="26"/>
        </w:rPr>
        <w:t>p</w:t>
      </w:r>
      <w:r w:rsidRPr="004F4708">
        <w:rPr>
          <w:szCs w:val="26"/>
        </w:rPr>
        <w:t>erkembangan pemikiran HAM, tetapi juga mampu membentuk pribadi tangguh yang inklusif, demokratis dan respek terhadap HAM.</w:t>
      </w:r>
      <w:r w:rsidR="00111F62" w:rsidRPr="004F4708">
        <w:rPr>
          <w:szCs w:val="26"/>
        </w:rPr>
        <w:t xml:space="preserve"> R</w:t>
      </w:r>
      <w:r w:rsidR="00EF1943" w:rsidRPr="004F4708">
        <w:rPr>
          <w:szCs w:val="26"/>
        </w:rPr>
        <w:t>oux dan Becker menyebut literasi HAM sebagai keterampilan kognitif dan sosial HAM sekaligus</w:t>
      </w:r>
      <w:r w:rsidR="00111F62" w:rsidRPr="004F4708">
        <w:rPr>
          <w:szCs w:val="26"/>
        </w:rPr>
        <w:t xml:space="preserve">. Selengkapnya sebagai berikut: </w:t>
      </w:r>
      <w:r w:rsidR="00111F62" w:rsidRPr="004F4708">
        <w:rPr>
          <w:i/>
          <w:szCs w:val="26"/>
        </w:rPr>
        <w:t xml:space="preserve">in defining human rights literacies as both cognitive skills </w:t>
      </w:r>
      <w:r w:rsidR="00111F62" w:rsidRPr="004F4708">
        <w:rPr>
          <w:szCs w:val="26"/>
        </w:rPr>
        <w:t>(</w:t>
      </w:r>
      <w:r w:rsidR="00111F62" w:rsidRPr="004F4708">
        <w:rPr>
          <w:i/>
          <w:szCs w:val="26"/>
        </w:rPr>
        <w:t>knowledge of human rights document, remedies and values</w:t>
      </w:r>
      <w:r w:rsidR="00111F62" w:rsidRPr="004F4708">
        <w:rPr>
          <w:szCs w:val="26"/>
        </w:rPr>
        <w:t>)</w:t>
      </w:r>
      <w:r w:rsidR="00111F62" w:rsidRPr="004F4708">
        <w:rPr>
          <w:i/>
          <w:szCs w:val="26"/>
        </w:rPr>
        <w:t xml:space="preserve"> and social and moral practices </w:t>
      </w:r>
      <w:r w:rsidR="00111F62" w:rsidRPr="004F4708">
        <w:rPr>
          <w:szCs w:val="26"/>
        </w:rPr>
        <w:t>(</w:t>
      </w:r>
      <w:r w:rsidR="00111F62" w:rsidRPr="004F4708">
        <w:rPr>
          <w:i/>
          <w:szCs w:val="26"/>
        </w:rPr>
        <w:t>the processes and consequences of human rights</w:t>
      </w:r>
      <w:r w:rsidR="00111F62" w:rsidRPr="004F4708">
        <w:rPr>
          <w:szCs w:val="26"/>
        </w:rPr>
        <w:t>).</w:t>
      </w:r>
      <w:r w:rsidR="00BB7E95" w:rsidRPr="004F4708">
        <w:rPr>
          <w:rStyle w:val="FootnoteReference"/>
          <w:szCs w:val="26"/>
        </w:rPr>
        <w:footnoteReference w:id="35"/>
      </w:r>
    </w:p>
    <w:p w14:paraId="7108D1D4" w14:textId="77777777" w:rsidR="00597193" w:rsidRPr="004F4708" w:rsidRDefault="00597193" w:rsidP="004F5EC0">
      <w:pPr>
        <w:pStyle w:val="ListParagraph"/>
        <w:numPr>
          <w:ilvl w:val="0"/>
          <w:numId w:val="1"/>
        </w:numPr>
        <w:autoSpaceDE w:val="0"/>
        <w:autoSpaceDN w:val="0"/>
        <w:adjustRightInd w:val="0"/>
        <w:ind w:left="567" w:hanging="567"/>
        <w:contextualSpacing w:val="0"/>
        <w:jc w:val="both"/>
        <w:rPr>
          <w:b/>
          <w:szCs w:val="26"/>
        </w:rPr>
      </w:pPr>
      <w:r w:rsidRPr="004F4708">
        <w:rPr>
          <w:b/>
          <w:szCs w:val="26"/>
        </w:rPr>
        <w:t>Catatan Kritis</w:t>
      </w:r>
    </w:p>
    <w:p w14:paraId="255E7F9D" w14:textId="77777777" w:rsidR="004F4708" w:rsidRDefault="00B6434A" w:rsidP="004F4708">
      <w:pPr>
        <w:pStyle w:val="ListParagraph"/>
        <w:autoSpaceDE w:val="0"/>
        <w:autoSpaceDN w:val="0"/>
        <w:adjustRightInd w:val="0"/>
        <w:ind w:left="0" w:firstLine="567"/>
        <w:contextualSpacing w:val="0"/>
        <w:jc w:val="both"/>
        <w:rPr>
          <w:szCs w:val="26"/>
        </w:rPr>
      </w:pPr>
      <w:r w:rsidRPr="004F4708">
        <w:rPr>
          <w:szCs w:val="26"/>
        </w:rPr>
        <w:t xml:space="preserve">Buku ajar PKn </w:t>
      </w:r>
      <w:r w:rsidR="00C107BE" w:rsidRPr="004F4708">
        <w:rPr>
          <w:szCs w:val="26"/>
        </w:rPr>
        <w:t xml:space="preserve">pendidikan tinggi </w:t>
      </w:r>
      <w:r w:rsidRPr="004F4708">
        <w:rPr>
          <w:szCs w:val="26"/>
        </w:rPr>
        <w:t xml:space="preserve">adalah </w:t>
      </w:r>
      <w:r w:rsidR="00597193" w:rsidRPr="004F4708">
        <w:rPr>
          <w:szCs w:val="26"/>
        </w:rPr>
        <w:t xml:space="preserve">buku berjudul </w:t>
      </w:r>
      <w:r w:rsidR="00597193" w:rsidRPr="004F4708">
        <w:rPr>
          <w:i/>
          <w:szCs w:val="26"/>
        </w:rPr>
        <w:t>Pendidikan Kewarganegaraan Untuk Perguruan Tinggi</w:t>
      </w:r>
      <w:r w:rsidRPr="004F4708">
        <w:rPr>
          <w:szCs w:val="26"/>
        </w:rPr>
        <w:t>. Buku ini</w:t>
      </w:r>
      <w:r w:rsidR="00597193" w:rsidRPr="004F4708">
        <w:rPr>
          <w:i/>
          <w:szCs w:val="26"/>
        </w:rPr>
        <w:t xml:space="preserve"> </w:t>
      </w:r>
      <w:r w:rsidR="00A72066" w:rsidRPr="004F4708">
        <w:rPr>
          <w:szCs w:val="26"/>
        </w:rPr>
        <w:t>merujuk pada SNPT berdasarkan Permenristekdikti No. 44 Tahun 2015.</w:t>
      </w:r>
      <w:r w:rsidR="002B3BDE" w:rsidRPr="004F4708">
        <w:rPr>
          <w:rStyle w:val="FootnoteReference"/>
          <w:color w:val="000000"/>
          <w:szCs w:val="26"/>
        </w:rPr>
        <w:footnoteReference w:id="36"/>
      </w:r>
      <w:r w:rsidR="002B3BDE" w:rsidRPr="004F4708">
        <w:rPr>
          <w:color w:val="000000"/>
          <w:szCs w:val="26"/>
        </w:rPr>
        <w:t xml:space="preserve"> </w:t>
      </w:r>
      <w:r w:rsidR="00A72066" w:rsidRPr="004F4708">
        <w:rPr>
          <w:szCs w:val="26"/>
        </w:rPr>
        <w:t xml:space="preserve">Buku yang </w:t>
      </w:r>
      <w:r w:rsidR="00597193" w:rsidRPr="004F4708">
        <w:rPr>
          <w:szCs w:val="26"/>
        </w:rPr>
        <w:t>diterbitkan pertama sekali pada 2016 oleh Direktorat Jenderal Pembelajaran dan Kemahasiswaan, Kemenristekdikti</w:t>
      </w:r>
      <w:r w:rsidR="00976825" w:rsidRPr="004F4708">
        <w:rPr>
          <w:szCs w:val="26"/>
        </w:rPr>
        <w:t>,</w:t>
      </w:r>
      <w:r w:rsidR="00A72066" w:rsidRPr="004F4708">
        <w:rPr>
          <w:szCs w:val="26"/>
        </w:rPr>
        <w:t xml:space="preserve"> ini </w:t>
      </w:r>
      <w:r w:rsidR="00597193" w:rsidRPr="004F4708">
        <w:rPr>
          <w:szCs w:val="26"/>
        </w:rPr>
        <w:t>terdiri atas sembilan bab pembahasan</w:t>
      </w:r>
      <w:r w:rsidR="00A72066" w:rsidRPr="004F4708">
        <w:rPr>
          <w:szCs w:val="26"/>
        </w:rPr>
        <w:t>.</w:t>
      </w:r>
      <w:r w:rsidR="002B3BDE" w:rsidRPr="004F4708">
        <w:rPr>
          <w:rStyle w:val="FootnoteReference"/>
          <w:color w:val="000000"/>
          <w:szCs w:val="26"/>
        </w:rPr>
        <w:footnoteReference w:id="37"/>
      </w:r>
      <w:r w:rsidR="00597193" w:rsidRPr="004F4708">
        <w:rPr>
          <w:szCs w:val="26"/>
        </w:rPr>
        <w:t xml:space="preserve"> </w:t>
      </w:r>
      <w:r w:rsidR="00A72066" w:rsidRPr="004F4708">
        <w:rPr>
          <w:szCs w:val="26"/>
        </w:rPr>
        <w:t xml:space="preserve">Di masing-masing </w:t>
      </w:r>
      <w:r w:rsidR="00597193" w:rsidRPr="004F4708">
        <w:rPr>
          <w:szCs w:val="26"/>
        </w:rPr>
        <w:t>bab terdapat penugasan kewarganegaraan serta satu bab khusus (bab sepuluh)</w:t>
      </w:r>
      <w:r w:rsidR="002B3BDE" w:rsidRPr="004F4708">
        <w:rPr>
          <w:rStyle w:val="FootnoteReference"/>
          <w:color w:val="000000"/>
          <w:szCs w:val="26"/>
        </w:rPr>
        <w:footnoteReference w:id="38"/>
      </w:r>
      <w:r w:rsidR="00597193" w:rsidRPr="004F4708">
        <w:rPr>
          <w:szCs w:val="26"/>
        </w:rPr>
        <w:t xml:space="preserve"> yang berisikan formulasi </w:t>
      </w:r>
      <w:r w:rsidR="00597193" w:rsidRPr="004F4708">
        <w:rPr>
          <w:i/>
          <w:szCs w:val="26"/>
        </w:rPr>
        <w:t>project citizen</w:t>
      </w:r>
      <w:r w:rsidR="00597193" w:rsidRPr="004F4708">
        <w:rPr>
          <w:szCs w:val="26"/>
        </w:rPr>
        <w:t xml:space="preserve"> ala John Dewey dalam rangka menumbuhkan karakter warga negara Indonesia yang cerdas dan baik (</w:t>
      </w:r>
      <w:r w:rsidR="00597193" w:rsidRPr="004F4708">
        <w:rPr>
          <w:i/>
          <w:iCs/>
          <w:szCs w:val="26"/>
        </w:rPr>
        <w:t>smart and good citizen</w:t>
      </w:r>
      <w:r w:rsidR="00597193" w:rsidRPr="004F4708">
        <w:rPr>
          <w:szCs w:val="26"/>
        </w:rPr>
        <w:t>).</w:t>
      </w:r>
    </w:p>
    <w:p w14:paraId="4CD92DD1" w14:textId="35526BAC" w:rsidR="000004BA" w:rsidRPr="004F4708" w:rsidRDefault="00AF6C50" w:rsidP="004F4708">
      <w:pPr>
        <w:pStyle w:val="ListParagraph"/>
        <w:autoSpaceDE w:val="0"/>
        <w:autoSpaceDN w:val="0"/>
        <w:adjustRightInd w:val="0"/>
        <w:ind w:left="0" w:firstLine="567"/>
        <w:contextualSpacing w:val="0"/>
        <w:jc w:val="both"/>
        <w:rPr>
          <w:szCs w:val="26"/>
        </w:rPr>
      </w:pPr>
      <w:r w:rsidRPr="004F4708">
        <w:rPr>
          <w:szCs w:val="26"/>
        </w:rPr>
        <w:t xml:space="preserve">Spirit </w:t>
      </w:r>
      <w:r w:rsidR="005972A8" w:rsidRPr="004F4708">
        <w:rPr>
          <w:szCs w:val="26"/>
        </w:rPr>
        <w:t xml:space="preserve">pendidikan </w:t>
      </w:r>
      <w:r w:rsidRPr="004F4708">
        <w:rPr>
          <w:szCs w:val="26"/>
        </w:rPr>
        <w:t xml:space="preserve">HAM buku ajar ini sama sekali tidak tampak. Tidak berlebihan jika dikatakan buku ajar ini minus dari kendali pendidikan HAM. </w:t>
      </w:r>
      <w:r w:rsidR="005E3043" w:rsidRPr="004F4708">
        <w:rPr>
          <w:szCs w:val="26"/>
        </w:rPr>
        <w:t xml:space="preserve">Semangat dan orientasi pendidikan HAM </w:t>
      </w:r>
      <w:r w:rsidR="005972A8" w:rsidRPr="004F4708">
        <w:rPr>
          <w:szCs w:val="26"/>
        </w:rPr>
        <w:t xml:space="preserve">di level perguruan tinggi </w:t>
      </w:r>
      <w:r w:rsidR="005E3043" w:rsidRPr="004F4708">
        <w:rPr>
          <w:szCs w:val="26"/>
        </w:rPr>
        <w:t>yang dibangun dalam kerangka Program Dunia Pendidikan HAM jauh dari ekspektasi ideal</w:t>
      </w:r>
      <w:r w:rsidR="005972A8" w:rsidRPr="004F4708">
        <w:rPr>
          <w:szCs w:val="26"/>
        </w:rPr>
        <w:t xml:space="preserve">. </w:t>
      </w:r>
      <w:r w:rsidRPr="004F4708">
        <w:rPr>
          <w:szCs w:val="26"/>
        </w:rPr>
        <w:t>Bahkan</w:t>
      </w:r>
      <w:r w:rsidR="005972A8" w:rsidRPr="004F4708">
        <w:rPr>
          <w:szCs w:val="26"/>
        </w:rPr>
        <w:t>,</w:t>
      </w:r>
      <w:r w:rsidRPr="004F4708">
        <w:rPr>
          <w:szCs w:val="26"/>
        </w:rPr>
        <w:t xml:space="preserve"> rentang pemahaman HAM yang dibangun dalam buku ajar ini sangat rusak</w:t>
      </w:r>
      <w:r w:rsidR="005972A8" w:rsidRPr="004F4708">
        <w:rPr>
          <w:szCs w:val="26"/>
        </w:rPr>
        <w:t xml:space="preserve">. Sudut pandang pemikiran </w:t>
      </w:r>
      <w:r w:rsidR="00365F3F" w:rsidRPr="004F4708">
        <w:rPr>
          <w:szCs w:val="26"/>
        </w:rPr>
        <w:t>(</w:t>
      </w:r>
      <w:r w:rsidR="00365F3F" w:rsidRPr="004F4708">
        <w:rPr>
          <w:i/>
          <w:szCs w:val="26"/>
        </w:rPr>
        <w:t>point of view</w:t>
      </w:r>
      <w:r w:rsidR="00365F3F" w:rsidRPr="004F4708">
        <w:rPr>
          <w:szCs w:val="26"/>
        </w:rPr>
        <w:t xml:space="preserve">) </w:t>
      </w:r>
      <w:r w:rsidR="005972A8" w:rsidRPr="004F4708">
        <w:rPr>
          <w:szCs w:val="26"/>
        </w:rPr>
        <w:t xml:space="preserve">HAM lebih didominasi </w:t>
      </w:r>
      <w:r w:rsidR="000004BA" w:rsidRPr="004F4708">
        <w:rPr>
          <w:szCs w:val="26"/>
        </w:rPr>
        <w:t xml:space="preserve">pada </w:t>
      </w:r>
      <w:r w:rsidR="005972A8" w:rsidRPr="004F4708">
        <w:rPr>
          <w:szCs w:val="26"/>
        </w:rPr>
        <w:t>interrela</w:t>
      </w:r>
      <w:r w:rsidR="00A91DFA" w:rsidRPr="004F4708">
        <w:rPr>
          <w:szCs w:val="26"/>
        </w:rPr>
        <w:t>si hak dan kewajiban individu dalam ranah warga negara.</w:t>
      </w:r>
      <w:r w:rsidR="0095414C" w:rsidRPr="004F4708">
        <w:rPr>
          <w:szCs w:val="26"/>
        </w:rPr>
        <w:t xml:space="preserve"> </w:t>
      </w:r>
      <w:r w:rsidR="007932FF" w:rsidRPr="004F4708">
        <w:rPr>
          <w:szCs w:val="26"/>
        </w:rPr>
        <w:t xml:space="preserve">Hal ini terlihat </w:t>
      </w:r>
      <w:r w:rsidR="0085123B" w:rsidRPr="004F4708">
        <w:rPr>
          <w:szCs w:val="26"/>
        </w:rPr>
        <w:t xml:space="preserve">jelas </w:t>
      </w:r>
      <w:r w:rsidR="007932FF" w:rsidRPr="004F4708">
        <w:rPr>
          <w:szCs w:val="26"/>
        </w:rPr>
        <w:t>dari pernyataan sebagai berikut:</w:t>
      </w:r>
    </w:p>
    <w:p w14:paraId="53F66775" w14:textId="35F983D2" w:rsidR="007932FF" w:rsidRPr="004F4708" w:rsidRDefault="000004BA" w:rsidP="004F4708">
      <w:pPr>
        <w:pStyle w:val="ListParagraph"/>
        <w:autoSpaceDE w:val="0"/>
        <w:autoSpaceDN w:val="0"/>
        <w:adjustRightInd w:val="0"/>
        <w:ind w:left="567"/>
        <w:contextualSpacing w:val="0"/>
        <w:jc w:val="both"/>
        <w:rPr>
          <w:szCs w:val="26"/>
        </w:rPr>
      </w:pPr>
      <w:r w:rsidRPr="004F4708">
        <w:rPr>
          <w:szCs w:val="26"/>
        </w:rPr>
        <w:t xml:space="preserve">Apakah Anda memiliki hak? Apakah Anda memiliki kewajiban? Mana yang akan Anda dahulukan? Sebagai warga negara, bentuk keterikatan kita terhadap negara adalah adanya hak dan kewajiban secara timbal balik </w:t>
      </w:r>
      <w:r w:rsidR="00D22571" w:rsidRPr="004F4708">
        <w:rPr>
          <w:szCs w:val="26"/>
        </w:rPr>
        <w:t xml:space="preserve">(resiprokalitas) … </w:t>
      </w:r>
      <w:r w:rsidRPr="004F4708">
        <w:rPr>
          <w:szCs w:val="26"/>
        </w:rPr>
        <w:t>Bagaimana pengaturan selanjutnya agar dapat diwujudkan dalam hubungan yang harmonis antara hak dan kewajiban warga negara?</w:t>
      </w:r>
      <w:r w:rsidR="002B3BDE" w:rsidRPr="004F4708">
        <w:rPr>
          <w:rStyle w:val="FootnoteReference"/>
          <w:color w:val="000000"/>
          <w:szCs w:val="26"/>
        </w:rPr>
        <w:footnoteReference w:id="39"/>
      </w:r>
    </w:p>
    <w:p w14:paraId="2EEBCFD1" w14:textId="57EE965E" w:rsidR="00334613" w:rsidRPr="004F4708" w:rsidRDefault="007C6BF7" w:rsidP="004F5EC0">
      <w:pPr>
        <w:pStyle w:val="ListParagraph"/>
        <w:autoSpaceDE w:val="0"/>
        <w:autoSpaceDN w:val="0"/>
        <w:adjustRightInd w:val="0"/>
        <w:ind w:left="0" w:firstLine="567"/>
        <w:contextualSpacing w:val="0"/>
        <w:jc w:val="both"/>
        <w:rPr>
          <w:szCs w:val="26"/>
        </w:rPr>
      </w:pPr>
      <w:r w:rsidRPr="004F4708">
        <w:rPr>
          <w:szCs w:val="26"/>
        </w:rPr>
        <w:t xml:space="preserve">Resiprokalitas antara hak dan kewajiban </w:t>
      </w:r>
      <w:r w:rsidR="009C5B21" w:rsidRPr="004F4708">
        <w:rPr>
          <w:szCs w:val="26"/>
        </w:rPr>
        <w:t xml:space="preserve">yang diusung dalam buku ajar ini </w:t>
      </w:r>
      <w:r w:rsidRPr="004F4708">
        <w:rPr>
          <w:szCs w:val="26"/>
        </w:rPr>
        <w:t>mendistorsi pemahaman HAM dunia</w:t>
      </w:r>
      <w:r w:rsidR="009C5B21" w:rsidRPr="004F4708">
        <w:rPr>
          <w:szCs w:val="26"/>
        </w:rPr>
        <w:t>. Akibatnya, c</w:t>
      </w:r>
      <w:r w:rsidRPr="004F4708">
        <w:rPr>
          <w:szCs w:val="26"/>
        </w:rPr>
        <w:t>ara pandang ini meruntuhkan pondasi literasi HAM yang sejatinya mampu diakomodasi dalam PKn. Struktur dan sistematika berpikir HAM yang menempatkan nilai-nilai, prinsip-prinsip dan standar HAM tidak mendapat sentuhan akademis yang baik melalui buku ajar ini.</w:t>
      </w:r>
      <w:r w:rsidR="009C5B21" w:rsidRPr="004F4708">
        <w:rPr>
          <w:szCs w:val="26"/>
        </w:rPr>
        <w:t xml:space="preserve"> Instrumen HAM internasional yang utama yang dikenal sebagai </w:t>
      </w:r>
      <w:r w:rsidR="009C5B21" w:rsidRPr="004F4708">
        <w:rPr>
          <w:i/>
          <w:szCs w:val="26"/>
        </w:rPr>
        <w:t xml:space="preserve">international </w:t>
      </w:r>
      <w:r w:rsidR="0052576F" w:rsidRPr="004F4708">
        <w:rPr>
          <w:i/>
          <w:szCs w:val="26"/>
        </w:rPr>
        <w:t>Bill of Human Rights</w:t>
      </w:r>
      <w:r w:rsidR="009C5B21" w:rsidRPr="004F4708">
        <w:rPr>
          <w:szCs w:val="26"/>
        </w:rPr>
        <w:t xml:space="preserve">, yakni DUHAM </w:t>
      </w:r>
      <w:r w:rsidR="009220BE" w:rsidRPr="004F4708">
        <w:rPr>
          <w:szCs w:val="26"/>
        </w:rPr>
        <w:t xml:space="preserve">dan dua kovenan PBB, </w:t>
      </w:r>
      <w:r w:rsidR="009C5B21" w:rsidRPr="004F4708">
        <w:rPr>
          <w:szCs w:val="26"/>
        </w:rPr>
        <w:t>ICCPR dan ICESCR</w:t>
      </w:r>
      <w:r w:rsidR="009220BE" w:rsidRPr="004F4708">
        <w:rPr>
          <w:szCs w:val="26"/>
        </w:rPr>
        <w:t>,</w:t>
      </w:r>
      <w:r w:rsidR="009C5B21" w:rsidRPr="004F4708">
        <w:rPr>
          <w:szCs w:val="26"/>
        </w:rPr>
        <w:t xml:space="preserve"> tidak mendapat tempat dalam</w:t>
      </w:r>
      <w:r w:rsidRPr="004F4708">
        <w:rPr>
          <w:szCs w:val="26"/>
        </w:rPr>
        <w:t xml:space="preserve"> </w:t>
      </w:r>
      <w:r w:rsidR="009C5B21" w:rsidRPr="004F4708">
        <w:rPr>
          <w:szCs w:val="26"/>
        </w:rPr>
        <w:t xml:space="preserve">buku ajar ini. Ironisnya, titik tekan elan vital pejuangan kemanusiaan </w:t>
      </w:r>
      <w:r w:rsidR="00695D29" w:rsidRPr="004F4708">
        <w:rPr>
          <w:szCs w:val="26"/>
        </w:rPr>
        <w:t xml:space="preserve">sejagad </w:t>
      </w:r>
      <w:r w:rsidR="009C5B21" w:rsidRPr="004F4708">
        <w:rPr>
          <w:szCs w:val="26"/>
        </w:rPr>
        <w:t>disinggung se</w:t>
      </w:r>
      <w:r w:rsidR="00695D29" w:rsidRPr="004F4708">
        <w:rPr>
          <w:szCs w:val="26"/>
        </w:rPr>
        <w:t xml:space="preserve">kadar </w:t>
      </w:r>
      <w:r w:rsidR="009C5B21" w:rsidRPr="004F4708">
        <w:rPr>
          <w:szCs w:val="26"/>
        </w:rPr>
        <w:t>peng</w:t>
      </w:r>
      <w:r w:rsidR="00695D29" w:rsidRPr="004F4708">
        <w:rPr>
          <w:szCs w:val="26"/>
        </w:rPr>
        <w:t xml:space="preserve">gambaran </w:t>
      </w:r>
      <w:r w:rsidR="009C5B21" w:rsidRPr="004F4708">
        <w:rPr>
          <w:szCs w:val="26"/>
        </w:rPr>
        <w:t>sikap penolakan terhadap penjajahan, sebagaimana dikatakan sebagai berikut:</w:t>
      </w:r>
    </w:p>
    <w:p w14:paraId="674E655B" w14:textId="1E76FDEB" w:rsidR="007471A0" w:rsidRPr="004F4708" w:rsidRDefault="007471A0" w:rsidP="004F5EC0">
      <w:pPr>
        <w:autoSpaceDE w:val="0"/>
        <w:autoSpaceDN w:val="0"/>
        <w:adjustRightInd w:val="0"/>
        <w:ind w:left="567"/>
        <w:jc w:val="both"/>
        <w:rPr>
          <w:szCs w:val="26"/>
        </w:rPr>
      </w:pPr>
      <w:r w:rsidRPr="004F4708">
        <w:rPr>
          <w:szCs w:val="26"/>
        </w:rPr>
        <w:t xml:space="preserve">Coba arahkan ingatan Anda pada sejarah perjuangan dalam menegakkan hak asasi manusia (HAM). Dalam rentetan sejarah penegakkan HAM Anda akan menemukan beberapa peristiwa yang melahirkan berbagai dokumen HAM. Apakah Anda masih ingat dengan </w:t>
      </w:r>
      <w:r w:rsidRPr="004F4708">
        <w:rPr>
          <w:i/>
          <w:iCs/>
          <w:szCs w:val="26"/>
        </w:rPr>
        <w:t xml:space="preserve">Magna Charta </w:t>
      </w:r>
      <w:r w:rsidRPr="004F4708">
        <w:rPr>
          <w:szCs w:val="26"/>
        </w:rPr>
        <w:t xml:space="preserve">di Inggris, </w:t>
      </w:r>
      <w:r w:rsidRPr="004F4708">
        <w:rPr>
          <w:i/>
          <w:iCs/>
          <w:szCs w:val="26"/>
        </w:rPr>
        <w:t xml:space="preserve">Bill of Rights </w:t>
      </w:r>
      <w:r w:rsidRPr="004F4708">
        <w:rPr>
          <w:szCs w:val="26"/>
        </w:rPr>
        <w:t xml:space="preserve">dan </w:t>
      </w:r>
      <w:r w:rsidRPr="004F4708">
        <w:rPr>
          <w:i/>
          <w:iCs/>
          <w:szCs w:val="26"/>
        </w:rPr>
        <w:t xml:space="preserve">Declaration of Independence </w:t>
      </w:r>
      <w:r w:rsidRPr="004F4708">
        <w:rPr>
          <w:szCs w:val="26"/>
        </w:rPr>
        <w:t xml:space="preserve">dalam sejarah Amerika Serikat, dan </w:t>
      </w:r>
      <w:r w:rsidRPr="004F4708">
        <w:rPr>
          <w:i/>
          <w:iCs/>
          <w:szCs w:val="26"/>
        </w:rPr>
        <w:t xml:space="preserve">Declaration des Droits de L’homme et du Citoyen </w:t>
      </w:r>
      <w:r w:rsidRPr="004F4708">
        <w:rPr>
          <w:szCs w:val="26"/>
        </w:rPr>
        <w:t>di Perancis?</w:t>
      </w:r>
      <w:r w:rsidR="002B3BDE" w:rsidRPr="004F4708">
        <w:rPr>
          <w:rStyle w:val="FootnoteReference"/>
          <w:szCs w:val="26"/>
        </w:rPr>
        <w:footnoteReference w:id="40"/>
      </w:r>
    </w:p>
    <w:p w14:paraId="40311EB8" w14:textId="77777777" w:rsidR="007C6BF7" w:rsidRPr="004F4708" w:rsidRDefault="009C5B21" w:rsidP="004F5EC0">
      <w:pPr>
        <w:pStyle w:val="ListParagraph"/>
        <w:autoSpaceDE w:val="0"/>
        <w:autoSpaceDN w:val="0"/>
        <w:adjustRightInd w:val="0"/>
        <w:ind w:left="0" w:firstLine="567"/>
        <w:jc w:val="both"/>
        <w:rPr>
          <w:szCs w:val="26"/>
        </w:rPr>
      </w:pPr>
      <w:r w:rsidRPr="004F4708">
        <w:rPr>
          <w:szCs w:val="26"/>
        </w:rPr>
        <w:t>Selain itu, b</w:t>
      </w:r>
      <w:r w:rsidR="00AC717C" w:rsidRPr="004F4708">
        <w:rPr>
          <w:szCs w:val="26"/>
        </w:rPr>
        <w:t>obot konstitusionalitas HAM dalam pembahasan buku ajar juga selain tidak utuh mendeskripsikan konstitusionalitas HAM dalam sejarah k</w:t>
      </w:r>
      <w:r w:rsidR="00E43B2F" w:rsidRPr="004F4708">
        <w:rPr>
          <w:szCs w:val="26"/>
        </w:rPr>
        <w:t>eberlakuan k</w:t>
      </w:r>
      <w:r w:rsidR="00AC717C" w:rsidRPr="004F4708">
        <w:rPr>
          <w:szCs w:val="26"/>
        </w:rPr>
        <w:t xml:space="preserve">onstitusi Indonesia, deviasinya </w:t>
      </w:r>
      <w:r w:rsidR="00142E17" w:rsidRPr="004F4708">
        <w:rPr>
          <w:szCs w:val="26"/>
        </w:rPr>
        <w:t xml:space="preserve">acapkali </w:t>
      </w:r>
      <w:r w:rsidR="00AC717C" w:rsidRPr="004F4708">
        <w:rPr>
          <w:szCs w:val="26"/>
        </w:rPr>
        <w:t>mengarah kepada ornamentasi warga negara dalam arti sempit</w:t>
      </w:r>
      <w:r w:rsidR="00E43B2F" w:rsidRPr="004F4708">
        <w:rPr>
          <w:szCs w:val="26"/>
        </w:rPr>
        <w:t xml:space="preserve"> seperti kewajiban pajak</w:t>
      </w:r>
      <w:r w:rsidR="00AC717C" w:rsidRPr="004F4708">
        <w:rPr>
          <w:szCs w:val="26"/>
        </w:rPr>
        <w:t xml:space="preserve">. </w:t>
      </w:r>
      <w:r w:rsidR="007C6BF7" w:rsidRPr="004F4708">
        <w:rPr>
          <w:szCs w:val="26"/>
        </w:rPr>
        <w:t>Hal ini bisa diamati melalui pernyataan berikut ini:</w:t>
      </w:r>
    </w:p>
    <w:p w14:paraId="04165AF1" w14:textId="087DB35B" w:rsidR="002B3BDE" w:rsidRPr="004F4708" w:rsidRDefault="007C6BF7" w:rsidP="004F5EC0">
      <w:pPr>
        <w:pBdr>
          <w:top w:val="nil"/>
          <w:left w:val="nil"/>
          <w:bottom w:val="nil"/>
          <w:right w:val="nil"/>
          <w:between w:val="nil"/>
        </w:pBdr>
        <w:ind w:left="567"/>
        <w:jc w:val="both"/>
        <w:rPr>
          <w:szCs w:val="26"/>
        </w:rPr>
      </w:pPr>
      <w:r w:rsidRPr="004F4708">
        <w:rPr>
          <w:szCs w:val="26"/>
        </w:rPr>
        <w:t>Secara berkelompok, pilihlah sebuah ketentuan yang ada di pasal-pasal</w:t>
      </w:r>
      <w:r w:rsidR="00AC717C" w:rsidRPr="004F4708">
        <w:rPr>
          <w:szCs w:val="26"/>
        </w:rPr>
        <w:t xml:space="preserve"> </w:t>
      </w:r>
      <w:r w:rsidRPr="004F4708">
        <w:rPr>
          <w:szCs w:val="26"/>
        </w:rPr>
        <w:t>dalam UUD NRI 1945, contoh, Pasal 23 A tentang pajak. Selanjutnya carilah</w:t>
      </w:r>
      <w:r w:rsidR="00AC717C" w:rsidRPr="004F4708">
        <w:rPr>
          <w:szCs w:val="26"/>
        </w:rPr>
        <w:t xml:space="preserve"> </w:t>
      </w:r>
      <w:r w:rsidRPr="004F4708">
        <w:rPr>
          <w:szCs w:val="26"/>
        </w:rPr>
        <w:t>undang-undang sebagai pelaksanaan atas ketentuan tersebut. Analisis</w:t>
      </w:r>
      <w:r w:rsidR="00AC717C" w:rsidRPr="004F4708">
        <w:rPr>
          <w:szCs w:val="26"/>
        </w:rPr>
        <w:t xml:space="preserve"> </w:t>
      </w:r>
      <w:r w:rsidRPr="004F4708">
        <w:rPr>
          <w:szCs w:val="26"/>
        </w:rPr>
        <w:t>apakah isi undang-undang tersebut benar-benar menjabarkan maksud</w:t>
      </w:r>
      <w:r w:rsidR="00AC717C" w:rsidRPr="004F4708">
        <w:rPr>
          <w:szCs w:val="26"/>
        </w:rPr>
        <w:t xml:space="preserve"> </w:t>
      </w:r>
      <w:r w:rsidRPr="004F4708">
        <w:rPr>
          <w:szCs w:val="26"/>
        </w:rPr>
        <w:t>ketentuan yang ada di UUD NRI 1945 tersebut?</w:t>
      </w:r>
      <w:r w:rsidR="002B3BDE" w:rsidRPr="004F4708">
        <w:rPr>
          <w:rStyle w:val="FootnoteReference"/>
          <w:szCs w:val="26"/>
        </w:rPr>
        <w:footnoteReference w:id="41"/>
      </w:r>
    </w:p>
    <w:p w14:paraId="254B3456" w14:textId="77777777" w:rsidR="005972A8" w:rsidRPr="004F4708" w:rsidRDefault="00D44124" w:rsidP="004F5EC0">
      <w:pPr>
        <w:pStyle w:val="ListParagraph"/>
        <w:autoSpaceDE w:val="0"/>
        <w:autoSpaceDN w:val="0"/>
        <w:adjustRightInd w:val="0"/>
        <w:ind w:left="0" w:firstLine="567"/>
        <w:jc w:val="both"/>
        <w:rPr>
          <w:szCs w:val="26"/>
        </w:rPr>
      </w:pPr>
      <w:r w:rsidRPr="004F4708">
        <w:rPr>
          <w:szCs w:val="26"/>
        </w:rPr>
        <w:t xml:space="preserve">Akibatnya, bentuk penugasan dalam buku ajar juga tidak mencerminkan </w:t>
      </w:r>
      <w:r w:rsidR="0048267B" w:rsidRPr="004F4708">
        <w:rPr>
          <w:szCs w:val="26"/>
        </w:rPr>
        <w:t xml:space="preserve">pengetahuan, keterampilan dan sikap </w:t>
      </w:r>
      <w:r w:rsidRPr="004F4708">
        <w:rPr>
          <w:szCs w:val="26"/>
        </w:rPr>
        <w:t xml:space="preserve">menegakkan HAM. Literasi HAM yang </w:t>
      </w:r>
      <w:r w:rsidR="005B0861" w:rsidRPr="004F4708">
        <w:rPr>
          <w:szCs w:val="26"/>
        </w:rPr>
        <w:t>id</w:t>
      </w:r>
      <w:r w:rsidRPr="004F4708">
        <w:rPr>
          <w:szCs w:val="26"/>
        </w:rPr>
        <w:t>eal adalah ketika pemahaman HAM mampu mendorong hadirnya daya pegas kepedulian dan atau aksi penghormatan HAM di kalangan mahasiswa. Hal ini terlihat dari kesulitan memahami kehendak penugasan dalam buku ajar berikut ini:</w:t>
      </w:r>
    </w:p>
    <w:p w14:paraId="5AB7448A" w14:textId="6BE2F175" w:rsidR="00D44124" w:rsidRPr="004F4708" w:rsidRDefault="00D44124" w:rsidP="004F5EC0">
      <w:pPr>
        <w:autoSpaceDE w:val="0"/>
        <w:autoSpaceDN w:val="0"/>
        <w:adjustRightInd w:val="0"/>
        <w:ind w:left="567"/>
        <w:jc w:val="both"/>
        <w:rPr>
          <w:szCs w:val="26"/>
        </w:rPr>
      </w:pPr>
      <w:r w:rsidRPr="004F4708">
        <w:rPr>
          <w:szCs w:val="26"/>
        </w:rPr>
        <w:t>Materi muatan UUD NRI 1945 dijabarkan lebih lanjut dalam suatu undang-</w:t>
      </w:r>
      <w:r w:rsidR="007376D6" w:rsidRPr="004F4708">
        <w:rPr>
          <w:szCs w:val="26"/>
        </w:rPr>
        <w:t xml:space="preserve">undang … </w:t>
      </w:r>
      <w:r w:rsidRPr="004F4708">
        <w:rPr>
          <w:szCs w:val="26"/>
        </w:rPr>
        <w:t>Misalnya aturan tentang HAM dalam Pasal 28 ayat 5 berbunyi “Untuk menegakkan dan melindungi hak asasi manusia sesuai dengan prinsip negara hukum yang demokratis, maka pelaksanaan hak asasi manusia dijamin, diatur, dan dituangkan dalam peraturan perundang-undangan.”</w:t>
      </w:r>
      <w:r w:rsidR="002B3BDE" w:rsidRPr="004F4708">
        <w:rPr>
          <w:rStyle w:val="FootnoteReference"/>
          <w:szCs w:val="26"/>
        </w:rPr>
        <w:footnoteReference w:id="42"/>
      </w:r>
    </w:p>
    <w:p w14:paraId="1E29AA66" w14:textId="1DE472F5" w:rsidR="004F5EC0" w:rsidRPr="004F4708" w:rsidRDefault="0070121A" w:rsidP="004F5EC0">
      <w:pPr>
        <w:autoSpaceDE w:val="0"/>
        <w:autoSpaceDN w:val="0"/>
        <w:adjustRightInd w:val="0"/>
        <w:ind w:firstLine="567"/>
        <w:jc w:val="both"/>
        <w:rPr>
          <w:szCs w:val="26"/>
        </w:rPr>
      </w:pPr>
      <w:r w:rsidRPr="004F4708">
        <w:rPr>
          <w:szCs w:val="26"/>
        </w:rPr>
        <w:t>Masih berkaitan dengan resiprokalitas, puncaknya adalah pemahaman yang semakin tidak utuh terhadap HAM.</w:t>
      </w:r>
      <w:r w:rsidR="002B3BDE" w:rsidRPr="004F4708">
        <w:rPr>
          <w:rStyle w:val="FootnoteReference"/>
          <w:szCs w:val="26"/>
        </w:rPr>
        <w:footnoteReference w:id="43"/>
      </w:r>
      <w:r w:rsidR="002B3BDE" w:rsidRPr="004F4708">
        <w:rPr>
          <w:szCs w:val="26"/>
        </w:rPr>
        <w:t xml:space="preserve"> </w:t>
      </w:r>
      <w:r w:rsidR="002803E2" w:rsidRPr="004F4708">
        <w:rPr>
          <w:szCs w:val="26"/>
        </w:rPr>
        <w:t>Buku ajar sangat kuat berpijak pada dokumen p</w:t>
      </w:r>
      <w:r w:rsidRPr="004F4708">
        <w:rPr>
          <w:szCs w:val="26"/>
        </w:rPr>
        <w:t xml:space="preserve">rakarsa para mantan kepala negara/pemerintahan yang tergabung dalam </w:t>
      </w:r>
      <w:r w:rsidR="00D66970" w:rsidRPr="004F4708">
        <w:rPr>
          <w:i/>
          <w:szCs w:val="26"/>
        </w:rPr>
        <w:t>InterAction Council</w:t>
      </w:r>
      <w:r w:rsidR="00D66970" w:rsidRPr="004F4708">
        <w:rPr>
          <w:szCs w:val="26"/>
        </w:rPr>
        <w:t xml:space="preserve"> (</w:t>
      </w:r>
      <w:r w:rsidR="00937242" w:rsidRPr="004F4708">
        <w:rPr>
          <w:szCs w:val="26"/>
        </w:rPr>
        <w:t>IAC) yang berdiri sejak 1983</w:t>
      </w:r>
      <w:r w:rsidR="00637AC1" w:rsidRPr="004F4708">
        <w:rPr>
          <w:szCs w:val="26"/>
        </w:rPr>
        <w:t xml:space="preserve"> atas inisiatif mantan Perdana Menteri Jepang, Takaeo Fukuda. </w:t>
      </w:r>
      <w:r w:rsidR="00937242" w:rsidRPr="004F4708">
        <w:rPr>
          <w:szCs w:val="26"/>
        </w:rPr>
        <w:t xml:space="preserve">Draf deklarasi berjudul </w:t>
      </w:r>
      <w:r w:rsidR="00937242" w:rsidRPr="004F4708">
        <w:rPr>
          <w:i/>
          <w:szCs w:val="26"/>
        </w:rPr>
        <w:t>A Universal Declaration of Human Responsibilities</w:t>
      </w:r>
      <w:r w:rsidR="0014169A" w:rsidRPr="004F4708">
        <w:rPr>
          <w:szCs w:val="26"/>
        </w:rPr>
        <w:t xml:space="preserve"> rampung pada 1 September 1997.</w:t>
      </w:r>
      <w:r w:rsidR="0078270A" w:rsidRPr="004F4708">
        <w:rPr>
          <w:szCs w:val="26"/>
        </w:rPr>
        <w:t xml:space="preserve"> Harapannya, menjelang peringatan 50 tahun DUHAM PBB, draf ini dapat diadopsi PBB</w:t>
      </w:r>
      <w:r w:rsidR="007A54DB" w:rsidRPr="004F4708">
        <w:rPr>
          <w:szCs w:val="26"/>
        </w:rPr>
        <w:t xml:space="preserve"> sebagai dokumen kembar </w:t>
      </w:r>
      <w:r w:rsidR="00E33BD2" w:rsidRPr="004F4708">
        <w:rPr>
          <w:szCs w:val="26"/>
        </w:rPr>
        <w:t xml:space="preserve">bersama </w:t>
      </w:r>
      <w:r w:rsidR="007A54DB" w:rsidRPr="004F4708">
        <w:rPr>
          <w:szCs w:val="26"/>
        </w:rPr>
        <w:t>dengan DUHAM PBB</w:t>
      </w:r>
      <w:r w:rsidR="0078270A" w:rsidRPr="004F4708">
        <w:rPr>
          <w:szCs w:val="26"/>
        </w:rPr>
        <w:t>.</w:t>
      </w:r>
      <w:r w:rsidR="008B6873" w:rsidRPr="004F4708">
        <w:rPr>
          <w:rStyle w:val="FootnoteReference"/>
          <w:szCs w:val="26"/>
        </w:rPr>
        <w:footnoteReference w:id="44"/>
      </w:r>
    </w:p>
    <w:p w14:paraId="1C536088" w14:textId="7C9FDD77" w:rsidR="004F5EC0" w:rsidRPr="004F4708" w:rsidRDefault="00637AC1" w:rsidP="004F5EC0">
      <w:pPr>
        <w:autoSpaceDE w:val="0"/>
        <w:autoSpaceDN w:val="0"/>
        <w:adjustRightInd w:val="0"/>
        <w:ind w:firstLine="567"/>
        <w:jc w:val="both"/>
        <w:rPr>
          <w:szCs w:val="26"/>
        </w:rPr>
      </w:pPr>
      <w:r w:rsidRPr="004F4708">
        <w:rPr>
          <w:szCs w:val="26"/>
        </w:rPr>
        <w:t>Draf ini berhasil secara luas dikaji masyarakat dan lembaga internasional.</w:t>
      </w:r>
      <w:r w:rsidR="007A54DB" w:rsidRPr="004F4708">
        <w:rPr>
          <w:rStyle w:val="FootnoteReference"/>
          <w:szCs w:val="26"/>
        </w:rPr>
        <w:footnoteReference w:id="45"/>
      </w:r>
      <w:r w:rsidRPr="004F4708">
        <w:rPr>
          <w:szCs w:val="26"/>
        </w:rPr>
        <w:t xml:space="preserve"> Sekalipun pada akhirnya tidak berhasil disepakati sebagai instrumen internasional,</w:t>
      </w:r>
      <w:r w:rsidR="008B6873" w:rsidRPr="004F4708">
        <w:rPr>
          <w:rStyle w:val="FootnoteReference"/>
          <w:szCs w:val="26"/>
        </w:rPr>
        <w:footnoteReference w:id="46"/>
      </w:r>
      <w:r w:rsidR="008B6873" w:rsidRPr="004F4708">
        <w:rPr>
          <w:szCs w:val="26"/>
        </w:rPr>
        <w:t xml:space="preserve"> </w:t>
      </w:r>
      <w:r w:rsidRPr="004F4708">
        <w:rPr>
          <w:szCs w:val="26"/>
        </w:rPr>
        <w:t xml:space="preserve">IAC sangat yakin bahwa draf </w:t>
      </w:r>
      <w:r w:rsidR="00A07EBB" w:rsidRPr="004F4708">
        <w:rPr>
          <w:szCs w:val="26"/>
        </w:rPr>
        <w:t>dengan tema “</w:t>
      </w:r>
      <w:r w:rsidR="00A07EBB" w:rsidRPr="004F4708">
        <w:rPr>
          <w:bCs/>
          <w:szCs w:val="26"/>
        </w:rPr>
        <w:t>It is time to talk about human responsibilities</w:t>
      </w:r>
      <w:r w:rsidR="00A07EBB" w:rsidRPr="004F4708">
        <w:rPr>
          <w:szCs w:val="26"/>
        </w:rPr>
        <w:t xml:space="preserve">” dan </w:t>
      </w:r>
      <w:r w:rsidRPr="004F4708">
        <w:rPr>
          <w:szCs w:val="26"/>
        </w:rPr>
        <w:t xml:space="preserve">terdiri atas 19 pasal ini </w:t>
      </w:r>
      <w:r w:rsidR="00A07EBB" w:rsidRPr="004F4708">
        <w:rPr>
          <w:szCs w:val="26"/>
        </w:rPr>
        <w:t xml:space="preserve">telah </w:t>
      </w:r>
      <w:r w:rsidRPr="004F4708">
        <w:rPr>
          <w:szCs w:val="26"/>
        </w:rPr>
        <w:t>menjadi pembawa obor wacana penting (</w:t>
      </w:r>
      <w:r w:rsidRPr="004F4708">
        <w:rPr>
          <w:i/>
          <w:szCs w:val="26"/>
        </w:rPr>
        <w:t>important torchlight</w:t>
      </w:r>
      <w:r w:rsidRPr="004F4708">
        <w:rPr>
          <w:szCs w:val="26"/>
        </w:rPr>
        <w:t>)</w:t>
      </w:r>
      <w:r w:rsidRPr="004F4708">
        <w:rPr>
          <w:i/>
          <w:szCs w:val="26"/>
        </w:rPr>
        <w:t xml:space="preserve"> </w:t>
      </w:r>
      <w:r w:rsidRPr="004F4708">
        <w:rPr>
          <w:szCs w:val="26"/>
        </w:rPr>
        <w:t xml:space="preserve">sepanjang abad 21. </w:t>
      </w:r>
      <w:r w:rsidR="0078270A" w:rsidRPr="004F4708">
        <w:rPr>
          <w:szCs w:val="26"/>
        </w:rPr>
        <w:t xml:space="preserve"> </w:t>
      </w:r>
      <w:r w:rsidR="0014169A" w:rsidRPr="004F4708">
        <w:rPr>
          <w:szCs w:val="26"/>
        </w:rPr>
        <w:t xml:space="preserve"> </w:t>
      </w:r>
    </w:p>
    <w:p w14:paraId="21DBD9B0" w14:textId="138D8634" w:rsidR="00645854" w:rsidRPr="004F4708" w:rsidRDefault="007A54DB" w:rsidP="004F4708">
      <w:pPr>
        <w:autoSpaceDE w:val="0"/>
        <w:autoSpaceDN w:val="0"/>
        <w:adjustRightInd w:val="0"/>
        <w:ind w:firstLine="567"/>
        <w:jc w:val="both"/>
        <w:rPr>
          <w:szCs w:val="26"/>
        </w:rPr>
      </w:pPr>
      <w:r w:rsidRPr="004F4708">
        <w:rPr>
          <w:szCs w:val="26"/>
        </w:rPr>
        <w:t xml:space="preserve">Dalam kaitan ini, buku ajar </w:t>
      </w:r>
      <w:r w:rsidR="00922AA4" w:rsidRPr="004F4708">
        <w:rPr>
          <w:szCs w:val="26"/>
        </w:rPr>
        <w:t xml:space="preserve">tidak mampu menjelaskan perkembangan pemikiran IAC sebagai upaya serius menjembatani keseimbangan tatanan global yang diklaim sebagai </w:t>
      </w:r>
      <w:r w:rsidR="00922AA4" w:rsidRPr="004F4708">
        <w:rPr>
          <w:i/>
          <w:szCs w:val="26"/>
        </w:rPr>
        <w:t>global ethic</w:t>
      </w:r>
      <w:r w:rsidR="00922AA4" w:rsidRPr="004F4708">
        <w:rPr>
          <w:szCs w:val="26"/>
        </w:rPr>
        <w:t>.</w:t>
      </w:r>
      <w:r w:rsidR="00922AA4" w:rsidRPr="004F4708">
        <w:rPr>
          <w:i/>
          <w:szCs w:val="26"/>
        </w:rPr>
        <w:t xml:space="preserve"> </w:t>
      </w:r>
      <w:r w:rsidR="00922AA4" w:rsidRPr="004F4708">
        <w:rPr>
          <w:szCs w:val="26"/>
        </w:rPr>
        <w:t xml:space="preserve">Buku ajar </w:t>
      </w:r>
      <w:r w:rsidR="005F6696" w:rsidRPr="004F4708">
        <w:rPr>
          <w:szCs w:val="26"/>
        </w:rPr>
        <w:t xml:space="preserve">justru mengutip dan bahkan menyimpulkan draf IAC sebagai justifikasi </w:t>
      </w:r>
      <w:r w:rsidR="00922AA4" w:rsidRPr="004F4708">
        <w:rPr>
          <w:szCs w:val="26"/>
        </w:rPr>
        <w:t xml:space="preserve">adanya dan pentingnya </w:t>
      </w:r>
      <w:r w:rsidR="005F6696" w:rsidRPr="004F4708">
        <w:rPr>
          <w:szCs w:val="26"/>
        </w:rPr>
        <w:t xml:space="preserve">resiprokalitas hak dan kewajiban. Hal ini bisa dilihat dari pernyataan sebagai berikut: </w:t>
      </w:r>
    </w:p>
    <w:p w14:paraId="114EF80B" w14:textId="37623EE0" w:rsidR="00645854" w:rsidRPr="004F4708" w:rsidRDefault="00645854" w:rsidP="004F4708">
      <w:pPr>
        <w:autoSpaceDE w:val="0"/>
        <w:autoSpaceDN w:val="0"/>
        <w:adjustRightInd w:val="0"/>
        <w:ind w:left="567"/>
        <w:jc w:val="both"/>
        <w:rPr>
          <w:szCs w:val="26"/>
        </w:rPr>
      </w:pPr>
      <w:r w:rsidRPr="004F4708">
        <w:rPr>
          <w:szCs w:val="26"/>
        </w:rPr>
        <w:t>Dari uraian di atas, dapat dilihat bahwa ternyata munculnya sejarah pemikiran tentang hak mendahului pemikiran tentang kewajiban. Mengapa sampai terjadi seperti itu? Apakah dengan demikian hak lebih penting dari kewajiban? Apakah di Indonesia pemikiran tentang hak juga mendahului kewajiban? Kemukakan pendapat Anda dengan terlebih dahulu mendiskusikan dengan teman.</w:t>
      </w:r>
      <w:r w:rsidR="002B3BDE" w:rsidRPr="004F4708">
        <w:rPr>
          <w:rStyle w:val="FootnoteReference"/>
          <w:szCs w:val="26"/>
        </w:rPr>
        <w:footnoteReference w:id="47"/>
      </w:r>
    </w:p>
    <w:p w14:paraId="6251C51E" w14:textId="77777777" w:rsidR="004F5EC0" w:rsidRPr="004F4708" w:rsidRDefault="00853C05" w:rsidP="004F5EC0">
      <w:pPr>
        <w:autoSpaceDE w:val="0"/>
        <w:autoSpaceDN w:val="0"/>
        <w:adjustRightInd w:val="0"/>
        <w:ind w:firstLine="567"/>
        <w:jc w:val="both"/>
        <w:rPr>
          <w:szCs w:val="26"/>
        </w:rPr>
      </w:pPr>
      <w:r w:rsidRPr="004F4708">
        <w:rPr>
          <w:szCs w:val="26"/>
        </w:rPr>
        <w:t xml:space="preserve">Terkait hal ini, mengkajiulang materi muatan HAM dalam buku ajar menjadi sangat penting dilakukan. </w:t>
      </w:r>
      <w:r w:rsidR="00C6537F" w:rsidRPr="004F4708">
        <w:rPr>
          <w:szCs w:val="26"/>
        </w:rPr>
        <w:t xml:space="preserve">Buku ajar PKn mengandung </w:t>
      </w:r>
      <w:r w:rsidRPr="004F4708">
        <w:rPr>
          <w:szCs w:val="26"/>
        </w:rPr>
        <w:t>paradigma berpikir HAM yang belum sejalan dengan nuktah pandangan dunia tentang HAM itu sendiri dalam tersebut.</w:t>
      </w:r>
      <w:r w:rsidR="00C6537F" w:rsidRPr="004F4708">
        <w:rPr>
          <w:szCs w:val="26"/>
        </w:rPr>
        <w:t xml:space="preserve"> Terkait hal itu, patut direnungkan pandangan Roux dan Becker tentang pentingnya humanisasi perguruan tinggi. </w:t>
      </w:r>
      <w:r w:rsidR="00765B9A" w:rsidRPr="004F4708">
        <w:rPr>
          <w:szCs w:val="26"/>
        </w:rPr>
        <w:t xml:space="preserve">Praksis pendidikan melalui ruang-raung dialog sangat efektif membentuk komunitas masyarakat baru. Tentu saja, </w:t>
      </w:r>
      <w:r w:rsidR="00C6537F" w:rsidRPr="004F4708">
        <w:rPr>
          <w:szCs w:val="26"/>
        </w:rPr>
        <w:t>literasi HAM menjadi elemen penting yang patut diperhatikan.</w:t>
      </w:r>
      <w:r w:rsidR="002B3BDE" w:rsidRPr="004F4708">
        <w:rPr>
          <w:rStyle w:val="FootnoteReference"/>
          <w:szCs w:val="26"/>
        </w:rPr>
        <w:footnoteReference w:id="48"/>
      </w:r>
    </w:p>
    <w:p w14:paraId="34499F0C" w14:textId="4F12E3E0" w:rsidR="00D34E7F" w:rsidRPr="00A07EBB" w:rsidRDefault="00F90A10" w:rsidP="004F4708">
      <w:pPr>
        <w:autoSpaceDE w:val="0"/>
        <w:autoSpaceDN w:val="0"/>
        <w:adjustRightInd w:val="0"/>
        <w:ind w:firstLine="567"/>
        <w:jc w:val="both"/>
        <w:rPr>
          <w:sz w:val="26"/>
          <w:szCs w:val="26"/>
        </w:rPr>
      </w:pPr>
      <w:r w:rsidRPr="004F4708">
        <w:rPr>
          <w:szCs w:val="26"/>
        </w:rPr>
        <w:t>Paradigma kurikulum PKn menempatkan relasi resiprokalitas antara hak dan kewajiban. Pandangan ini merusak struktur berpikir sistem HAM bahwa negara sesuangguhnya adalah pemangku kewajiban (</w:t>
      </w:r>
      <w:r w:rsidRPr="004F4708">
        <w:rPr>
          <w:i/>
          <w:szCs w:val="26"/>
        </w:rPr>
        <w:t>duty bearer</w:t>
      </w:r>
      <w:r w:rsidRPr="004F4708">
        <w:rPr>
          <w:szCs w:val="26"/>
        </w:rPr>
        <w:t>) dan individu adalah pemilik hak (</w:t>
      </w:r>
      <w:r w:rsidRPr="004F4708">
        <w:rPr>
          <w:i/>
          <w:szCs w:val="26"/>
        </w:rPr>
        <w:t>rights holder</w:t>
      </w:r>
      <w:r w:rsidRPr="004F4708">
        <w:rPr>
          <w:szCs w:val="26"/>
        </w:rPr>
        <w:t>). Mengacu pada paradigma berpikir ini sesungguhnya kurikulum PKn menempatkan supremasi dan sublimasi negara</w:t>
      </w:r>
      <w:r w:rsidR="0016186B" w:rsidRPr="004F4708">
        <w:rPr>
          <w:szCs w:val="26"/>
        </w:rPr>
        <w:t xml:space="preserve"> yang hegemonik</w:t>
      </w:r>
      <w:r w:rsidRPr="004F4708">
        <w:rPr>
          <w:szCs w:val="26"/>
        </w:rPr>
        <w:t>, untuk tidak mengatakan hegemoni negara yang eksesif.</w:t>
      </w:r>
    </w:p>
    <w:p w14:paraId="07675439" w14:textId="77777777" w:rsidR="00D300BA" w:rsidRPr="00701CD1" w:rsidRDefault="00D300BA" w:rsidP="00D300BA">
      <w:pPr>
        <w:rPr>
          <w:b/>
          <w:sz w:val="26"/>
          <w:szCs w:val="26"/>
        </w:rPr>
      </w:pPr>
      <w:r w:rsidRPr="00701CD1">
        <w:rPr>
          <w:b/>
          <w:sz w:val="26"/>
          <w:szCs w:val="26"/>
        </w:rPr>
        <w:t>KESIMPULAN</w:t>
      </w:r>
    </w:p>
    <w:p w14:paraId="3C7DAB16" w14:textId="77777777" w:rsidR="004F5EC0" w:rsidRPr="004F4708" w:rsidRDefault="00D300BA" w:rsidP="004F5EC0">
      <w:pPr>
        <w:ind w:firstLine="567"/>
        <w:jc w:val="both"/>
        <w:rPr>
          <w:szCs w:val="26"/>
        </w:rPr>
      </w:pPr>
      <w:r w:rsidRPr="004F4708">
        <w:rPr>
          <w:szCs w:val="26"/>
        </w:rPr>
        <w:t xml:space="preserve">Kurikulum PKn sulit bergerak dari nalar klasik-feodalistik yang cenderung memasung kebebasan berpikir mahasiswa. Sikap kritis dan elaboratif terhadap realitas sosial kebangsaan dan nasional serta kosmopolitan-global sulit bisa diharapkan tumbuh bahkan berkembang baik di kalangan mahasiswa karena superioritas negara ditempatkan sebagai “pemberi” hak bagi individu, masyarakat dan warga negara. </w:t>
      </w:r>
    </w:p>
    <w:p w14:paraId="5DB9FB88" w14:textId="3C194BE0" w:rsidR="00D300BA" w:rsidRPr="004F4708" w:rsidRDefault="00D300BA" w:rsidP="004F5EC0">
      <w:pPr>
        <w:ind w:firstLine="567"/>
        <w:jc w:val="both"/>
        <w:rPr>
          <w:szCs w:val="26"/>
        </w:rPr>
      </w:pPr>
      <w:r w:rsidRPr="004F4708">
        <w:rPr>
          <w:szCs w:val="26"/>
        </w:rPr>
        <w:t xml:space="preserve">Kurikulum PKn telah sistematis mendegradasi proses pematangan demokratisasi Indonesia bahkan sangat jauh </w:t>
      </w:r>
      <w:r w:rsidR="009A20B5" w:rsidRPr="004F4708">
        <w:rPr>
          <w:szCs w:val="26"/>
        </w:rPr>
        <w:t>dari idealitas</w:t>
      </w:r>
      <w:r w:rsidR="00852368" w:rsidRPr="004F4708">
        <w:rPr>
          <w:szCs w:val="26"/>
        </w:rPr>
        <w:t xml:space="preserve"> literasi HAM. Dibutuhkan </w:t>
      </w:r>
      <w:r w:rsidR="009A20B5" w:rsidRPr="004F4708">
        <w:rPr>
          <w:szCs w:val="26"/>
        </w:rPr>
        <w:t>kajian komprehensif memperkuat nalar HAM yang tidak saja mampu adaptif dengan perkembangan kajian HAM, tetapi juga berkontribusi signifikan meningkatkan literasi HA</w:t>
      </w:r>
      <w:r w:rsidR="00700A5F" w:rsidRPr="004F4708">
        <w:rPr>
          <w:szCs w:val="26"/>
        </w:rPr>
        <w:t>M m</w:t>
      </w:r>
      <w:r w:rsidR="009A20B5" w:rsidRPr="004F4708">
        <w:rPr>
          <w:szCs w:val="26"/>
        </w:rPr>
        <w:t>engadvokasi tuntutan negara hukum demokratis Indonesia</w:t>
      </w:r>
      <w:r w:rsidR="0086344F" w:rsidRPr="004F4708">
        <w:rPr>
          <w:szCs w:val="26"/>
        </w:rPr>
        <w:t>.</w:t>
      </w:r>
      <w:r w:rsidR="009A20B5" w:rsidRPr="004F4708">
        <w:rPr>
          <w:szCs w:val="26"/>
        </w:rPr>
        <w:t xml:space="preserve"> </w:t>
      </w:r>
    </w:p>
    <w:p w14:paraId="0F092705" w14:textId="77777777" w:rsidR="003A6A1D" w:rsidRPr="003A6A1D" w:rsidRDefault="003A6A1D" w:rsidP="00D300BA">
      <w:pPr>
        <w:jc w:val="both"/>
        <w:rPr>
          <w:b/>
          <w:sz w:val="26"/>
          <w:szCs w:val="26"/>
        </w:rPr>
      </w:pPr>
      <w:r w:rsidRPr="003A6A1D">
        <w:rPr>
          <w:b/>
          <w:sz w:val="26"/>
          <w:szCs w:val="26"/>
        </w:rPr>
        <w:t>SARAN</w:t>
      </w:r>
    </w:p>
    <w:p w14:paraId="6D2A9F6A" w14:textId="3180A4E5" w:rsidR="00D300BA" w:rsidRPr="004F4708" w:rsidRDefault="003A6A1D" w:rsidP="004F5EC0">
      <w:pPr>
        <w:ind w:firstLine="567"/>
        <w:jc w:val="both"/>
        <w:rPr>
          <w:szCs w:val="26"/>
        </w:rPr>
      </w:pPr>
      <w:r w:rsidRPr="004F4708">
        <w:rPr>
          <w:szCs w:val="26"/>
        </w:rPr>
        <w:t>K</w:t>
      </w:r>
      <w:r w:rsidR="00D300BA" w:rsidRPr="004F4708">
        <w:rPr>
          <w:szCs w:val="26"/>
        </w:rPr>
        <w:t xml:space="preserve">urikulum PKn sejatinya dievaluasi secara sitematis untuk memudahkan hadirnya pelibatan aktif dan demokratis di kalangan mahasiswa. Kurikulum PKn wajib dihadirkan dalam nuansa perubahan sosial yang masif yang menuntut responsivitas cerdas di kalangan warga negara muda Indonesia, yakni para mahasiswa sebagai insan cendekia muda Indonesia. </w:t>
      </w:r>
    </w:p>
    <w:p w14:paraId="0A3D6933" w14:textId="77777777" w:rsidR="004075C2" w:rsidRDefault="004075C2" w:rsidP="00D300BA">
      <w:pPr>
        <w:jc w:val="both"/>
        <w:rPr>
          <w:b/>
          <w:sz w:val="26"/>
          <w:szCs w:val="26"/>
        </w:rPr>
      </w:pPr>
      <w:r w:rsidRPr="004075C2">
        <w:rPr>
          <w:b/>
          <w:sz w:val="26"/>
          <w:szCs w:val="26"/>
        </w:rPr>
        <w:t>UCAPAN TERIMA KASIH</w:t>
      </w:r>
    </w:p>
    <w:p w14:paraId="70F97DF9" w14:textId="28304C9D" w:rsidR="004075C2" w:rsidRPr="0015167F" w:rsidRDefault="004075C2" w:rsidP="004F5EC0">
      <w:pPr>
        <w:ind w:firstLine="567"/>
        <w:jc w:val="both"/>
        <w:rPr>
          <w:szCs w:val="26"/>
        </w:rPr>
      </w:pPr>
      <w:r w:rsidRPr="0015167F">
        <w:rPr>
          <w:szCs w:val="26"/>
        </w:rPr>
        <w:t>Penulis sangat berterima kasih kepada Rektor Unimed atas pendanaan riset kebijakan tahun 2019 kepada Pusham Unimed. Penulis juga berterima kasih kepada pengelola MKU Unimed, KDBP PKn</w:t>
      </w:r>
      <w:r w:rsidR="00E4136F" w:rsidRPr="0015167F">
        <w:rPr>
          <w:szCs w:val="26"/>
        </w:rPr>
        <w:t xml:space="preserve"> MKU Unimed,</w:t>
      </w:r>
      <w:r w:rsidRPr="0015167F">
        <w:rPr>
          <w:szCs w:val="26"/>
        </w:rPr>
        <w:t xml:space="preserve"> dosen </w:t>
      </w:r>
      <w:r w:rsidR="00E4136F" w:rsidRPr="0015167F">
        <w:rPr>
          <w:szCs w:val="26"/>
        </w:rPr>
        <w:t xml:space="preserve">dan mahasiswa </w:t>
      </w:r>
      <w:r w:rsidRPr="0015167F">
        <w:rPr>
          <w:szCs w:val="26"/>
        </w:rPr>
        <w:t xml:space="preserve">PKn yang terlibat dalam FGD penelitian Pusham Unimed T.A. 2019. </w:t>
      </w:r>
      <w:r w:rsidR="00E4136F" w:rsidRPr="0015167F">
        <w:rPr>
          <w:szCs w:val="26"/>
        </w:rPr>
        <w:t>Terima kasih penulis kepada seluruh staf dan peneliti Pusham Unimed.</w:t>
      </w:r>
    </w:p>
    <w:p w14:paraId="1D53D051" w14:textId="77777777" w:rsidR="00D300BA" w:rsidRPr="00C7284E" w:rsidRDefault="00D300BA" w:rsidP="00D300BA">
      <w:pPr>
        <w:jc w:val="both"/>
        <w:rPr>
          <w:b/>
          <w:sz w:val="26"/>
          <w:szCs w:val="26"/>
        </w:rPr>
      </w:pPr>
      <w:r w:rsidRPr="00C7284E">
        <w:rPr>
          <w:b/>
          <w:sz w:val="26"/>
          <w:szCs w:val="26"/>
        </w:rPr>
        <w:t>DAFTAR PUSTAKA</w:t>
      </w:r>
    </w:p>
    <w:p w14:paraId="6C97FA9D" w14:textId="7419F47C" w:rsidR="00CD0B06" w:rsidRPr="0015167F" w:rsidRDefault="002B3BDE" w:rsidP="00CD0B06">
      <w:pPr>
        <w:widowControl w:val="0"/>
        <w:autoSpaceDE w:val="0"/>
        <w:autoSpaceDN w:val="0"/>
        <w:adjustRightInd w:val="0"/>
        <w:spacing w:before="0"/>
        <w:ind w:left="480" w:hanging="480"/>
        <w:jc w:val="both"/>
        <w:rPr>
          <w:noProof/>
        </w:rPr>
      </w:pPr>
      <w:r>
        <w:rPr>
          <w:sz w:val="26"/>
          <w:szCs w:val="26"/>
        </w:rPr>
        <w:fldChar w:fldCharType="begin" w:fldLock="1"/>
      </w:r>
      <w:r>
        <w:rPr>
          <w:sz w:val="26"/>
          <w:szCs w:val="26"/>
        </w:rPr>
        <w:instrText xml:space="preserve">ADDIN Mendeley Bibliography CSL_BIBLIOGRAPHY </w:instrText>
      </w:r>
      <w:r>
        <w:rPr>
          <w:sz w:val="26"/>
          <w:szCs w:val="26"/>
        </w:rPr>
        <w:fldChar w:fldCharType="separate"/>
      </w:r>
      <w:r w:rsidR="00CD0B06" w:rsidRPr="0015167F">
        <w:rPr>
          <w:noProof/>
        </w:rPr>
        <w:t xml:space="preserve">Andreassen, Bård A., Hans-Otto Sano, dan Siobhán McInerney-Lankford, “Human Rights Research Method,” in </w:t>
      </w:r>
      <w:r w:rsidR="00CD0B06" w:rsidRPr="0015167F">
        <w:rPr>
          <w:i/>
          <w:iCs/>
          <w:noProof/>
        </w:rPr>
        <w:t>Research Methods in Human Rights</w:t>
      </w:r>
      <w:r w:rsidR="00CD0B06" w:rsidRPr="0015167F">
        <w:rPr>
          <w:noProof/>
        </w:rPr>
        <w:t xml:space="preserve">, ed. oleh Bård A. Andreassen, Hans-Otto Sano, dan Siobhán McInerney-Lankford (Northampton: Edward Elgar Publishing, 2017), hal. 1–16 </w:t>
      </w:r>
    </w:p>
    <w:p w14:paraId="1D763EB7" w14:textId="22C52AB7" w:rsidR="00CD0B06" w:rsidRPr="0015167F" w:rsidRDefault="00CD0B06" w:rsidP="00CD0B06">
      <w:pPr>
        <w:widowControl w:val="0"/>
        <w:autoSpaceDE w:val="0"/>
        <w:autoSpaceDN w:val="0"/>
        <w:adjustRightInd w:val="0"/>
        <w:spacing w:before="0"/>
        <w:ind w:left="480" w:hanging="480"/>
        <w:jc w:val="both"/>
        <w:rPr>
          <w:noProof/>
        </w:rPr>
      </w:pPr>
      <w:r w:rsidRPr="0015167F">
        <w:rPr>
          <w:noProof/>
        </w:rPr>
        <w:t xml:space="preserve">Becker, Anne, Annamagriet de Wet, dan Willie van Vollenhoven, “Human Rights Literacy: Moving Towards Rights-based Education and Transformative Action Through Understandings of Fignity, Equality and Freedom,” </w:t>
      </w:r>
      <w:r w:rsidRPr="0015167F">
        <w:rPr>
          <w:i/>
          <w:iCs/>
          <w:noProof/>
        </w:rPr>
        <w:t>South African Journal of Education</w:t>
      </w:r>
      <w:r w:rsidRPr="0015167F">
        <w:rPr>
          <w:noProof/>
        </w:rPr>
        <w:t xml:space="preserve">, 35.2 (2015), 1–12 </w:t>
      </w:r>
    </w:p>
    <w:p w14:paraId="5C50B8B0" w14:textId="77777777" w:rsidR="00CD0B06" w:rsidRPr="0015167F" w:rsidRDefault="00CD0B06" w:rsidP="00CD0B06">
      <w:pPr>
        <w:widowControl w:val="0"/>
        <w:autoSpaceDE w:val="0"/>
        <w:autoSpaceDN w:val="0"/>
        <w:adjustRightInd w:val="0"/>
        <w:spacing w:before="0"/>
        <w:ind w:left="480" w:hanging="480"/>
        <w:jc w:val="both"/>
        <w:rPr>
          <w:noProof/>
        </w:rPr>
      </w:pPr>
      <w:r w:rsidRPr="0015167F">
        <w:rPr>
          <w:noProof/>
        </w:rPr>
        <w:t xml:space="preserve">Bellamy, Richard, </w:t>
      </w:r>
      <w:r w:rsidRPr="0015167F">
        <w:rPr>
          <w:i/>
          <w:iCs/>
          <w:noProof/>
        </w:rPr>
        <w:t>Citizenship: A Very Short Introduction</w:t>
      </w:r>
      <w:r w:rsidRPr="0015167F">
        <w:rPr>
          <w:noProof/>
        </w:rPr>
        <w:t xml:space="preserve"> (Oxford: Oxford University Press, 2008)</w:t>
      </w:r>
    </w:p>
    <w:p w14:paraId="1FCA1959" w14:textId="77777777" w:rsidR="00CD0B06" w:rsidRPr="0015167F" w:rsidRDefault="00CD0B06" w:rsidP="00CD0B06">
      <w:pPr>
        <w:widowControl w:val="0"/>
        <w:autoSpaceDE w:val="0"/>
        <w:autoSpaceDN w:val="0"/>
        <w:adjustRightInd w:val="0"/>
        <w:spacing w:before="0"/>
        <w:ind w:left="480" w:hanging="480"/>
        <w:jc w:val="both"/>
        <w:rPr>
          <w:noProof/>
        </w:rPr>
      </w:pPr>
      <w:r w:rsidRPr="0015167F">
        <w:rPr>
          <w:noProof/>
        </w:rPr>
        <w:t xml:space="preserve">Citrawan, Harison, “Kompleksitas Kewargaan dan Hak Asasi Manusia: Catatan Kritis atas Materi Hak Asasi Manusia di dalam Pendidikan Kewarganegaraan bagi Perguruan Tinggi,” in </w:t>
      </w:r>
      <w:r w:rsidRPr="0015167F">
        <w:rPr>
          <w:i/>
          <w:iCs/>
          <w:noProof/>
        </w:rPr>
        <w:t>makalah disampaikan pada Focused Group Discussion Pusat Studi Hak Asasi Manusia Universitas Negeri Medan Brastagi, 20 November 2019</w:t>
      </w:r>
    </w:p>
    <w:p w14:paraId="273B23E8" w14:textId="77777777" w:rsidR="00CD0B06" w:rsidRPr="0015167F" w:rsidRDefault="00CD0B06" w:rsidP="00CD0B06">
      <w:pPr>
        <w:widowControl w:val="0"/>
        <w:autoSpaceDE w:val="0"/>
        <w:autoSpaceDN w:val="0"/>
        <w:adjustRightInd w:val="0"/>
        <w:spacing w:before="0"/>
        <w:ind w:left="480" w:hanging="480"/>
        <w:jc w:val="both"/>
        <w:rPr>
          <w:noProof/>
        </w:rPr>
      </w:pPr>
      <w:r w:rsidRPr="0015167F">
        <w:rPr>
          <w:noProof/>
        </w:rPr>
        <w:t xml:space="preserve">Committe on Economic, Social and Cultural Rights, “Implementation of the International Covenant on Economic, Social and Cultural Rights: General Comment No 13: The Right to Education (Art. 13 of the Covenant ), para. 1,” </w:t>
      </w:r>
      <w:r w:rsidRPr="0015167F">
        <w:rPr>
          <w:i/>
          <w:iCs/>
          <w:noProof/>
        </w:rPr>
        <w:t>United Nation Human Rights Office of the High Commissioner</w:t>
      </w:r>
      <w:r w:rsidRPr="0015167F">
        <w:rPr>
          <w:noProof/>
        </w:rPr>
        <w:t>, 1999 &lt;https://www.refworld.org/pdfid/4538838c22.pdf&gt; [diakses 20 Juli 2020]</w:t>
      </w:r>
    </w:p>
    <w:p w14:paraId="22DD3414" w14:textId="01047717" w:rsidR="00CD0B06" w:rsidRPr="0015167F" w:rsidRDefault="00CD0B06" w:rsidP="00CD0B06">
      <w:pPr>
        <w:widowControl w:val="0"/>
        <w:autoSpaceDE w:val="0"/>
        <w:autoSpaceDN w:val="0"/>
        <w:adjustRightInd w:val="0"/>
        <w:spacing w:before="0"/>
        <w:ind w:left="480" w:hanging="480"/>
        <w:jc w:val="both"/>
        <w:rPr>
          <w:noProof/>
        </w:rPr>
      </w:pPr>
      <w:r w:rsidRPr="0015167F">
        <w:rPr>
          <w:noProof/>
        </w:rPr>
        <w:t xml:space="preserve">Coomans, Fons, Fred Grünfeld, dan Menno T. Kamminga, “Methods of Human Rights Research: A Primer,” </w:t>
      </w:r>
      <w:r w:rsidRPr="0015167F">
        <w:rPr>
          <w:i/>
          <w:iCs/>
          <w:noProof/>
        </w:rPr>
        <w:t>Human Rights Quarterly</w:t>
      </w:r>
      <w:r w:rsidRPr="0015167F">
        <w:rPr>
          <w:noProof/>
        </w:rPr>
        <w:t xml:space="preserve">, 32.1 (2010), 179–86 </w:t>
      </w:r>
    </w:p>
    <w:p w14:paraId="1B23B0F8" w14:textId="77777777" w:rsidR="00CD0B06" w:rsidRPr="0015167F" w:rsidRDefault="00CD0B06" w:rsidP="00CD0B06">
      <w:pPr>
        <w:widowControl w:val="0"/>
        <w:autoSpaceDE w:val="0"/>
        <w:autoSpaceDN w:val="0"/>
        <w:adjustRightInd w:val="0"/>
        <w:spacing w:before="0"/>
        <w:ind w:left="480" w:hanging="480"/>
        <w:jc w:val="both"/>
        <w:rPr>
          <w:noProof/>
        </w:rPr>
      </w:pPr>
      <w:r w:rsidRPr="0015167F">
        <w:rPr>
          <w:noProof/>
        </w:rPr>
        <w:t xml:space="preserve">Fearnley-sander, Mary, dan Yulaelawati Ella, “Citizenship Discourse in the Context of Decentralisation: The Case of Indonesia,” in </w:t>
      </w:r>
      <w:r w:rsidRPr="0015167F">
        <w:rPr>
          <w:i/>
          <w:iCs/>
          <w:noProof/>
        </w:rPr>
        <w:t>Citizenship Curriculum in Asia and the Pacific</w:t>
      </w:r>
      <w:r w:rsidRPr="0015167F">
        <w:rPr>
          <w:noProof/>
        </w:rPr>
        <w:t>, ed. oleh David L Grossman, Wing On Lee, dan Kerry J Kennedy (Hong Kong: Comparative Education Research Center, The University of Hong Kong &amp; Springer, 2008)</w:t>
      </w:r>
    </w:p>
    <w:p w14:paraId="4348DB6E" w14:textId="77777777" w:rsidR="00CD0B06" w:rsidRPr="0015167F" w:rsidRDefault="00CD0B06" w:rsidP="00CD0B06">
      <w:pPr>
        <w:widowControl w:val="0"/>
        <w:autoSpaceDE w:val="0"/>
        <w:autoSpaceDN w:val="0"/>
        <w:adjustRightInd w:val="0"/>
        <w:spacing w:before="0"/>
        <w:ind w:left="480" w:hanging="480"/>
        <w:jc w:val="both"/>
        <w:rPr>
          <w:noProof/>
        </w:rPr>
      </w:pPr>
      <w:r w:rsidRPr="0015167F">
        <w:rPr>
          <w:noProof/>
        </w:rPr>
        <w:t xml:space="preserve">Gearon, Liam, “Global Human Rights,” in </w:t>
      </w:r>
      <w:r w:rsidRPr="0015167F">
        <w:rPr>
          <w:i/>
          <w:iCs/>
          <w:noProof/>
        </w:rPr>
        <w:t>The Palgrave International Handbook of Education for Citizenship and Social Justice</w:t>
      </w:r>
      <w:r w:rsidRPr="0015167F">
        <w:rPr>
          <w:noProof/>
        </w:rPr>
        <w:t>, ed. oleh Andrew Peterson, Robert Walter, Michalinos Zembylas, dan James Arthur (London: Palgrave Macmillan)</w:t>
      </w:r>
    </w:p>
    <w:p w14:paraId="5D16F3C9" w14:textId="1673D49B" w:rsidR="00CD0B06" w:rsidRPr="0015167F" w:rsidRDefault="0007075C" w:rsidP="00CD0B06">
      <w:pPr>
        <w:widowControl w:val="0"/>
        <w:autoSpaceDE w:val="0"/>
        <w:autoSpaceDN w:val="0"/>
        <w:adjustRightInd w:val="0"/>
        <w:spacing w:before="0"/>
        <w:ind w:left="480" w:hanging="480"/>
        <w:jc w:val="both"/>
        <w:rPr>
          <w:noProof/>
        </w:rPr>
      </w:pPr>
      <w:r w:rsidRPr="0007075C">
        <w:rPr>
          <w:noProof/>
        </w:rPr>
        <w:t>United Nations General Assembly</w:t>
      </w:r>
      <w:r w:rsidR="00CD0B06" w:rsidRPr="0015167F">
        <w:rPr>
          <w:noProof/>
        </w:rPr>
        <w:t xml:space="preserve">, “Res 59/113: World Programme for Human Rights Education,” </w:t>
      </w:r>
      <w:r w:rsidR="00CD0B06" w:rsidRPr="0015167F">
        <w:rPr>
          <w:i/>
          <w:iCs/>
          <w:noProof/>
        </w:rPr>
        <w:t>United Nations</w:t>
      </w:r>
      <w:r w:rsidR="00CD0B06" w:rsidRPr="0015167F">
        <w:rPr>
          <w:noProof/>
        </w:rPr>
        <w:t>, 2004 &lt;https://digitallibrary.un.org/record/537134&gt; [diakses 29 Juli 2020]</w:t>
      </w:r>
    </w:p>
    <w:p w14:paraId="54934447" w14:textId="77777777" w:rsidR="00CD0B06" w:rsidRPr="0015167F" w:rsidRDefault="00CD0B06" w:rsidP="00CD0B06">
      <w:pPr>
        <w:widowControl w:val="0"/>
        <w:autoSpaceDE w:val="0"/>
        <w:autoSpaceDN w:val="0"/>
        <w:adjustRightInd w:val="0"/>
        <w:spacing w:before="0"/>
        <w:ind w:left="480" w:hanging="480"/>
        <w:jc w:val="both"/>
        <w:rPr>
          <w:noProof/>
        </w:rPr>
      </w:pPr>
      <w:r w:rsidRPr="0015167F">
        <w:rPr>
          <w:noProof/>
        </w:rPr>
        <w:t xml:space="preserve">Giacomazzi, Mia, “Human Rights and Human Responsibilities: A Necessary Balance?,” </w:t>
      </w:r>
      <w:r w:rsidRPr="0015167F">
        <w:rPr>
          <w:i/>
          <w:iCs/>
          <w:noProof/>
        </w:rPr>
        <w:t>Santa Clara Journal of International Law</w:t>
      </w:r>
      <w:r w:rsidRPr="0015167F">
        <w:rPr>
          <w:noProof/>
        </w:rPr>
        <w:t>, 3.2 (2005), 164–76</w:t>
      </w:r>
    </w:p>
    <w:p w14:paraId="30AF44F7" w14:textId="23596135" w:rsidR="00CD0B06" w:rsidRPr="0015167F" w:rsidRDefault="00CD0B06" w:rsidP="00CD0B06">
      <w:pPr>
        <w:widowControl w:val="0"/>
        <w:autoSpaceDE w:val="0"/>
        <w:autoSpaceDN w:val="0"/>
        <w:adjustRightInd w:val="0"/>
        <w:spacing w:before="0"/>
        <w:ind w:left="480" w:hanging="480"/>
        <w:jc w:val="both"/>
        <w:rPr>
          <w:noProof/>
        </w:rPr>
      </w:pPr>
      <w:r w:rsidRPr="0015167F">
        <w:rPr>
          <w:noProof/>
        </w:rPr>
        <w:t xml:space="preserve">Gollob, Rolf, Peter Krapf, Ólöf Ólafsdóttir, dan Wiltrud Weidinger, </w:t>
      </w:r>
      <w:r w:rsidRPr="0015167F">
        <w:rPr>
          <w:i/>
          <w:iCs/>
          <w:noProof/>
        </w:rPr>
        <w:t>Educating for Democracy: Background Materials on Democratic Citizenship and Human Rights Education for Teachers</w:t>
      </w:r>
      <w:r w:rsidRPr="0015167F">
        <w:rPr>
          <w:noProof/>
        </w:rPr>
        <w:t xml:space="preserve">, ed. oleh Rolf Gollob, Peter Krapf, dan Wiltrud Weidinger (Belgium: Council of Europe Publishing) </w:t>
      </w:r>
    </w:p>
    <w:p w14:paraId="4EF58428" w14:textId="77777777" w:rsidR="00CD0B06" w:rsidRPr="0015167F" w:rsidRDefault="00CD0B06" w:rsidP="00CD0B06">
      <w:pPr>
        <w:widowControl w:val="0"/>
        <w:autoSpaceDE w:val="0"/>
        <w:autoSpaceDN w:val="0"/>
        <w:adjustRightInd w:val="0"/>
        <w:spacing w:before="0"/>
        <w:ind w:left="480" w:hanging="480"/>
        <w:jc w:val="both"/>
        <w:rPr>
          <w:noProof/>
        </w:rPr>
      </w:pPr>
      <w:r w:rsidRPr="0015167F">
        <w:rPr>
          <w:noProof/>
        </w:rPr>
        <w:t xml:space="preserve">Gundara, Jagdish, “Social Diversity, Inclusiveness and Citizenship Education,” in </w:t>
      </w:r>
      <w:r w:rsidRPr="0015167F">
        <w:rPr>
          <w:i/>
          <w:iCs/>
          <w:noProof/>
        </w:rPr>
        <w:t>Education for Citizenship</w:t>
      </w:r>
      <w:r w:rsidRPr="0015167F">
        <w:rPr>
          <w:noProof/>
        </w:rPr>
        <w:t>, ed. oleh Denis Lawton, Jo Cairns, dan Roy Gardner (London dan New York: Continuum, 2000), hal. 14–26</w:t>
      </w:r>
    </w:p>
    <w:p w14:paraId="3BDBD6DC" w14:textId="77777777" w:rsidR="00CD0B06" w:rsidRPr="0015167F" w:rsidRDefault="00CD0B06" w:rsidP="00CD0B06">
      <w:pPr>
        <w:widowControl w:val="0"/>
        <w:autoSpaceDE w:val="0"/>
        <w:autoSpaceDN w:val="0"/>
        <w:adjustRightInd w:val="0"/>
        <w:spacing w:before="0"/>
        <w:ind w:left="480" w:hanging="480"/>
        <w:jc w:val="both"/>
        <w:rPr>
          <w:noProof/>
        </w:rPr>
      </w:pPr>
      <w:r w:rsidRPr="0015167F">
        <w:rPr>
          <w:noProof/>
        </w:rPr>
        <w:t xml:space="preserve">Inter Action Council, </w:t>
      </w:r>
      <w:r w:rsidRPr="0015167F">
        <w:rPr>
          <w:i/>
          <w:iCs/>
          <w:noProof/>
        </w:rPr>
        <w:t>A Statement from Political and Religious Leaders “ Bridging the Divide ”</w:t>
      </w:r>
      <w:r w:rsidRPr="0015167F">
        <w:rPr>
          <w:noProof/>
        </w:rPr>
        <w:t xml:space="preserve"> (Jakarta: Habibie Center, 2003) &lt;www.interactioncouncil.org&gt;</w:t>
      </w:r>
    </w:p>
    <w:p w14:paraId="7BCE9813" w14:textId="77777777" w:rsidR="00CD0B06" w:rsidRPr="0015167F" w:rsidRDefault="00CD0B06" w:rsidP="00CD0B06">
      <w:pPr>
        <w:widowControl w:val="0"/>
        <w:autoSpaceDE w:val="0"/>
        <w:autoSpaceDN w:val="0"/>
        <w:adjustRightInd w:val="0"/>
        <w:spacing w:before="0"/>
        <w:ind w:left="480" w:hanging="480"/>
        <w:jc w:val="both"/>
        <w:rPr>
          <w:noProof/>
        </w:rPr>
      </w:pPr>
      <w:r w:rsidRPr="0015167F">
        <w:rPr>
          <w:noProof/>
        </w:rPr>
        <w:t xml:space="preserve">Isin, Engin F, dan Bryan S Turner, ed., </w:t>
      </w:r>
      <w:r w:rsidRPr="0015167F">
        <w:rPr>
          <w:i/>
          <w:iCs/>
          <w:noProof/>
        </w:rPr>
        <w:t>Handbook of Citizenship Studies</w:t>
      </w:r>
      <w:r w:rsidRPr="0015167F">
        <w:rPr>
          <w:noProof/>
        </w:rPr>
        <w:t xml:space="preserve"> (London: SAGE Publications, 2002)</w:t>
      </w:r>
    </w:p>
    <w:p w14:paraId="3FAD0F28" w14:textId="36F2FC68" w:rsidR="00CD0B06" w:rsidRPr="0015167F" w:rsidRDefault="00CD0B06" w:rsidP="00CD0B06">
      <w:pPr>
        <w:widowControl w:val="0"/>
        <w:autoSpaceDE w:val="0"/>
        <w:autoSpaceDN w:val="0"/>
        <w:adjustRightInd w:val="0"/>
        <w:spacing w:before="0"/>
        <w:ind w:left="480" w:hanging="480"/>
        <w:jc w:val="both"/>
        <w:rPr>
          <w:noProof/>
        </w:rPr>
      </w:pPr>
      <w:r w:rsidRPr="0015167F">
        <w:rPr>
          <w:noProof/>
        </w:rPr>
        <w:t xml:space="preserve">Kennedy, Kerry J, </w:t>
      </w:r>
      <w:r w:rsidRPr="0015167F">
        <w:rPr>
          <w:i/>
          <w:iCs/>
          <w:noProof/>
        </w:rPr>
        <w:t>Civic and Citizenship Education in Volatile Times: Preparing Students for Citizenship in the 21st Century</w:t>
      </w:r>
      <w:r w:rsidRPr="0015167F">
        <w:rPr>
          <w:noProof/>
        </w:rPr>
        <w:t xml:space="preserve"> (Singapore: Springer, 2019) </w:t>
      </w:r>
    </w:p>
    <w:p w14:paraId="6D2B4DEA" w14:textId="77777777" w:rsidR="00CD0B06" w:rsidRPr="0015167F" w:rsidRDefault="00CD0B06" w:rsidP="00CD0B06">
      <w:pPr>
        <w:widowControl w:val="0"/>
        <w:autoSpaceDE w:val="0"/>
        <w:autoSpaceDN w:val="0"/>
        <w:adjustRightInd w:val="0"/>
        <w:spacing w:before="0"/>
        <w:ind w:left="480" w:hanging="480"/>
        <w:jc w:val="both"/>
        <w:rPr>
          <w:noProof/>
        </w:rPr>
      </w:pPr>
      <w:r w:rsidRPr="0015167F">
        <w:rPr>
          <w:noProof/>
        </w:rPr>
        <w:t xml:space="preserve">Liem, Gregory Arief D., dan Dennis M. Mcinerney, “Indonesian Students and Their Citizenship-Relayed Attributes: Implications for Instructional Strategies and Pedagogical Practices in Civic Education,” in </w:t>
      </w:r>
      <w:r w:rsidRPr="0015167F">
        <w:rPr>
          <w:i/>
          <w:iCs/>
          <w:noProof/>
        </w:rPr>
        <w:t>Citizenship Pedagogies in Asia and The Pacific</w:t>
      </w:r>
      <w:r w:rsidRPr="0015167F">
        <w:rPr>
          <w:noProof/>
        </w:rPr>
        <w:t>, ed. oleh Kerry J Kennedy, Wing On Lee, dan David L. Grossman (Hong Kong: Springer &amp; Comparative Education Research Center, The University of Hong Kong, 2010), hal. 149–74</w:t>
      </w:r>
    </w:p>
    <w:p w14:paraId="315908CA" w14:textId="77777777" w:rsidR="00CD0B06" w:rsidRPr="0015167F" w:rsidRDefault="00CD0B06" w:rsidP="00CD0B06">
      <w:pPr>
        <w:widowControl w:val="0"/>
        <w:autoSpaceDE w:val="0"/>
        <w:autoSpaceDN w:val="0"/>
        <w:adjustRightInd w:val="0"/>
        <w:spacing w:before="0"/>
        <w:ind w:left="480" w:hanging="480"/>
        <w:jc w:val="both"/>
        <w:rPr>
          <w:noProof/>
        </w:rPr>
      </w:pPr>
      <w:r w:rsidRPr="0015167F">
        <w:rPr>
          <w:noProof/>
        </w:rPr>
        <w:t xml:space="preserve">Marzuki, Suparman, dan Sobirin Melian, </w:t>
      </w:r>
      <w:r w:rsidRPr="0015167F">
        <w:rPr>
          <w:i/>
          <w:iCs/>
          <w:noProof/>
        </w:rPr>
        <w:t>Pendidikan Kewarganegaraan dan HAM</w:t>
      </w:r>
      <w:r w:rsidRPr="0015167F">
        <w:rPr>
          <w:noProof/>
        </w:rPr>
        <w:t xml:space="preserve"> (Yogyakarta: UII Press, 2002)</w:t>
      </w:r>
    </w:p>
    <w:p w14:paraId="3FB2EDBF" w14:textId="77777777" w:rsidR="00CD0B06" w:rsidRPr="0015167F" w:rsidRDefault="00CD0B06" w:rsidP="00CD0B06">
      <w:pPr>
        <w:widowControl w:val="0"/>
        <w:autoSpaceDE w:val="0"/>
        <w:autoSpaceDN w:val="0"/>
        <w:adjustRightInd w:val="0"/>
        <w:spacing w:before="0"/>
        <w:ind w:left="480" w:hanging="480"/>
        <w:jc w:val="both"/>
        <w:rPr>
          <w:noProof/>
        </w:rPr>
      </w:pPr>
      <w:r w:rsidRPr="0015167F">
        <w:rPr>
          <w:noProof/>
        </w:rPr>
        <w:t xml:space="preserve">Mccowan, Tristan, </w:t>
      </w:r>
      <w:r w:rsidRPr="0015167F">
        <w:rPr>
          <w:i/>
          <w:iCs/>
          <w:noProof/>
        </w:rPr>
        <w:t>Rethinking Citizenship Education: A Curriculum for Participatory Democracy</w:t>
      </w:r>
      <w:r w:rsidRPr="0015167F">
        <w:rPr>
          <w:noProof/>
        </w:rPr>
        <w:t xml:space="preserve"> (London dan New York: Continuum, 2010)</w:t>
      </w:r>
    </w:p>
    <w:p w14:paraId="4E579359" w14:textId="77777777" w:rsidR="00CD0B06" w:rsidRPr="0015167F" w:rsidRDefault="00CD0B06" w:rsidP="00CD0B06">
      <w:pPr>
        <w:widowControl w:val="0"/>
        <w:autoSpaceDE w:val="0"/>
        <w:autoSpaceDN w:val="0"/>
        <w:adjustRightInd w:val="0"/>
        <w:spacing w:before="0"/>
        <w:ind w:left="480" w:hanging="480"/>
        <w:jc w:val="both"/>
        <w:rPr>
          <w:noProof/>
        </w:rPr>
      </w:pPr>
      <w:r w:rsidRPr="0015167F">
        <w:rPr>
          <w:noProof/>
        </w:rPr>
        <w:t xml:space="preserve">Moleong, Lexy J, </w:t>
      </w:r>
      <w:r w:rsidRPr="0015167F">
        <w:rPr>
          <w:i/>
          <w:iCs/>
          <w:noProof/>
        </w:rPr>
        <w:t>Metodologi Penelitian Kualitatif</w:t>
      </w:r>
      <w:r w:rsidRPr="0015167F">
        <w:rPr>
          <w:noProof/>
        </w:rPr>
        <w:t xml:space="preserve"> (Bandung: P.T. Remaja Rosdakarya, 2002)</w:t>
      </w:r>
    </w:p>
    <w:p w14:paraId="10BCAACE" w14:textId="77777777" w:rsidR="00CD0B06" w:rsidRPr="0015167F" w:rsidRDefault="00CD0B06" w:rsidP="00CD0B06">
      <w:pPr>
        <w:widowControl w:val="0"/>
        <w:autoSpaceDE w:val="0"/>
        <w:autoSpaceDN w:val="0"/>
        <w:adjustRightInd w:val="0"/>
        <w:spacing w:before="0"/>
        <w:ind w:left="480" w:hanging="480"/>
        <w:jc w:val="both"/>
        <w:rPr>
          <w:noProof/>
        </w:rPr>
      </w:pPr>
      <w:r w:rsidRPr="0015167F">
        <w:rPr>
          <w:noProof/>
        </w:rPr>
        <w:t xml:space="preserve">Muhtaj, Majda El, </w:t>
      </w:r>
      <w:r w:rsidRPr="0015167F">
        <w:rPr>
          <w:i/>
          <w:iCs/>
          <w:noProof/>
        </w:rPr>
        <w:t>Dimensi-Dimensi HAM: Mengurai Hak Ekonomi, Sosial dan Budaya</w:t>
      </w:r>
      <w:r w:rsidRPr="0015167F">
        <w:rPr>
          <w:noProof/>
        </w:rPr>
        <w:t>, Kedua (Jakarta: P.T. RajaGrafindo Persada, 2013)</w:t>
      </w:r>
    </w:p>
    <w:p w14:paraId="30F162C6" w14:textId="77777777" w:rsidR="00CD0B06" w:rsidRPr="0015167F" w:rsidRDefault="00CD0B06" w:rsidP="00CD0B06">
      <w:pPr>
        <w:widowControl w:val="0"/>
        <w:autoSpaceDE w:val="0"/>
        <w:autoSpaceDN w:val="0"/>
        <w:adjustRightInd w:val="0"/>
        <w:spacing w:before="0"/>
        <w:ind w:left="480" w:hanging="480"/>
        <w:jc w:val="both"/>
        <w:rPr>
          <w:noProof/>
        </w:rPr>
      </w:pPr>
      <w:r w:rsidRPr="0015167F">
        <w:rPr>
          <w:noProof/>
        </w:rPr>
        <w:t xml:space="preserve">———, “Dua Dekade Ranham Indonesia; Implementasi Komitmen HAM Pemerintah di Era Reformasi,” in </w:t>
      </w:r>
      <w:r w:rsidRPr="0015167F">
        <w:rPr>
          <w:i/>
          <w:iCs/>
          <w:noProof/>
        </w:rPr>
        <w:t>Hak Asasi Manusia; Politik, Hukum dan Agama di Indonesia</w:t>
      </w:r>
      <w:r w:rsidRPr="0015167F">
        <w:rPr>
          <w:noProof/>
        </w:rPr>
        <w:t>, ed. oleh Al Khanif dan Manunggal K. Wardaya (Yogyakarta: LKiS, 2018), hal. 71–100</w:t>
      </w:r>
    </w:p>
    <w:p w14:paraId="376719C6" w14:textId="77777777" w:rsidR="00CD0B06" w:rsidRPr="0015167F" w:rsidRDefault="00CD0B06" w:rsidP="00CD0B06">
      <w:pPr>
        <w:widowControl w:val="0"/>
        <w:autoSpaceDE w:val="0"/>
        <w:autoSpaceDN w:val="0"/>
        <w:adjustRightInd w:val="0"/>
        <w:spacing w:before="0"/>
        <w:ind w:left="480" w:hanging="480"/>
        <w:jc w:val="both"/>
        <w:rPr>
          <w:noProof/>
        </w:rPr>
      </w:pPr>
      <w:r w:rsidRPr="0015167F">
        <w:rPr>
          <w:noProof/>
        </w:rPr>
        <w:t xml:space="preserve">Nesodden, Norway, Idaho Moscow, Anne K. Haugestad, dan J.D. Wulfhorst, “Introduction,” in </w:t>
      </w:r>
      <w:r w:rsidRPr="0015167F">
        <w:rPr>
          <w:i/>
          <w:iCs/>
          <w:noProof/>
        </w:rPr>
        <w:t>Future as Fairness: Ecological Justice and Global Citizenship</w:t>
      </w:r>
      <w:r w:rsidRPr="0015167F">
        <w:rPr>
          <w:noProof/>
        </w:rPr>
        <w:t>, ed. oleh Anne K. Haugestad dan J.D. Wulfhorst (Amsterdam: Rodopi, 2004)</w:t>
      </w:r>
    </w:p>
    <w:p w14:paraId="0954A497" w14:textId="77777777" w:rsidR="00CD0B06" w:rsidRPr="0015167F" w:rsidRDefault="00CD0B06" w:rsidP="00CD0B06">
      <w:pPr>
        <w:widowControl w:val="0"/>
        <w:autoSpaceDE w:val="0"/>
        <w:autoSpaceDN w:val="0"/>
        <w:adjustRightInd w:val="0"/>
        <w:spacing w:before="0"/>
        <w:ind w:left="480" w:hanging="480"/>
        <w:jc w:val="both"/>
        <w:rPr>
          <w:noProof/>
        </w:rPr>
      </w:pPr>
      <w:r w:rsidRPr="0015167F">
        <w:rPr>
          <w:noProof/>
        </w:rPr>
        <w:t xml:space="preserve">Nurwardani, Paristiyanti, Hestu Yoga Saksama, Udin S Winataputra, Dasim Budimansyah, Sapriya, Winarno, et al., </w:t>
      </w:r>
      <w:r w:rsidRPr="0015167F">
        <w:rPr>
          <w:i/>
          <w:iCs/>
          <w:noProof/>
        </w:rPr>
        <w:t>Pendidikan Kewarganegaraan untuk Perguruan Tinggi</w:t>
      </w:r>
      <w:r w:rsidRPr="0015167F">
        <w:rPr>
          <w:noProof/>
        </w:rPr>
        <w:t xml:space="preserve"> (Jakarta: Direktorat Jenderal Pembelajaran dan Kemahasiswaan Kementerian Riset, Teknologi, dan Pendidikan Tinggi Republik, 2016)</w:t>
      </w:r>
    </w:p>
    <w:p w14:paraId="0F3AD84D" w14:textId="77777777" w:rsidR="00CD0B06" w:rsidRPr="0015167F" w:rsidRDefault="00CD0B06" w:rsidP="00CD0B06">
      <w:pPr>
        <w:widowControl w:val="0"/>
        <w:autoSpaceDE w:val="0"/>
        <w:autoSpaceDN w:val="0"/>
        <w:adjustRightInd w:val="0"/>
        <w:spacing w:before="0"/>
        <w:ind w:left="480" w:hanging="480"/>
        <w:jc w:val="both"/>
        <w:rPr>
          <w:noProof/>
        </w:rPr>
      </w:pPr>
      <w:r w:rsidRPr="0015167F">
        <w:rPr>
          <w:noProof/>
        </w:rPr>
        <w:t xml:space="preserve">Office of High Commissioner for Human Rigths, “E/CN.4/2003/105: Human Rights and Human Responsibilities Final Report of the Special Rapporteur,” </w:t>
      </w:r>
      <w:r w:rsidRPr="0015167F">
        <w:rPr>
          <w:i/>
          <w:iCs/>
          <w:noProof/>
        </w:rPr>
        <w:t>United Nation Human Rigths</w:t>
      </w:r>
      <w:r w:rsidRPr="0015167F">
        <w:rPr>
          <w:noProof/>
        </w:rPr>
        <w:t xml:space="preserve"> &lt;https://ap.ohchr.org/documents/alldocs.aspx?doc_id=3240&gt; [diakses 29 Juli 2020]</w:t>
      </w:r>
    </w:p>
    <w:p w14:paraId="5F88B23A" w14:textId="77777777" w:rsidR="00CD0B06" w:rsidRPr="0015167F" w:rsidRDefault="00CD0B06" w:rsidP="00CD0B06">
      <w:pPr>
        <w:widowControl w:val="0"/>
        <w:autoSpaceDE w:val="0"/>
        <w:autoSpaceDN w:val="0"/>
        <w:adjustRightInd w:val="0"/>
        <w:spacing w:before="0"/>
        <w:ind w:left="480" w:hanging="480"/>
        <w:jc w:val="both"/>
        <w:rPr>
          <w:noProof/>
        </w:rPr>
      </w:pPr>
      <w:r w:rsidRPr="0015167F">
        <w:rPr>
          <w:noProof/>
        </w:rPr>
        <w:t xml:space="preserve">———, “Res 2004/117: Human Rights and Human Responsibilities,” </w:t>
      </w:r>
      <w:r w:rsidRPr="0015167F">
        <w:rPr>
          <w:i/>
          <w:iCs/>
          <w:noProof/>
        </w:rPr>
        <w:t>United Nation Human Rigths</w:t>
      </w:r>
      <w:r w:rsidRPr="0015167F">
        <w:rPr>
          <w:noProof/>
        </w:rPr>
        <w:t>, 2014 &lt;https://ap.ohchr.org/documents/alldocs.aspx?doc_id=9780&gt; [diakses 29 Juli 2020]</w:t>
      </w:r>
    </w:p>
    <w:p w14:paraId="1A2A3403" w14:textId="77777777" w:rsidR="00CD0B06" w:rsidRPr="0015167F" w:rsidRDefault="00CD0B06" w:rsidP="00CD0B06">
      <w:pPr>
        <w:widowControl w:val="0"/>
        <w:autoSpaceDE w:val="0"/>
        <w:autoSpaceDN w:val="0"/>
        <w:adjustRightInd w:val="0"/>
        <w:spacing w:before="0"/>
        <w:ind w:left="480" w:hanging="480"/>
        <w:jc w:val="both"/>
        <w:rPr>
          <w:noProof/>
        </w:rPr>
      </w:pPr>
      <w:r w:rsidRPr="0015167F">
        <w:rPr>
          <w:noProof/>
        </w:rPr>
        <w:t xml:space="preserve">———, “Vienna Declaration and Programme of Action,” </w:t>
      </w:r>
      <w:r w:rsidRPr="0015167F">
        <w:rPr>
          <w:i/>
          <w:iCs/>
          <w:noProof/>
        </w:rPr>
        <w:t>United Nation Human Rigths</w:t>
      </w:r>
      <w:r w:rsidRPr="0015167F">
        <w:rPr>
          <w:noProof/>
        </w:rPr>
        <w:t>, 1993 &lt;https://ap.ohchr.org/documents/dpage_e.aspx?si=A/CONF.157/23&gt; [diakses 29 Juli 2020]</w:t>
      </w:r>
    </w:p>
    <w:p w14:paraId="601A21DE" w14:textId="77777777" w:rsidR="00CD0B06" w:rsidRPr="0015167F" w:rsidRDefault="00CD0B06" w:rsidP="00CD0B06">
      <w:pPr>
        <w:widowControl w:val="0"/>
        <w:autoSpaceDE w:val="0"/>
        <w:autoSpaceDN w:val="0"/>
        <w:adjustRightInd w:val="0"/>
        <w:spacing w:before="0"/>
        <w:ind w:left="480" w:hanging="480"/>
        <w:jc w:val="both"/>
        <w:rPr>
          <w:noProof/>
        </w:rPr>
      </w:pPr>
      <w:r w:rsidRPr="0015167F">
        <w:rPr>
          <w:noProof/>
        </w:rPr>
        <w:t xml:space="preserve">Okuma-Nyström, Michiyo Kiwako, “Globalization, Identities, and Diversified School Education,” in </w:t>
      </w:r>
      <w:r w:rsidRPr="0015167F">
        <w:rPr>
          <w:i/>
          <w:iCs/>
          <w:noProof/>
        </w:rPr>
        <w:t>Globalization, Identities, and Diversified School Education; Cross-cultural Perspectives</w:t>
      </w:r>
      <w:r w:rsidRPr="0015167F">
        <w:rPr>
          <w:noProof/>
        </w:rPr>
        <w:t>, ed. oleh Joseph Zajda, Holger Daun, dan Lawrence J. Saha (Netherlands: Springer, 2009), hal. 25–42</w:t>
      </w:r>
    </w:p>
    <w:p w14:paraId="65922620" w14:textId="77777777" w:rsidR="00CD0B06" w:rsidRPr="0015167F" w:rsidRDefault="00CD0B06" w:rsidP="00CD0B06">
      <w:pPr>
        <w:widowControl w:val="0"/>
        <w:autoSpaceDE w:val="0"/>
        <w:autoSpaceDN w:val="0"/>
        <w:adjustRightInd w:val="0"/>
        <w:spacing w:before="0"/>
        <w:ind w:left="480" w:hanging="480"/>
        <w:jc w:val="both"/>
        <w:rPr>
          <w:noProof/>
        </w:rPr>
      </w:pPr>
      <w:r w:rsidRPr="0015167F">
        <w:rPr>
          <w:i/>
          <w:iCs/>
          <w:noProof/>
        </w:rPr>
        <w:t>Peraturan Menteri Pendidikan dan Kebudayaan Republik Indonesia Nomor 3 Tahun 2020 Tentang Standar Nasional Pendidikan Tinggi</w:t>
      </w:r>
      <w:r w:rsidRPr="0015167F">
        <w:rPr>
          <w:noProof/>
        </w:rPr>
        <w:t xml:space="preserve"> (Republik Indonesia, 2020)</w:t>
      </w:r>
    </w:p>
    <w:p w14:paraId="32CD89B8" w14:textId="77777777" w:rsidR="00CD0B06" w:rsidRPr="0015167F" w:rsidRDefault="00CD0B06" w:rsidP="00CD0B06">
      <w:pPr>
        <w:widowControl w:val="0"/>
        <w:autoSpaceDE w:val="0"/>
        <w:autoSpaceDN w:val="0"/>
        <w:adjustRightInd w:val="0"/>
        <w:spacing w:before="0"/>
        <w:ind w:left="480" w:hanging="480"/>
        <w:jc w:val="both"/>
        <w:rPr>
          <w:noProof/>
        </w:rPr>
      </w:pPr>
      <w:r w:rsidRPr="0015167F">
        <w:rPr>
          <w:i/>
          <w:iCs/>
          <w:noProof/>
        </w:rPr>
        <w:t>Peraturan Presiden Republik Indonesia Nomor 8 Tahun 2012 Tentang Kerangka Kualifikasi Nasional Indonesia</w:t>
      </w:r>
      <w:r w:rsidRPr="0015167F">
        <w:rPr>
          <w:noProof/>
        </w:rPr>
        <w:t xml:space="preserve"> (Republik Indonesia, 2012)</w:t>
      </w:r>
    </w:p>
    <w:p w14:paraId="1229277F" w14:textId="22C9F212" w:rsidR="00CD0B06" w:rsidRPr="0015167F" w:rsidRDefault="00CD0B06" w:rsidP="00CD0B06">
      <w:pPr>
        <w:widowControl w:val="0"/>
        <w:autoSpaceDE w:val="0"/>
        <w:autoSpaceDN w:val="0"/>
        <w:adjustRightInd w:val="0"/>
        <w:spacing w:before="0"/>
        <w:ind w:left="480" w:hanging="480"/>
        <w:jc w:val="both"/>
        <w:rPr>
          <w:noProof/>
        </w:rPr>
      </w:pPr>
      <w:r w:rsidRPr="0015167F">
        <w:rPr>
          <w:noProof/>
        </w:rPr>
        <w:t xml:space="preserve">Roux, C., dan A. Becker, “On Critique, Dissensus and Human Rights Literacies,” </w:t>
      </w:r>
      <w:r w:rsidRPr="0015167F">
        <w:rPr>
          <w:i/>
          <w:iCs/>
          <w:noProof/>
        </w:rPr>
        <w:t>South African Journal of Higher Education</w:t>
      </w:r>
      <w:r w:rsidRPr="0015167F">
        <w:rPr>
          <w:noProof/>
        </w:rPr>
        <w:t xml:space="preserve">, 31.6 (2017), 1–8 </w:t>
      </w:r>
    </w:p>
    <w:p w14:paraId="4FDCE9D5" w14:textId="77777777" w:rsidR="00CD0B06" w:rsidRPr="0015167F" w:rsidRDefault="00CD0B06" w:rsidP="00CD0B06">
      <w:pPr>
        <w:widowControl w:val="0"/>
        <w:autoSpaceDE w:val="0"/>
        <w:autoSpaceDN w:val="0"/>
        <w:adjustRightInd w:val="0"/>
        <w:spacing w:before="0"/>
        <w:ind w:left="480" w:hanging="480"/>
        <w:jc w:val="both"/>
        <w:rPr>
          <w:noProof/>
        </w:rPr>
      </w:pPr>
      <w:r w:rsidRPr="0015167F">
        <w:rPr>
          <w:noProof/>
        </w:rPr>
        <w:t xml:space="preserve">Roux, Cornelia, “The ‘Literacy Turn’ in Human Rights and Human Rights Education,” in </w:t>
      </w:r>
      <w:r w:rsidRPr="0015167F">
        <w:rPr>
          <w:i/>
          <w:iCs/>
          <w:noProof/>
        </w:rPr>
        <w:t>Human Rights Literacies: Future Directions</w:t>
      </w:r>
      <w:r w:rsidRPr="0015167F">
        <w:rPr>
          <w:noProof/>
        </w:rPr>
        <w:t>, ed. oleh Cornelia Roux dan Anne Becker (Switzerland: Springer, 2019), hal. 3–30</w:t>
      </w:r>
    </w:p>
    <w:p w14:paraId="69038125" w14:textId="385854E3" w:rsidR="00CD0B06" w:rsidRPr="0015167F" w:rsidRDefault="00CD0B06" w:rsidP="00CD0B06">
      <w:pPr>
        <w:widowControl w:val="0"/>
        <w:autoSpaceDE w:val="0"/>
        <w:autoSpaceDN w:val="0"/>
        <w:adjustRightInd w:val="0"/>
        <w:spacing w:before="0"/>
        <w:ind w:left="480" w:hanging="480"/>
        <w:jc w:val="both"/>
        <w:rPr>
          <w:noProof/>
        </w:rPr>
      </w:pPr>
      <w:r w:rsidRPr="0015167F">
        <w:rPr>
          <w:noProof/>
        </w:rPr>
        <w:t xml:space="preserve">Roux, Cornelia, dan Anne Becker, “Humanising higher education in South Africa through dialogue as praxis,” </w:t>
      </w:r>
      <w:r w:rsidRPr="0015167F">
        <w:rPr>
          <w:i/>
          <w:iCs/>
          <w:noProof/>
        </w:rPr>
        <w:t>Educational Research for Social Change</w:t>
      </w:r>
      <w:r w:rsidRPr="0015167F">
        <w:rPr>
          <w:noProof/>
        </w:rPr>
        <w:t xml:space="preserve">, 5.1 (2016), 131–43 </w:t>
      </w:r>
    </w:p>
    <w:p w14:paraId="467E5071" w14:textId="77777777" w:rsidR="00CD0B06" w:rsidRPr="0015167F" w:rsidRDefault="00CD0B06" w:rsidP="00CD0B06">
      <w:pPr>
        <w:widowControl w:val="0"/>
        <w:autoSpaceDE w:val="0"/>
        <w:autoSpaceDN w:val="0"/>
        <w:adjustRightInd w:val="0"/>
        <w:spacing w:before="0"/>
        <w:ind w:left="480" w:hanging="480"/>
        <w:jc w:val="both"/>
        <w:rPr>
          <w:noProof/>
        </w:rPr>
      </w:pPr>
      <w:r w:rsidRPr="0015167F">
        <w:rPr>
          <w:noProof/>
        </w:rPr>
        <w:t xml:space="preserve">Soepardo, M. Hoetaoeroek, Soeroyo Warsid, Soemardjo, Chalid Rasjidi, Soekarno, et al., </w:t>
      </w:r>
      <w:r w:rsidRPr="0015167F">
        <w:rPr>
          <w:i/>
          <w:iCs/>
          <w:noProof/>
        </w:rPr>
        <w:t>Manusia dan Masjarakat Baru Indonesia (Civics)</w:t>
      </w:r>
      <w:r w:rsidRPr="0015167F">
        <w:rPr>
          <w:noProof/>
        </w:rPr>
        <w:t xml:space="preserve"> (Djakarta: P.N. Balai Pustaka, 1963)</w:t>
      </w:r>
    </w:p>
    <w:p w14:paraId="76E0DD62" w14:textId="2FBD52B8" w:rsidR="00CD0B06" w:rsidRPr="0015167F" w:rsidRDefault="00CD0B06" w:rsidP="00CD0B06">
      <w:pPr>
        <w:widowControl w:val="0"/>
        <w:autoSpaceDE w:val="0"/>
        <w:autoSpaceDN w:val="0"/>
        <w:adjustRightInd w:val="0"/>
        <w:spacing w:before="0"/>
        <w:ind w:left="480" w:hanging="480"/>
        <w:jc w:val="both"/>
        <w:rPr>
          <w:noProof/>
        </w:rPr>
      </w:pPr>
      <w:r w:rsidRPr="0015167F">
        <w:rPr>
          <w:noProof/>
        </w:rPr>
        <w:t xml:space="preserve">Spiro, Peter J., </w:t>
      </w:r>
      <w:r w:rsidRPr="0015167F">
        <w:rPr>
          <w:i/>
          <w:iCs/>
          <w:noProof/>
        </w:rPr>
        <w:t>Beyond Citizenship: American Identity after Globalization</w:t>
      </w:r>
      <w:r w:rsidRPr="0015167F">
        <w:rPr>
          <w:noProof/>
        </w:rPr>
        <w:t xml:space="preserve"> (Oxford: Oxford University Press, Inc., 2008) </w:t>
      </w:r>
    </w:p>
    <w:p w14:paraId="2B99ECBE" w14:textId="0D1B36E9" w:rsidR="00CD0B06" w:rsidRPr="0015167F" w:rsidRDefault="00CD0B06" w:rsidP="00CD0B06">
      <w:pPr>
        <w:widowControl w:val="0"/>
        <w:autoSpaceDE w:val="0"/>
        <w:autoSpaceDN w:val="0"/>
        <w:adjustRightInd w:val="0"/>
        <w:spacing w:before="0"/>
        <w:ind w:left="480" w:hanging="480"/>
        <w:jc w:val="both"/>
        <w:rPr>
          <w:noProof/>
        </w:rPr>
      </w:pPr>
      <w:r w:rsidRPr="0015167F">
        <w:rPr>
          <w:noProof/>
        </w:rPr>
        <w:t xml:space="preserve">Stevenson, Nick, </w:t>
      </w:r>
      <w:r w:rsidRPr="0015167F">
        <w:rPr>
          <w:i/>
          <w:iCs/>
          <w:noProof/>
        </w:rPr>
        <w:t>Cultural Citizenship: Cosmopolitan Questions</w:t>
      </w:r>
      <w:r w:rsidRPr="0015167F">
        <w:rPr>
          <w:noProof/>
        </w:rPr>
        <w:t xml:space="preserve"> (Maidenhead: Open University Press, 2003) </w:t>
      </w:r>
    </w:p>
    <w:p w14:paraId="4B1BFD7B" w14:textId="77777777" w:rsidR="00CD0B06" w:rsidRPr="0015167F" w:rsidRDefault="00CD0B06" w:rsidP="00CD0B06">
      <w:pPr>
        <w:widowControl w:val="0"/>
        <w:autoSpaceDE w:val="0"/>
        <w:autoSpaceDN w:val="0"/>
        <w:adjustRightInd w:val="0"/>
        <w:spacing w:before="0"/>
        <w:ind w:left="480" w:hanging="480"/>
        <w:jc w:val="both"/>
        <w:rPr>
          <w:noProof/>
        </w:rPr>
      </w:pPr>
      <w:r w:rsidRPr="0015167F">
        <w:rPr>
          <w:noProof/>
        </w:rPr>
        <w:t xml:space="preserve">Ubaedillah, A., dan Abdul Rozak, </w:t>
      </w:r>
      <w:r w:rsidRPr="0015167F">
        <w:rPr>
          <w:i/>
          <w:iCs/>
          <w:noProof/>
        </w:rPr>
        <w:t>Pendidikan Kewargaan (Civic Education); Demokrasi, Hak Asasi Manusia dan Demokrasi</w:t>
      </w:r>
      <w:r w:rsidRPr="0015167F">
        <w:rPr>
          <w:noProof/>
        </w:rPr>
        <w:t xml:space="preserve"> (Jakarta: ICCE bekerjasama dengan Prenada Media Group, 2008)</w:t>
      </w:r>
    </w:p>
    <w:p w14:paraId="0BD823F7" w14:textId="77777777" w:rsidR="00CD0B06" w:rsidRPr="0015167F" w:rsidRDefault="00CD0B06" w:rsidP="00CD0B06">
      <w:pPr>
        <w:widowControl w:val="0"/>
        <w:autoSpaceDE w:val="0"/>
        <w:autoSpaceDN w:val="0"/>
        <w:adjustRightInd w:val="0"/>
        <w:spacing w:before="0"/>
        <w:ind w:left="480" w:hanging="480"/>
        <w:jc w:val="both"/>
        <w:rPr>
          <w:noProof/>
        </w:rPr>
      </w:pPr>
      <w:r w:rsidRPr="0015167F">
        <w:rPr>
          <w:i/>
          <w:iCs/>
          <w:noProof/>
        </w:rPr>
        <w:t>Undang-Undang Republik Indonesia Nomor 11 Tahun 2005 Tentang Pengesahan International Covenant on Economic, Social and Cultural Rigths (Kovenan Internasional Tentang Hak-Hak Ekonomi, Sosial dan Budaya)</w:t>
      </w:r>
      <w:r w:rsidRPr="0015167F">
        <w:rPr>
          <w:noProof/>
        </w:rPr>
        <w:t xml:space="preserve"> (Republik Indonesia, 2005)</w:t>
      </w:r>
    </w:p>
    <w:p w14:paraId="7DE86AC2" w14:textId="77777777" w:rsidR="00CD0B06" w:rsidRPr="0015167F" w:rsidRDefault="00CD0B06" w:rsidP="00CD0B06">
      <w:pPr>
        <w:widowControl w:val="0"/>
        <w:autoSpaceDE w:val="0"/>
        <w:autoSpaceDN w:val="0"/>
        <w:adjustRightInd w:val="0"/>
        <w:spacing w:before="0"/>
        <w:ind w:left="480" w:hanging="480"/>
        <w:jc w:val="both"/>
        <w:rPr>
          <w:noProof/>
        </w:rPr>
      </w:pPr>
      <w:r w:rsidRPr="0015167F">
        <w:rPr>
          <w:i/>
          <w:iCs/>
          <w:noProof/>
        </w:rPr>
        <w:t>Undang-Undang Republik Indonesia Nomor 20 Tahun 2003 tentang Sistem Pendidikan Nasional</w:t>
      </w:r>
      <w:r w:rsidRPr="0015167F">
        <w:rPr>
          <w:noProof/>
        </w:rPr>
        <w:t xml:space="preserve"> (Republik Indonesia, 2003)</w:t>
      </w:r>
    </w:p>
    <w:p w14:paraId="58547EE0" w14:textId="77777777" w:rsidR="00CD0B06" w:rsidRPr="0015167F" w:rsidRDefault="00CD0B06" w:rsidP="00CD0B06">
      <w:pPr>
        <w:widowControl w:val="0"/>
        <w:autoSpaceDE w:val="0"/>
        <w:autoSpaceDN w:val="0"/>
        <w:adjustRightInd w:val="0"/>
        <w:spacing w:before="0"/>
        <w:ind w:left="480" w:hanging="480"/>
        <w:jc w:val="both"/>
        <w:rPr>
          <w:noProof/>
        </w:rPr>
      </w:pPr>
      <w:r w:rsidRPr="0015167F">
        <w:rPr>
          <w:noProof/>
        </w:rPr>
        <w:t xml:space="preserve">United Nations, </w:t>
      </w:r>
      <w:r w:rsidRPr="0015167F">
        <w:rPr>
          <w:i/>
          <w:iCs/>
          <w:noProof/>
        </w:rPr>
        <w:t>International Covenant on Economic, Social and Cultural Rights</w:t>
      </w:r>
      <w:r w:rsidRPr="0015167F">
        <w:rPr>
          <w:noProof/>
        </w:rPr>
        <w:t xml:space="preserve"> (New York, 1966)</w:t>
      </w:r>
    </w:p>
    <w:p w14:paraId="3C942E84" w14:textId="77777777" w:rsidR="00CD0B06" w:rsidRPr="0015167F" w:rsidRDefault="00CD0B06" w:rsidP="00CD0B06">
      <w:pPr>
        <w:widowControl w:val="0"/>
        <w:autoSpaceDE w:val="0"/>
        <w:autoSpaceDN w:val="0"/>
        <w:adjustRightInd w:val="0"/>
        <w:spacing w:before="0"/>
        <w:ind w:left="480" w:hanging="480"/>
        <w:jc w:val="both"/>
        <w:rPr>
          <w:noProof/>
        </w:rPr>
      </w:pPr>
      <w:r w:rsidRPr="0015167F">
        <w:rPr>
          <w:noProof/>
        </w:rPr>
        <w:t xml:space="preserve">———, </w:t>
      </w:r>
      <w:r w:rsidRPr="0015167F">
        <w:rPr>
          <w:i/>
          <w:iCs/>
          <w:noProof/>
        </w:rPr>
        <w:t>World Programme for Human Rights Education: First Phase Plan of Action</w:t>
      </w:r>
      <w:r w:rsidRPr="0015167F">
        <w:rPr>
          <w:noProof/>
        </w:rPr>
        <w:t xml:space="preserve"> (New York dan Geneva: UNESCO dan UNHCR, 2006)</w:t>
      </w:r>
    </w:p>
    <w:p w14:paraId="1BC96150" w14:textId="77777777" w:rsidR="00CD0B06" w:rsidRPr="0015167F" w:rsidRDefault="00CD0B06" w:rsidP="00CD0B06">
      <w:pPr>
        <w:widowControl w:val="0"/>
        <w:autoSpaceDE w:val="0"/>
        <w:autoSpaceDN w:val="0"/>
        <w:adjustRightInd w:val="0"/>
        <w:spacing w:before="0"/>
        <w:ind w:left="480" w:hanging="480"/>
        <w:jc w:val="both"/>
        <w:rPr>
          <w:noProof/>
        </w:rPr>
      </w:pPr>
      <w:r w:rsidRPr="0015167F">
        <w:rPr>
          <w:noProof/>
        </w:rPr>
        <w:t xml:space="preserve">———, </w:t>
      </w:r>
      <w:r w:rsidRPr="0015167F">
        <w:rPr>
          <w:i/>
          <w:iCs/>
          <w:noProof/>
        </w:rPr>
        <w:t>World Programme for Human Rights Education: Second Phase Plan of Action</w:t>
      </w:r>
      <w:r w:rsidRPr="0015167F">
        <w:rPr>
          <w:noProof/>
        </w:rPr>
        <w:t xml:space="preserve"> (New York dan Geneva, 2012)</w:t>
      </w:r>
    </w:p>
    <w:p w14:paraId="4F6C94DC" w14:textId="094E99C3" w:rsidR="00736664" w:rsidRPr="00C7284E" w:rsidRDefault="00CD0B06" w:rsidP="0015167F">
      <w:pPr>
        <w:widowControl w:val="0"/>
        <w:autoSpaceDE w:val="0"/>
        <w:autoSpaceDN w:val="0"/>
        <w:adjustRightInd w:val="0"/>
        <w:spacing w:before="0"/>
        <w:ind w:left="480" w:hanging="480"/>
        <w:jc w:val="both"/>
        <w:rPr>
          <w:sz w:val="26"/>
          <w:szCs w:val="26"/>
        </w:rPr>
      </w:pPr>
      <w:r w:rsidRPr="0015167F">
        <w:rPr>
          <w:noProof/>
        </w:rPr>
        <w:t xml:space="preserve">———, </w:t>
      </w:r>
      <w:r w:rsidRPr="0015167F">
        <w:rPr>
          <w:i/>
          <w:iCs/>
          <w:noProof/>
        </w:rPr>
        <w:t>World Programme for Human Rights Education: Third Phase Plan of Action</w:t>
      </w:r>
      <w:r w:rsidRPr="0015167F">
        <w:rPr>
          <w:noProof/>
        </w:rPr>
        <w:t xml:space="preserve"> (New York dan Geneva: United Nations (OHCHR) dan UNESCO, 2017)</w:t>
      </w:r>
      <w:r w:rsidR="002B3BDE">
        <w:rPr>
          <w:sz w:val="26"/>
          <w:szCs w:val="26"/>
        </w:rPr>
        <w:fldChar w:fldCharType="end"/>
      </w:r>
    </w:p>
    <w:p w14:paraId="139788E0" w14:textId="77777777" w:rsidR="001A79B8" w:rsidRDefault="001A79B8">
      <w:pPr>
        <w:rPr>
          <w:sz w:val="26"/>
          <w:szCs w:val="26"/>
        </w:rPr>
      </w:pPr>
    </w:p>
    <w:p w14:paraId="52B7A361" w14:textId="77777777" w:rsidR="00842E2C" w:rsidRDefault="00842E2C">
      <w:pPr>
        <w:rPr>
          <w:sz w:val="26"/>
          <w:szCs w:val="26"/>
        </w:rPr>
        <w:sectPr w:rsidR="00842E2C" w:rsidSect="004F4708">
          <w:type w:val="continuous"/>
          <w:pgSz w:w="12240" w:h="15840"/>
          <w:pgMar w:top="1582" w:right="822" w:bottom="278" w:left="1038" w:header="720" w:footer="720" w:gutter="0"/>
          <w:cols w:num="2" w:space="720"/>
          <w:docGrid w:linePitch="360"/>
        </w:sectPr>
      </w:pPr>
    </w:p>
    <w:p w14:paraId="3E890E9D" w14:textId="2991B45B" w:rsidR="00842E2C" w:rsidRDefault="00842E2C">
      <w:pPr>
        <w:rPr>
          <w:sz w:val="26"/>
          <w:szCs w:val="26"/>
        </w:rPr>
      </w:pPr>
      <w:r>
        <w:rPr>
          <w:noProof/>
          <w:lang w:val="id-ID" w:eastAsia="id-ID"/>
        </w:rPr>
        <w:drawing>
          <wp:anchor distT="0" distB="0" distL="114300" distR="114300" simplePos="0" relativeHeight="251659264" behindDoc="1" locked="0" layoutInCell="1" allowOverlap="1" wp14:anchorId="55C0C6D2" wp14:editId="4AD66380">
            <wp:simplePos x="0" y="0"/>
            <wp:positionH relativeFrom="margin">
              <wp:align>right</wp:align>
            </wp:positionH>
            <wp:positionV relativeFrom="paragraph">
              <wp:posOffset>-978691</wp:posOffset>
            </wp:positionV>
            <wp:extent cx="6832121" cy="8876581"/>
            <wp:effectExtent l="0" t="0" r="6985" b="1270"/>
            <wp:wrapNone/>
            <wp:docPr id="24" name="Picture 24"/>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10">
                      <a:extLst>
                        <a:ext uri="{28A0092B-C50C-407E-A947-70E740481C1C}">
                          <a14:useLocalDpi xmlns:a14="http://schemas.microsoft.com/office/drawing/2010/main" val="0"/>
                        </a:ext>
                      </a:extLst>
                    </a:blip>
                    <a:stretch>
                      <a:fillRect/>
                    </a:stretch>
                  </pic:blipFill>
                  <pic:spPr>
                    <a:xfrm>
                      <a:off x="0" y="0"/>
                      <a:ext cx="6832121" cy="8876581"/>
                    </a:xfrm>
                    <a:prstGeom prst="rect">
                      <a:avLst/>
                    </a:prstGeom>
                  </pic:spPr>
                </pic:pic>
              </a:graphicData>
            </a:graphic>
            <wp14:sizeRelH relativeFrom="margin">
              <wp14:pctWidth>0</wp14:pctWidth>
            </wp14:sizeRelH>
            <wp14:sizeRelV relativeFrom="margin">
              <wp14:pctHeight>0</wp14:pctHeight>
            </wp14:sizeRelV>
          </wp:anchor>
        </w:drawing>
      </w:r>
      <w:r>
        <w:rPr>
          <w:sz w:val="26"/>
          <w:szCs w:val="26"/>
        </w:rPr>
        <w:br w:type="page"/>
      </w:r>
    </w:p>
    <w:p w14:paraId="0626C82B" w14:textId="26E135AD" w:rsidR="00842E2C" w:rsidRDefault="00842E2C">
      <w:pPr>
        <w:rPr>
          <w:sz w:val="26"/>
          <w:szCs w:val="26"/>
        </w:rPr>
      </w:pPr>
      <w:r>
        <w:rPr>
          <w:noProof/>
        </w:rPr>
        <w:drawing>
          <wp:anchor distT="0" distB="0" distL="114300" distR="114300" simplePos="0" relativeHeight="251661312" behindDoc="0" locked="0" layoutInCell="1" allowOverlap="0" wp14:anchorId="28D4EFF0" wp14:editId="43E64EAF">
            <wp:simplePos x="0" y="0"/>
            <wp:positionH relativeFrom="page">
              <wp:posOffset>148854</wp:posOffset>
            </wp:positionH>
            <wp:positionV relativeFrom="margin">
              <wp:posOffset>-620395</wp:posOffset>
            </wp:positionV>
            <wp:extent cx="7543800" cy="10664952"/>
            <wp:effectExtent l="0" t="0" r="0" b="3175"/>
            <wp:wrapTopAndBottom/>
            <wp:docPr id="1" name="Picture 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11"/>
                    <a:stretch>
                      <a:fillRect/>
                    </a:stretch>
                  </pic:blipFill>
                  <pic:spPr>
                    <a:xfrm>
                      <a:off x="0" y="0"/>
                      <a:ext cx="7543800" cy="10664952"/>
                    </a:xfrm>
                    <a:prstGeom prst="rect">
                      <a:avLst/>
                    </a:prstGeom>
                  </pic:spPr>
                </pic:pic>
              </a:graphicData>
            </a:graphic>
          </wp:anchor>
        </w:drawing>
      </w:r>
      <w:r>
        <w:rPr>
          <w:sz w:val="26"/>
          <w:szCs w:val="26"/>
        </w:rPr>
        <w:br w:type="page"/>
      </w:r>
    </w:p>
    <w:p w14:paraId="496A3B21" w14:textId="2B06C316" w:rsidR="00842E2C" w:rsidRDefault="00842E2C">
      <w:pPr>
        <w:rPr>
          <w:sz w:val="26"/>
          <w:szCs w:val="26"/>
        </w:rPr>
      </w:pPr>
      <w:r>
        <w:rPr>
          <w:noProof/>
        </w:rPr>
        <w:drawing>
          <wp:anchor distT="0" distB="0" distL="114300" distR="114300" simplePos="0" relativeHeight="251663360" behindDoc="0" locked="0" layoutInCell="1" allowOverlap="0" wp14:anchorId="3D76F02B" wp14:editId="7BAF7772">
            <wp:simplePos x="0" y="0"/>
            <wp:positionH relativeFrom="page">
              <wp:posOffset>145786</wp:posOffset>
            </wp:positionH>
            <wp:positionV relativeFrom="margin">
              <wp:posOffset>-1205865</wp:posOffset>
            </wp:positionV>
            <wp:extent cx="7543800" cy="10664952"/>
            <wp:effectExtent l="0" t="0" r="0" b="3175"/>
            <wp:wrapTopAndBottom/>
            <wp:docPr id="2" name="Picture 2"/>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12"/>
                    <a:stretch>
                      <a:fillRect/>
                    </a:stretch>
                  </pic:blipFill>
                  <pic:spPr>
                    <a:xfrm>
                      <a:off x="0" y="0"/>
                      <a:ext cx="7543800" cy="10664952"/>
                    </a:xfrm>
                    <a:prstGeom prst="rect">
                      <a:avLst/>
                    </a:prstGeom>
                  </pic:spPr>
                </pic:pic>
              </a:graphicData>
            </a:graphic>
          </wp:anchor>
        </w:drawing>
      </w:r>
      <w:r>
        <w:rPr>
          <w:sz w:val="26"/>
          <w:szCs w:val="26"/>
        </w:rPr>
        <w:br w:type="page"/>
      </w:r>
    </w:p>
    <w:p w14:paraId="1C4DC42E" w14:textId="3CAC948F" w:rsidR="00842E2C" w:rsidRPr="00C7284E" w:rsidRDefault="00842E2C">
      <w:pPr>
        <w:rPr>
          <w:sz w:val="26"/>
          <w:szCs w:val="26"/>
        </w:rPr>
      </w:pPr>
      <w:bookmarkStart w:id="1" w:name="_GoBack"/>
      <w:r>
        <w:rPr>
          <w:noProof/>
        </w:rPr>
        <w:drawing>
          <wp:anchor distT="0" distB="0" distL="114300" distR="114300" simplePos="0" relativeHeight="251665408" behindDoc="0" locked="0" layoutInCell="1" allowOverlap="0" wp14:anchorId="43CC153B" wp14:editId="0CE5A9DF">
            <wp:simplePos x="0" y="0"/>
            <wp:positionH relativeFrom="page">
              <wp:posOffset>107686</wp:posOffset>
            </wp:positionH>
            <wp:positionV relativeFrom="page">
              <wp:posOffset>175260</wp:posOffset>
            </wp:positionV>
            <wp:extent cx="7543800" cy="10664952"/>
            <wp:effectExtent l="0" t="0" r="0" b="3175"/>
            <wp:wrapTopAndBottom/>
            <wp:docPr id="53" name="Picture 53"/>
            <wp:cNvGraphicFramePr/>
            <a:graphic xmlns:a="http://schemas.openxmlformats.org/drawingml/2006/main">
              <a:graphicData uri="http://schemas.openxmlformats.org/drawingml/2006/picture">
                <pic:pic xmlns:pic="http://schemas.openxmlformats.org/drawingml/2006/picture">
                  <pic:nvPicPr>
                    <pic:cNvPr id="53" name="Picture 53"/>
                    <pic:cNvPicPr/>
                  </pic:nvPicPr>
                  <pic:blipFill>
                    <a:blip r:embed="rId13"/>
                    <a:stretch>
                      <a:fillRect/>
                    </a:stretch>
                  </pic:blipFill>
                  <pic:spPr>
                    <a:xfrm>
                      <a:off x="0" y="0"/>
                      <a:ext cx="7543800" cy="10664952"/>
                    </a:xfrm>
                    <a:prstGeom prst="rect">
                      <a:avLst/>
                    </a:prstGeom>
                  </pic:spPr>
                </pic:pic>
              </a:graphicData>
            </a:graphic>
          </wp:anchor>
        </w:drawing>
      </w:r>
      <w:bookmarkEnd w:id="1"/>
    </w:p>
    <w:sectPr w:rsidR="00842E2C" w:rsidRPr="00C7284E" w:rsidSect="00842E2C">
      <w:pgSz w:w="12240" w:h="15840"/>
      <w:pgMar w:top="1582" w:right="822" w:bottom="278" w:left="103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48180F" w14:textId="77777777" w:rsidR="001140F2" w:rsidRDefault="001140F2" w:rsidP="00D300BA">
      <w:r>
        <w:separator/>
      </w:r>
    </w:p>
  </w:endnote>
  <w:endnote w:type="continuationSeparator" w:id="0">
    <w:p w14:paraId="022751E2" w14:textId="77777777" w:rsidR="001140F2" w:rsidRDefault="001140F2" w:rsidP="00D300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FB9EDB" w14:textId="77777777" w:rsidR="00CE07B2" w:rsidRPr="00CE07B2" w:rsidRDefault="00CE07B2">
    <w:pPr>
      <w:pStyle w:val="Footer"/>
      <w:jc w:val="right"/>
      <w:rPr>
        <w:rFonts w:ascii="Arial Narrow" w:hAnsi="Arial Narrow"/>
        <w:b/>
        <w:sz w:val="16"/>
        <w:szCs w:val="16"/>
      </w:rPr>
    </w:pPr>
    <w:r w:rsidRPr="00CE07B2">
      <w:rPr>
        <w:rFonts w:ascii="Arial Narrow" w:hAnsi="Arial Narrow"/>
        <w:b/>
        <w:sz w:val="16"/>
        <w:szCs w:val="16"/>
      </w:rPr>
      <w:fldChar w:fldCharType="begin"/>
    </w:r>
    <w:r w:rsidRPr="00CE07B2">
      <w:rPr>
        <w:rFonts w:ascii="Arial Narrow" w:hAnsi="Arial Narrow"/>
        <w:b/>
        <w:sz w:val="16"/>
        <w:szCs w:val="16"/>
      </w:rPr>
      <w:instrText xml:space="preserve"> PAGE   \* MERGEFORMAT </w:instrText>
    </w:r>
    <w:r w:rsidRPr="00CE07B2">
      <w:rPr>
        <w:rFonts w:ascii="Arial Narrow" w:hAnsi="Arial Narrow"/>
        <w:b/>
        <w:sz w:val="16"/>
        <w:szCs w:val="16"/>
      </w:rPr>
      <w:fldChar w:fldCharType="separate"/>
    </w:r>
    <w:r w:rsidR="001140F2">
      <w:rPr>
        <w:rFonts w:ascii="Arial Narrow" w:hAnsi="Arial Narrow"/>
        <w:b/>
        <w:noProof/>
        <w:sz w:val="16"/>
        <w:szCs w:val="16"/>
      </w:rPr>
      <w:t>1</w:t>
    </w:r>
    <w:r w:rsidRPr="00CE07B2">
      <w:rPr>
        <w:rFonts w:ascii="Arial Narrow" w:hAnsi="Arial Narrow"/>
        <w:b/>
        <w:sz w:val="16"/>
        <w:szCs w:val="16"/>
      </w:rPr>
      <w:fldChar w:fldCharType="end"/>
    </w:r>
  </w:p>
  <w:p w14:paraId="680A2F84" w14:textId="77777777" w:rsidR="00CE07B2" w:rsidRDefault="00CE07B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626E37" w14:textId="77777777" w:rsidR="001140F2" w:rsidRDefault="001140F2" w:rsidP="00D300BA">
      <w:r>
        <w:separator/>
      </w:r>
    </w:p>
  </w:footnote>
  <w:footnote w:type="continuationSeparator" w:id="0">
    <w:p w14:paraId="14CEBFA8" w14:textId="77777777" w:rsidR="001140F2" w:rsidRDefault="001140F2" w:rsidP="00D300BA">
      <w:r>
        <w:continuationSeparator/>
      </w:r>
    </w:p>
  </w:footnote>
  <w:footnote w:id="1">
    <w:p w14:paraId="77259DFE" w14:textId="77777777" w:rsidR="00052AEA" w:rsidRPr="00A85A4F" w:rsidRDefault="00052AEA" w:rsidP="004F4708">
      <w:pPr>
        <w:pStyle w:val="FootnoteText"/>
        <w:spacing w:before="0"/>
        <w:jc w:val="both"/>
      </w:pPr>
      <w:r w:rsidRPr="00A85A4F">
        <w:rPr>
          <w:rStyle w:val="FootnoteReference"/>
        </w:rPr>
        <w:footnoteRef/>
      </w:r>
      <w:r w:rsidRPr="00A85A4F">
        <w:t xml:space="preserve"> </w:t>
      </w:r>
      <w:r w:rsidRPr="00A85A4F">
        <w:fldChar w:fldCharType="begin" w:fldLock="1"/>
      </w:r>
      <w:r w:rsidRPr="00A85A4F">
        <w:instrText>ADDIN CSL_CITATION {"citationItems":[{"id":"ITEM-1","itemData":{"author":[{"dropping-particle":"El","family":"Muhtaj","given":"Majda","non-dropping-particle":"","parse-names":false,"suffix":""}],"edition":"Kedua","id":"ITEM-1","issued":{"date-parts":[["2013"]]},"publisher":"P.T. RajaGrafindo Persada","publisher-place":"Jakarta","title":"Dimensi-Dimensi HAM: Mengurai Hak Ekonomi, Sosial dan Budaya","type":"book"},"locator":"162","uris":["http://www.mendeley.com/documents/?uuid=edb1a773-6f1e-4428-94cc-20e8e12c6482"]}],"mendeley":{"formattedCitation":"Majda El Muhtaj, &lt;i&gt;Dimensi-Dimensi HAM: Mengurai Hak Ekonomi, Sosial dan Budaya&lt;/i&gt;, Kedua (Jakarta: P.T. RajaGrafindo Persada, 2013), hal. 162.","plainTextFormattedCitation":"Majda El Muhtaj, Dimensi-Dimensi HAM: Mengurai Hak Ekonomi, Sosial dan Budaya, Kedua (Jakarta: P.T. RajaGrafindo Persada, 2013), hal. 162.","previouslyFormattedCitation":"Majda El Muhtaj, &lt;i&gt;Dimensi-Dimensi HAM: Mengurai Hak Ekonomi, Sosial dan Budaya&lt;/i&gt;, Kedua (Jakarta: P.T. RajaGrafindo Persada, 2013), hal. 162."},"properties":{"noteIndex":1},"schema":"https://github.com/citation-style-language/schema/raw/master/csl-citation.json"}</w:instrText>
      </w:r>
      <w:r w:rsidRPr="00A85A4F">
        <w:fldChar w:fldCharType="separate"/>
      </w:r>
      <w:r w:rsidRPr="00A85A4F">
        <w:rPr>
          <w:noProof/>
        </w:rPr>
        <w:t xml:space="preserve">Majda El Muhtaj, </w:t>
      </w:r>
      <w:r w:rsidRPr="00A85A4F">
        <w:rPr>
          <w:i/>
          <w:noProof/>
        </w:rPr>
        <w:t>Dimensi-Dimensi HAM: Mengurai Hak Ekonomi, Sosial dan Budaya</w:t>
      </w:r>
      <w:r w:rsidRPr="00A85A4F">
        <w:rPr>
          <w:noProof/>
        </w:rPr>
        <w:t>, Kedua (Jakarta: P.T. RajaGrafindo Persada, 2013), hal. 162.</w:t>
      </w:r>
      <w:r w:rsidRPr="00A85A4F">
        <w:fldChar w:fldCharType="end"/>
      </w:r>
    </w:p>
  </w:footnote>
  <w:footnote w:id="2">
    <w:p w14:paraId="792B0F82" w14:textId="6C1F367F" w:rsidR="00052AEA" w:rsidRPr="00A85A4F" w:rsidRDefault="00052AEA" w:rsidP="004F4708">
      <w:pPr>
        <w:pStyle w:val="FootnoteText"/>
        <w:spacing w:before="0"/>
        <w:jc w:val="both"/>
      </w:pPr>
      <w:r w:rsidRPr="00A85A4F">
        <w:rPr>
          <w:rStyle w:val="FootnoteReference"/>
        </w:rPr>
        <w:footnoteRef/>
      </w:r>
      <w:r w:rsidRPr="00A85A4F">
        <w:t xml:space="preserve"> </w:t>
      </w:r>
      <w:r w:rsidRPr="00A85A4F">
        <w:fldChar w:fldCharType="begin" w:fldLock="1"/>
      </w:r>
      <w:r w:rsidRPr="00A85A4F">
        <w:instrText>ADDIN CSL_CITATION {"citationItems":[{"id":"ITEM-1","itemData":{"ISBN":"UN doc. E/2000/22 pp 111-127","URL":"https://www.refworld.org/pdfid/4538838c22.pdf","accessed":{"date-parts":[["2020","7","20"]]},"author":[{"dropping-particle":"","family":"Committe on Economic","given":"Social and Cultural Rights","non-dropping-particle":"","parse-names":false,"suffix":""}],"container-title":"United Nation Human Rights Office of the High Commissioner","id":"ITEM-1","issued":{"date-parts":[["1999"]]},"title":"Implementation of the International Covenant on Economic, Social and Cultural Rights: General Comment No 13: The Right to Education (Art. 13 of the Covenant ), para. 1","type":"webpage"},"uris":["http://www.mendeley.com/documents/?uuid=f0508905-10f8-4e58-9dfc-93f4b6cf98fb"]}],"mendeley":{"formattedCitation":"Social and Cultural Rights Committe on Economic, “Implementation of the International Covenant on Economic, Social and Cultural Rights: General Comment No 13: The Right to Education (Art. 13 of the Covenant ), para. 1,” &lt;i&gt;United Nation Human Rights Office of the High Commissioner&lt;/i&gt;, 1999 &lt;https://www.refworld.org/pdfid/4538838c22.pdf&gt; [diakses 20 Juli 2020].","plainTextFormattedCitation":"Social and Cultural Rights Committe on Economic, “Implementation of the International Covenant on Economic, Social and Cultural Rights: General Comment No 13: The Right to Education (Art. 13 of the Covenant ), para. 1,” United Nation Human Rights Office of the High Commissioner, 1999  [diakses 20 Juli 2020].","previouslyFormattedCitation":"Social and Cultural Rights Committe on Economic, “Implementation of the International Covenant on Economic, Social and Cultural Rights: General Comment No 13: The Right to Education (Art. 13 of the Covenant ), para. 1,” &lt;i&gt;United Nation Human Rights Office of the High Commissioner&lt;/i&gt;, 1999 &lt;https://www.refworld.org/pdfid/4538838c22.pdf&gt; [diakses 20 Juli 2020]."},"properties":{"noteIndex":2},"schema":"https://github.com/citation-style-language/schema/raw/master/csl-citation.json"}</w:instrText>
      </w:r>
      <w:r w:rsidRPr="00A85A4F">
        <w:fldChar w:fldCharType="separate"/>
      </w:r>
      <w:r w:rsidR="00CD0B06" w:rsidRPr="00CD0B06">
        <w:rPr>
          <w:noProof/>
        </w:rPr>
        <w:t xml:space="preserve">Social and Cultural Rights Committe on Economic, “Implementation of the International Covenant on Economic, Social and Cultural Rights: General Comment No 13: The Right to Education (Art. 13 of the Covenant ), para. 1,” </w:t>
      </w:r>
      <w:r w:rsidR="00CD0B06" w:rsidRPr="00CD0B06">
        <w:rPr>
          <w:i/>
          <w:noProof/>
        </w:rPr>
        <w:t>United Nation Human Rights Office of the High Commissioner</w:t>
      </w:r>
      <w:r w:rsidR="00CD0B06" w:rsidRPr="00CD0B06">
        <w:rPr>
          <w:noProof/>
        </w:rPr>
        <w:t>, 1999 &lt;https://www.refworld.org/pdfid/4538838c22.pdf&gt; [diakses 20 Juli 2020].</w:t>
      </w:r>
      <w:r w:rsidRPr="00A85A4F">
        <w:fldChar w:fldCharType="end"/>
      </w:r>
    </w:p>
  </w:footnote>
  <w:footnote w:id="3">
    <w:p w14:paraId="03FEE059" w14:textId="77777777" w:rsidR="00052AEA" w:rsidRPr="00A85A4F" w:rsidRDefault="00052AEA" w:rsidP="004F4708">
      <w:pPr>
        <w:pStyle w:val="FootnoteText"/>
        <w:spacing w:before="0"/>
        <w:jc w:val="both"/>
      </w:pPr>
      <w:r w:rsidRPr="00A85A4F">
        <w:rPr>
          <w:rStyle w:val="FootnoteReference"/>
        </w:rPr>
        <w:footnoteRef/>
      </w:r>
      <w:r w:rsidRPr="00A85A4F">
        <w:t xml:space="preserve"> </w:t>
      </w:r>
      <w:r w:rsidRPr="00A85A4F">
        <w:fldChar w:fldCharType="begin" w:fldLock="1"/>
      </w:r>
      <w:r w:rsidRPr="00A85A4F">
        <w:instrText>ADDIN CSL_CITATION {"citationItems":[{"id":"ITEM-1","itemData":{"author":[{"dropping-particle":"","family":"United Nations","given":"","non-dropping-particle":"","parse-names":false,"suffix":""}],"id":"ITEM-1","issued":{"date-parts":[["1966"]]},"publisher-place":"New York","title":"International Covenant on Economic, Social and Cultural Rights","type":"report"},"uris":["http://www.mendeley.com/documents/?uuid=a73f0e56-b63b-41a3-ba2f-9093bafed211"]},{"id":"ITEM-2","itemData":{"id":"ITEM-2","issued":{"date-parts":[["2005"]]},"publisher":"Republik Indonesia","title":"Undang-Undang Republik Indonesia Nomor 11 Tahun 2005 Tentang Pengesahan International Covenant on Economic, Social and Cultural Rigths (Kovenan Internasional Tentang Hak-Hak Ekonomi, Sosial dan Budaya)","type":"book"},"prefix":"telah diratifikasi melalui ","uris":["http://www.mendeley.com/documents/?uuid=4aabd4bc-dd6c-4e4c-b7e8-c6fce0462269"]}],"mendeley":{"formattedCitation":"United Nations, &lt;i&gt;International Covenant on Economic, Social and Cultural Rights&lt;/i&gt; (New York, 1966); telah diratifikasi melalui &lt;i&gt;Undang-Undang Republik Indonesia Nomor 11 Tahun 2005 Tentang Pengesahan International Covenant on Economic, Social and Cultural Rigths (Kovenan Internasional Tentang Hak-Hak Ekonomi, Sosial dan Budaya)&lt;/i&gt; (Republik Indonesia, 2005).","plainTextFormattedCitation":"United Nations, International Covenant on Economic, Social and Cultural Rights (New York, 1966); telah diratifikasi melalui Undang-Undang Republik Indonesia Nomor 11 Tahun 2005 Tentang Pengesahan International Covenant on Economic, Social and Cultural Rigths (Kovenan Internasional Tentang Hak-Hak Ekonomi, Sosial dan Budaya) (Republik Indonesia, 2005).","previouslyFormattedCitation":"United Nations, &lt;i&gt;International Covenant on Economic, Social and Cultural Rights&lt;/i&gt; (New York, 1966); telah diratifikasi melalui &lt;i&gt;Undang-Undang Republik Indonesia Nomor 11 Tahun 2005 Tentang Pengesahan International Covenant on Economic, Social and Cultural Rigths (Kovenan Internasional Tentang Hak-Hak Ekonomi, Sosial dan Budaya)&lt;/i&gt; (Republik Indonesia, 2005)."},"properties":{"noteIndex":3},"schema":"https://github.com/citation-style-language/schema/raw/master/csl-citation.json"}</w:instrText>
      </w:r>
      <w:r w:rsidRPr="00A85A4F">
        <w:fldChar w:fldCharType="separate"/>
      </w:r>
      <w:r w:rsidRPr="00A85A4F">
        <w:rPr>
          <w:noProof/>
        </w:rPr>
        <w:t xml:space="preserve">United Nations, </w:t>
      </w:r>
      <w:r w:rsidRPr="00A85A4F">
        <w:rPr>
          <w:i/>
          <w:noProof/>
        </w:rPr>
        <w:t>International Covenant on Economic, Social and Cultural Rights</w:t>
      </w:r>
      <w:r w:rsidRPr="00A85A4F">
        <w:rPr>
          <w:noProof/>
        </w:rPr>
        <w:t xml:space="preserve"> (New York, 1966); telah diratifikasi melalui </w:t>
      </w:r>
      <w:r w:rsidRPr="00A85A4F">
        <w:rPr>
          <w:i/>
          <w:noProof/>
        </w:rPr>
        <w:t>Undang-Undang Republik Indonesia Nomor 11 Tahun 2005 Tentang Pengesahan International Covenant on Economic, Social and Cultural Rigths (Kovenan Internasional Tentang Hak-Hak Ekonomi, Sosial dan Budaya)</w:t>
      </w:r>
      <w:r w:rsidRPr="00A85A4F">
        <w:rPr>
          <w:noProof/>
        </w:rPr>
        <w:t xml:space="preserve"> (Republik Indonesia, 2005).</w:t>
      </w:r>
      <w:r w:rsidRPr="00A85A4F">
        <w:fldChar w:fldCharType="end"/>
      </w:r>
    </w:p>
  </w:footnote>
  <w:footnote w:id="4">
    <w:p w14:paraId="63F15C05" w14:textId="77777777" w:rsidR="00052AEA" w:rsidRPr="00A85A4F" w:rsidRDefault="00052AEA" w:rsidP="004F4708">
      <w:pPr>
        <w:pStyle w:val="FootnoteText"/>
        <w:spacing w:before="0"/>
        <w:jc w:val="both"/>
      </w:pPr>
      <w:r w:rsidRPr="00A85A4F">
        <w:rPr>
          <w:rStyle w:val="FootnoteReference"/>
        </w:rPr>
        <w:footnoteRef/>
      </w:r>
      <w:r w:rsidRPr="00A85A4F">
        <w:t xml:space="preserve"> </w:t>
      </w:r>
      <w:r w:rsidRPr="00A85A4F">
        <w:fldChar w:fldCharType="begin" w:fldLock="1"/>
      </w:r>
      <w:r w:rsidR="00271725" w:rsidRPr="00A85A4F">
        <w:instrText>ADDIN CSL_CITATION {"citationItems":[{"id":"ITEM-1","itemData":{"PMID":"15003161","id":"ITEM-1","issued":{"date-parts":[["2003"]]},"publisher":"Republik Indonesia","title":"Undang-Undang Republik Indonesia Nomor 20 Tahun 2003 tentang Sistem Pendidikan Nasional","type":"book"},"prefix":"Satuan pendidikan adalah kelompok layanan pendidikan yang menyelenggarakan pendidikan pada jalur formal, nonformal, dan informal pada setiap jenjang dan jenis pendidikan, dalam Pasal 1 ","uris":["http://www.mendeley.com/documents/?uuid=b96a7ec6-8f57-4b6d-bc6c-9614755e12ca"]}],"mendeley":{"formattedCitation":"Satuan pendidikan adalah kelompok layanan pendidikan yang menyelenggarakan pendidikan pada jalur formal, nonformal, dan informal pada setiap jenjang dan jenis pendidikan, dalam Pasal 1 &lt;i&gt;Undang-Undang Republik Indonesia Nomor 20 Tahun 2003 tentang Sistem Pendidikan Nasional&lt;/i&gt; (Republik Indonesia, 2003).","plainTextFormattedCitation":"Satuan pendidikan adalah kelompok layanan pendidikan yang menyelenggarakan pendidikan pada jalur formal, nonformal, dan informal pada setiap jenjang dan jenis pendidikan, dalam Pasal 1 Undang-Undang Republik Indonesia Nomor 20 Tahun 2003 tentang Sistem Pendidikan Nasional (Republik Indonesia, 2003).","previouslyFormattedCitation":"Satuan pendidikan adalah kelompok layanan pendidikan yang menyelenggarakan pendidikan pada jalur formal, nonformal, dan informal pada setiap jenjang dan jenis pendidikan, dalam Pasal 1 &lt;i&gt;Undang-Undang Republik Indonesia Nomor 20 Tahun 2003 tentang Sistem Pendidikan Nasional&lt;/i&gt; (Republik Indonesia, 2003)."},"properties":{"noteIndex":4},"schema":"https://github.com/citation-style-language/schema/raw/master/csl-citation.json"}</w:instrText>
      </w:r>
      <w:r w:rsidRPr="00A85A4F">
        <w:fldChar w:fldCharType="separate"/>
      </w:r>
      <w:r w:rsidRPr="00A85A4F">
        <w:rPr>
          <w:noProof/>
        </w:rPr>
        <w:t xml:space="preserve">Satuan pendidikan adalah kelompok layanan pendidikan yang menyelenggarakan pendidikan pada jalur formal, nonformal, dan informal pada setiap jenjang dan jenis pendidikan, dalam Pasal 1 </w:t>
      </w:r>
      <w:r w:rsidRPr="00A85A4F">
        <w:rPr>
          <w:i/>
          <w:noProof/>
        </w:rPr>
        <w:t>Undang-Undang Republik Indonesia Nomor 20 Tahun 2003 tentang Sistem Pendidikan Nasional</w:t>
      </w:r>
      <w:r w:rsidRPr="00A85A4F">
        <w:rPr>
          <w:noProof/>
        </w:rPr>
        <w:t xml:space="preserve"> (Republik Indonesia, 2003).</w:t>
      </w:r>
      <w:r w:rsidRPr="00A85A4F">
        <w:fldChar w:fldCharType="end"/>
      </w:r>
    </w:p>
  </w:footnote>
  <w:footnote w:id="5">
    <w:p w14:paraId="3D6413AB" w14:textId="77777777" w:rsidR="00271725" w:rsidRPr="00A85A4F" w:rsidRDefault="00271725" w:rsidP="004F4708">
      <w:pPr>
        <w:pStyle w:val="FootnoteText"/>
        <w:spacing w:before="0"/>
        <w:jc w:val="both"/>
      </w:pPr>
      <w:r w:rsidRPr="00A85A4F">
        <w:rPr>
          <w:rStyle w:val="FootnoteReference"/>
        </w:rPr>
        <w:footnoteRef/>
      </w:r>
      <w:r w:rsidRPr="00A85A4F">
        <w:t xml:space="preserve"> </w:t>
      </w:r>
      <w:r w:rsidRPr="00A85A4F">
        <w:fldChar w:fldCharType="begin" w:fldLock="1"/>
      </w:r>
      <w:r w:rsidRPr="00A85A4F">
        <w:instrText>ADDIN CSL_CITATION {"citationItems":[{"id":"ITEM-1","itemData":{"author":[{"dropping-particle":"El","family":"Muhtaj","given":"Majda","non-dropping-particle":"","parse-names":false,"suffix":""}],"chapter-number":"4","container-title":"Hak Asasi Manusia; Politik, Hukum dan Agama di Indonesia","editor":[{"dropping-particle":"","family":"Khanif","given":"","non-dropping-particle":"Al","parse-names":false,"suffix":""},{"dropping-particle":"","family":"Wardaya","given":"Manunggal K.","non-dropping-particle":"","parse-names":false,"suffix":""}],"id":"ITEM-1","issued":{"date-parts":[["2018"]]},"page":"71-100","publisher":"LKiS","publisher-place":"Yogyakarta","title":"Dua Dekade Ranham Indonesia; Implementasi Komitmen HAM Pemerintah di Era Reformasi","type":"chapter"},"locator":"72","uris":["http://www.mendeley.com/documents/?uuid=d30cca73-3b24-4ac1-b4ab-33af86970a9d"]}],"mendeley":{"formattedCitation":"Majda El Muhtaj, “Dua Dekade Ranham Indonesia; Implementasi Komitmen HAM Pemerintah di Era Reformasi,” in &lt;i&gt;Hak Asasi Manusia; Politik, Hukum dan Agama di Indonesia&lt;/i&gt;, ed. oleh Al Khanif dan Manunggal K. Wardaya (Yogyakarta: LKiS, 2018), hal. 71–100 (hal. 72).","plainTextFormattedCitation":"Majda El Muhtaj, “Dua Dekade Ranham Indonesia; Implementasi Komitmen HAM Pemerintah di Era Reformasi,” in Hak Asasi Manusia; Politik, Hukum dan Agama di Indonesia, ed. oleh Al Khanif dan Manunggal K. Wardaya (Yogyakarta: LKiS, 2018), hal. 71–100 (hal. 72).","previouslyFormattedCitation":"Majda El Muhtaj, “Dua Dekade Ranham Indonesia; Implementasi Komitmen HAM Pemerintah di Era Reformasi,” in &lt;i&gt;Hak Asasi Manusia; Politik, Hukum dan Agama di Indonesia&lt;/i&gt;, ed. oleh Al Khanif dan Manunggal K. Wardaya (Yogyakarta: LKiS, 2018), hal. 71–100 (hal. 72)."},"properties":{"noteIndex":5},"schema":"https://github.com/citation-style-language/schema/raw/master/csl-citation.json"}</w:instrText>
      </w:r>
      <w:r w:rsidRPr="00A85A4F">
        <w:fldChar w:fldCharType="separate"/>
      </w:r>
      <w:r w:rsidRPr="00A85A4F">
        <w:rPr>
          <w:noProof/>
        </w:rPr>
        <w:t xml:space="preserve">Majda El Muhtaj, “Dua Dekade Ranham Indonesia; Implementasi Komitmen HAM Pemerintah di Era Reformasi,” in </w:t>
      </w:r>
      <w:r w:rsidRPr="00A85A4F">
        <w:rPr>
          <w:i/>
          <w:noProof/>
        </w:rPr>
        <w:t>Hak Asasi Manusia; Politik, Hukum dan Agama di Indonesia</w:t>
      </w:r>
      <w:r w:rsidRPr="00A85A4F">
        <w:rPr>
          <w:noProof/>
        </w:rPr>
        <w:t>, ed. oleh Al Khanif dan Manunggal K. Wardaya (Yogyakarta: LKiS, 2018), hal. 71–100 (hal. 72).</w:t>
      </w:r>
      <w:r w:rsidRPr="00A85A4F">
        <w:fldChar w:fldCharType="end"/>
      </w:r>
    </w:p>
  </w:footnote>
  <w:footnote w:id="6">
    <w:p w14:paraId="0D401EE5" w14:textId="1EE9470B" w:rsidR="00FB153A" w:rsidRPr="00A85A4F" w:rsidRDefault="00FB153A" w:rsidP="004F4708">
      <w:pPr>
        <w:pStyle w:val="FootnoteText"/>
        <w:spacing w:before="0"/>
        <w:jc w:val="both"/>
      </w:pPr>
      <w:r w:rsidRPr="00A85A4F">
        <w:rPr>
          <w:rStyle w:val="FootnoteReference"/>
        </w:rPr>
        <w:footnoteRef/>
      </w:r>
      <w:r w:rsidRPr="00A85A4F">
        <w:t xml:space="preserve"> </w:t>
      </w:r>
      <w:r w:rsidRPr="00A85A4F">
        <w:fldChar w:fldCharType="begin" w:fldLock="1"/>
      </w:r>
      <w:r w:rsidR="008B6873" w:rsidRPr="00A85A4F">
        <w:instrText>ADDIN CSL_CITATION {"citationItems":[{"id":"ITEM-1","itemData":{"ISBN":"964-7445-88-1","URL":"https://ap.ohchr.org/documents/dpage_e.aspx?si=A/CONF.157/23","accessed":{"date-parts":[["2020","7","29"]]},"author":[{"dropping-particle":"","family":"Office of High Commissioner for Human Rigths","given":"","non-dropping-particle":"","parse-names":false,"suffix":""}],"container-title":"United Nation Human Rigths","id":"ITEM-1","issued":{"date-parts":[["1993"]]},"title":"Vienna Declaration and Programme of Action","type":"webpage"},"prefix":"Lihat Bagian II, huruf D, para. 79 dalam ","uris":["http://www.mendeley.com/documents/?uuid=680fb8b3-dfdf-4af5-af2c-2dbe4662f817"]}],"mendeley":{"formattedCitation":"Lihat Bagian II, huruf D, para. 79 dalam Office of High Commissioner for Human Rigths, “Vienna Declaration and Programme of Action,” &lt;i&gt;United Nation Human Rigths&lt;/i&gt;, 1993 &lt;https://ap.ohchr.org/documents/dpage_e.aspx?si=A/CONF.157/23&gt; [diakses 29 Juli 2020].","plainTextFormattedCitation":"Lihat Bagian II, huruf D, para. 79 dalam Office of High Commissioner for Human Rigths, “Vienna Declaration and Programme of Action,” United Nation Human Rigths, 1993  [diakses 29 Juli 2020].","previouslyFormattedCitation":"Lihat Bagian II, huruf D, para. 79 dalam Office of High Commissioner for Human Rigths, “Vienna Declaration and Programme of Action,” &lt;i&gt;United Nation Human Rigths&lt;/i&gt;, 1993 &lt;https://ap.ohchr.org/documents/dpage_e.aspx?si=A/CONF.157/23&gt; [diakses 29 Juli 2020]."},"properties":{"noteIndex":6},"schema":"https://github.com/citation-style-language/schema/raw/master/csl-citation.json"}</w:instrText>
      </w:r>
      <w:r w:rsidRPr="00A85A4F">
        <w:fldChar w:fldCharType="separate"/>
      </w:r>
      <w:r w:rsidR="00CD0B06" w:rsidRPr="00CD0B06">
        <w:rPr>
          <w:noProof/>
        </w:rPr>
        <w:t xml:space="preserve">Lihat Bagian II, huruf D, para. 79 dalam Office of High Commissioner for Human Rigths, “Vienna Declaration and Programme of Action,” </w:t>
      </w:r>
      <w:r w:rsidR="00CD0B06" w:rsidRPr="00CD0B06">
        <w:rPr>
          <w:i/>
          <w:noProof/>
        </w:rPr>
        <w:t>United Nation Human Rigths</w:t>
      </w:r>
      <w:r w:rsidR="00CD0B06" w:rsidRPr="00CD0B06">
        <w:rPr>
          <w:noProof/>
        </w:rPr>
        <w:t>, 1993 &lt;https://ap.ohchr.org/documents/dpage_e.aspx?si=A/CONF.157/23&gt; [diakses 29 Juli 2020].</w:t>
      </w:r>
      <w:r w:rsidRPr="00A85A4F">
        <w:fldChar w:fldCharType="end"/>
      </w:r>
    </w:p>
  </w:footnote>
  <w:footnote w:id="7">
    <w:p w14:paraId="2E96CEFB" w14:textId="6B6400BD" w:rsidR="00AA3DC0" w:rsidRPr="00A85A4F" w:rsidRDefault="00AA3DC0" w:rsidP="004F4708">
      <w:pPr>
        <w:pStyle w:val="FootnoteText"/>
        <w:spacing w:before="0"/>
        <w:jc w:val="both"/>
      </w:pPr>
      <w:r w:rsidRPr="00A85A4F">
        <w:rPr>
          <w:rStyle w:val="FootnoteReference"/>
        </w:rPr>
        <w:footnoteRef/>
      </w:r>
      <w:r w:rsidRPr="00A85A4F">
        <w:t xml:space="preserve"> </w:t>
      </w:r>
      <w:r w:rsidRPr="00A85A4F">
        <w:fldChar w:fldCharType="begin" w:fldLock="1"/>
      </w:r>
      <w:r w:rsidR="00F07DC2">
        <w:instrText>ADDIN CSL_CITATION {"citationItems":[{"id":"ITEM-1","itemData":{"URL":"https://digitallibrary.un.org/record/537134","accessed":{"date-parts":[["2020","7","29"]]},"author":[{"dropping-particle":"","family":"General Assambly United Nation","given":"","non-dropping-particle":"","parse-names":false,"suffix":""}],"container-title":"United Nations","id":"ITEM-1","issued":{"date-parts":[["2004"]]},"title":"Res 59/113: World Programme for Human Rights Education","type":"webpage"},"uris":["http://www.mendeley.com/documents/?uuid=7475a48a-0fca-439c-ad05-fdebe6fd2178"]}],"mendeley":{"formattedCitation":"General Assambly United Nation, “Res 59/113: World Programme for Human Rights Education,” &lt;i&gt;United Nations&lt;/i&gt;, 2004 &lt;https://digitallibrary.un.org/record/537134&gt; [diakses 29 Juli 2020].","plainTextFormattedCitation":"General Assambly United Nation, “Res 59/113: World Programme for Human Rights Education,” United Nations, 2004  [diakses 29 Juli 2020].","previouslyFormattedCitation":"General Assambly United Nation, “Res 59/113: World Programme for Human Rights Education,” &lt;i&gt;United Nations&lt;/i&gt;, 2004 &lt;https://digitallibrary.un.org/record/537134&gt; [diakses 29 Juli 2020]."},"properties":{"noteIndex":7},"schema":"https://github.com/citation-style-language/schema/raw/master/csl-citation.json"}</w:instrText>
      </w:r>
      <w:r w:rsidRPr="00A85A4F">
        <w:fldChar w:fldCharType="separate"/>
      </w:r>
      <w:r w:rsidR="0007075C" w:rsidRPr="0007075C">
        <w:rPr>
          <w:noProof/>
        </w:rPr>
        <w:t>United Nations General Assembly</w:t>
      </w:r>
      <w:r w:rsidR="00CD0B06" w:rsidRPr="00CD0B06">
        <w:rPr>
          <w:noProof/>
        </w:rPr>
        <w:t xml:space="preserve">, “Res 59/113: World Programme for Human Rights Education,” </w:t>
      </w:r>
      <w:r w:rsidR="00CD0B06" w:rsidRPr="00CD0B06">
        <w:rPr>
          <w:i/>
          <w:noProof/>
        </w:rPr>
        <w:t>United Nations</w:t>
      </w:r>
      <w:r w:rsidR="00CD0B06" w:rsidRPr="00CD0B06">
        <w:rPr>
          <w:noProof/>
        </w:rPr>
        <w:t>, 2004 &lt;https://digitallibrary.un.org/record/537134&gt; [diakses 29 Juli 2020].</w:t>
      </w:r>
      <w:r w:rsidRPr="00A85A4F">
        <w:fldChar w:fldCharType="end"/>
      </w:r>
    </w:p>
  </w:footnote>
  <w:footnote w:id="8">
    <w:p w14:paraId="1FC32DCD" w14:textId="77777777" w:rsidR="00545C31" w:rsidRPr="00A85A4F" w:rsidRDefault="00365D8D" w:rsidP="004F4708">
      <w:pPr>
        <w:pStyle w:val="FootnoteText"/>
        <w:spacing w:before="0"/>
        <w:jc w:val="both"/>
      </w:pPr>
      <w:r w:rsidRPr="00A85A4F">
        <w:rPr>
          <w:rStyle w:val="FootnoteReference"/>
        </w:rPr>
        <w:footnoteRef/>
      </w:r>
      <w:r w:rsidRPr="00A85A4F">
        <w:t xml:space="preserve">Rencana aksi fase pertama (2004-2009) menekankan integrasi pendidikan HAM untuk sistem sekolah dasar dan lanjutan. Rencana aksi fase kedua (2010-2014) menekankan ditujukan untuk perguruan tinggi dan pelatihan HAM untuk para guru, pendidik, pegawai pemerintah, penegak hukum dan personil militer. Rencana aksi fase ketiga (2015-2019) diarahkan untuk penguatan implementasi dua fase sebelumnya sekaligus pemajuan HAM di kalangan profesional media dan jurnalis. </w:t>
      </w:r>
    </w:p>
  </w:footnote>
  <w:footnote w:id="9">
    <w:p w14:paraId="1DC0D6EF" w14:textId="45E14E60" w:rsidR="00271725" w:rsidRPr="00A85A4F" w:rsidRDefault="00271725" w:rsidP="004F4708">
      <w:pPr>
        <w:pStyle w:val="FootnoteText"/>
        <w:spacing w:before="0"/>
        <w:jc w:val="both"/>
      </w:pPr>
      <w:r w:rsidRPr="00A85A4F">
        <w:rPr>
          <w:rStyle w:val="FootnoteReference"/>
        </w:rPr>
        <w:footnoteRef/>
      </w:r>
      <w:r w:rsidRPr="00A85A4F">
        <w:t xml:space="preserve"> </w:t>
      </w:r>
      <w:r w:rsidRPr="00A85A4F">
        <w:fldChar w:fldCharType="begin" w:fldLock="1"/>
      </w:r>
      <w:r w:rsidR="00F07DC2">
        <w:instrText>ADDIN CSL_CITATION {"citationItems":[{"id":"ITEM-1","itemData":{"author":[{"dropping-particle":"","family":"United Nations","given":"","non-dropping-particle":"","parse-names":false,"suffix":""}],"id":"ITEM-1","issued":{"date-parts":[["2006"]]},"publisher":"UNESCO dan UNHCR","publisher-place":"New York dan Geneva","title":"World Programme for Human Rights Education: First Phase Plan of Action","type":"book"},"locator":"12","uris":["http://www.mendeley.com/documents/?uuid=b8649b19-64a6-4173-8a49-7543e692edb7"]},{"id":"ITEM-2","itemData":{"author":[{"dropping-particle":"","family":"United Nations","given":"","non-dropping-particle":"","parse-names":false,"suffix":""}],"id":"ITEM-2","issued":{"date-parts":[["2012"]]},"publisher-place":"New York dan Geneva","title":"World Programme for Human Rights Education: Second Phase Plan of Action","type":"book"},"locator":"13","uris":["http://www.mendeley.com/documents/?uuid=f2710085-265d-431f-a35b-88bcd3b2de41"]},{"id":"ITEM-3","itemData":{"author":[{"dropping-particle":"","family":"United Nations","given":"","non-dropping-particle":"","parse-names":false,"suffix":""}],"id":"ITEM-3","issued":{"date-parts":[["2017"]]},"publisher":"United Nations (OHCHR) dan UNESCO","publisher-place":"New York dan Geneva","title":"World Programme for Human Rights Education: Third Phase Plan of Action","type":"book"},"locator":"15","uris":["http://www.mendeley.com/documents/?uuid=11c7a362-10e1-42e3-8c28-6275bed9bb45"]}],"mendeley":{"formattedCitation":"United Nations, &lt;i&gt;World Programme for Human Rights Education: First Phase Plan of Action&lt;/i&gt; (New York dan Geneva: UNESCO dan UNHCR, 2006), hal. 12; United Nations, &lt;i&gt;World Programme for Human Rights Education: Second Phase Plan of Action&lt;/i&gt; (New York dan Geneva, 2012), hal. 13; United Nations, &lt;i&gt;World Programme for Human Rights Education: Third Phase Plan of Action&lt;/i&gt; (New York dan Geneva: United Nations (OHCHR) dan UNESCO, 2017), hal. 15.","plainTextFormattedCitation":"United Nations, World Programme for Human Rights Education: First Phase Plan of Action (New York dan Geneva: UNESCO dan UNHCR, 2006), hal. 12; United Nations, World Programme for Human Rights Education: Second Phase Plan of Action (New York dan Geneva, 2012), hal. 13; United Nations, World Programme for Human Rights Education: Third Phase Plan of Action (New York dan Geneva: United Nations (OHCHR) dan UNESCO, 2017), hal. 15.","previouslyFormattedCitation":"United Nations, &lt;i&gt;World Programme for Human Rights Education: First Phase Plan of Action&lt;/i&gt; (New York dan Geneva: UNESCO dan UNHCR, 2006), hal. 12; United Nations, &lt;i&gt;World Programme for Human Rights Education: Second Phase Plan of Action&lt;/i&gt; (New York dan Geneva, 2012), hal. 13; United Nations, &lt;i&gt;World Programme for Human Rights Education: Third Phase Plan of Action&lt;/i&gt; (New York dan Geneva: United Nations (OHCHR) dan UNESCO, 2017), hal. 15."},"properties":{"noteIndex":9},"schema":"https://github.com/citation-style-language/schema/raw/master/csl-citation.json"}</w:instrText>
      </w:r>
      <w:r w:rsidRPr="00A85A4F">
        <w:fldChar w:fldCharType="separate"/>
      </w:r>
      <w:r w:rsidRPr="00A85A4F">
        <w:rPr>
          <w:noProof/>
        </w:rPr>
        <w:t xml:space="preserve">United Nations, </w:t>
      </w:r>
      <w:r w:rsidRPr="00A85A4F">
        <w:rPr>
          <w:i/>
          <w:noProof/>
        </w:rPr>
        <w:t>World Programme for Human Rights Education: First Phase Plan of Action</w:t>
      </w:r>
      <w:r w:rsidRPr="00A85A4F">
        <w:rPr>
          <w:noProof/>
        </w:rPr>
        <w:t xml:space="preserve"> (New York dan Geneva: UNESCO dan UNHCR, 2006), hal. 12; United Nations, </w:t>
      </w:r>
      <w:r w:rsidRPr="00A85A4F">
        <w:rPr>
          <w:i/>
          <w:noProof/>
        </w:rPr>
        <w:t>World Programme for Human Rights Education: Second Phase Plan of Action</w:t>
      </w:r>
      <w:r w:rsidRPr="00A85A4F">
        <w:rPr>
          <w:noProof/>
        </w:rPr>
        <w:t xml:space="preserve"> (New York dan Geneva, 2012), hal. 13; United Nations, </w:t>
      </w:r>
      <w:r w:rsidRPr="00A85A4F">
        <w:rPr>
          <w:i/>
          <w:noProof/>
        </w:rPr>
        <w:t>World Programme for Human Rights Education: Third Phase Plan of Action</w:t>
      </w:r>
      <w:r w:rsidRPr="00A85A4F">
        <w:rPr>
          <w:noProof/>
        </w:rPr>
        <w:t xml:space="preserve"> (New York dan Geneva: United Nations (OHCHR) dan UNESCO, 2017), hal. 15.</w:t>
      </w:r>
      <w:r w:rsidRPr="00A85A4F">
        <w:fldChar w:fldCharType="end"/>
      </w:r>
    </w:p>
  </w:footnote>
  <w:footnote w:id="10">
    <w:p w14:paraId="0A0250EA" w14:textId="6BA24815" w:rsidR="00271725" w:rsidRPr="00A85A4F" w:rsidRDefault="00271725" w:rsidP="004F4708">
      <w:pPr>
        <w:pStyle w:val="FootnoteText"/>
        <w:spacing w:before="0"/>
        <w:jc w:val="both"/>
      </w:pPr>
      <w:r w:rsidRPr="00A85A4F">
        <w:rPr>
          <w:rStyle w:val="FootnoteReference"/>
        </w:rPr>
        <w:footnoteRef/>
      </w:r>
      <w:r w:rsidRPr="00A85A4F">
        <w:t xml:space="preserve"> </w:t>
      </w:r>
      <w:r w:rsidRPr="00A85A4F">
        <w:fldChar w:fldCharType="begin" w:fldLock="1"/>
      </w:r>
      <w:r w:rsidR="00F07DC2">
        <w:instrText>ADDIN CSL_CITATION {"citationItems":[{"id":"ITEM-1","itemData":{"author":[{"dropping-particle":"","family":"United Nations","given":"","non-dropping-particle":"","parse-names":false,"suffix":""}],"id":"ITEM-1","issued":{"date-parts":[["2006"]]},"publisher":"UNESCO dan UNHCR","publisher-place":"New York dan Geneva","title":"World Programme for Human Rights Education: First Phase Plan of Action","type":"book"},"locator":"12","uris":["http://www.mendeley.com/documents/?uuid=b8649b19-64a6-4173-8a49-7543e692edb7"]},{"id":"ITEM-2","itemData":{"author":[{"dropping-particle":"","family":"United Nations","given":"","non-dropping-particle":"","parse-names":false,"suffix":""}],"id":"ITEM-2","issued":{"date-parts":[["2012"]]},"publisher-place":"New York dan Geneva","title":"World Programme for Human Rights Education: Second Phase Plan of Action","type":"book"},"locator":"13","uris":["http://www.mendeley.com/documents/?uuid=f2710085-265d-431f-a35b-88bcd3b2de41"]},{"id":"ITEM-3","itemData":{"author":[{"dropping-particle":"","family":"United Nations","given":"","non-dropping-particle":"","parse-names":false,"suffix":""}],"id":"ITEM-3","issued":{"date-parts":[["2017"]]},"publisher":"United Nations (OHCHR) dan UNESCO","publisher-place":"New York dan Geneva","title":"World Programme for Human Rights Education: Third Phase Plan of Action","type":"book"},"locator":"15","uris":["http://www.mendeley.com/documents/?uuid=11c7a362-10e1-42e3-8c28-6275bed9bb45"]}],"mendeley":{"formattedCitation":"United Nations, &lt;i&gt;World Programme for Human Rights Education: First Phase Plan of Action&lt;/i&gt;, hal. 12; United Nations, &lt;i&gt;World Programme for Human Rights Education: Second Phase Plan of Action&lt;/i&gt;, hal. 13; United Nations, &lt;i&gt;World Programme for Human Rights Education: Third Phase Plan of Action&lt;/i&gt;, hal. 15.","plainTextFormattedCitation":"United Nations, World Programme for Human Rights Education: First Phase Plan of Action, hal. 12; United Nations, World Programme for Human Rights Education: Second Phase Plan of Action, hal. 13; United Nations, World Programme for Human Rights Education: Third Phase Plan of Action, hal. 15.","previouslyFormattedCitation":"United Nations, &lt;i&gt;World Programme for Human Rights Education: First Phase Plan of Action&lt;/i&gt;, hal. 12; United Nations, &lt;i&gt;World Programme for Human Rights Education: Second Phase Plan of Action&lt;/i&gt;, hal. 13; United Nations, &lt;i&gt;World Programme for Human Rights Education: Third Phase Plan of Action&lt;/i&gt;, hal. 15."},"properties":{"noteIndex":10},"schema":"https://github.com/citation-style-language/schema/raw/master/csl-citation.json"}</w:instrText>
      </w:r>
      <w:r w:rsidRPr="00A85A4F">
        <w:fldChar w:fldCharType="separate"/>
      </w:r>
      <w:r w:rsidRPr="00A85A4F">
        <w:rPr>
          <w:noProof/>
        </w:rPr>
        <w:t xml:space="preserve">United Nations, </w:t>
      </w:r>
      <w:r w:rsidRPr="00A85A4F">
        <w:rPr>
          <w:i/>
          <w:noProof/>
        </w:rPr>
        <w:t>World Programme for Human Rights Education: First Phase Plan of Action</w:t>
      </w:r>
      <w:r w:rsidRPr="00A85A4F">
        <w:rPr>
          <w:noProof/>
        </w:rPr>
        <w:t xml:space="preserve">, hal. 12; United Nations, </w:t>
      </w:r>
      <w:r w:rsidRPr="00A85A4F">
        <w:rPr>
          <w:i/>
          <w:noProof/>
        </w:rPr>
        <w:t>World Programme for Human Rights Education: Second Phase Plan of Action</w:t>
      </w:r>
      <w:r w:rsidRPr="00A85A4F">
        <w:rPr>
          <w:noProof/>
        </w:rPr>
        <w:t xml:space="preserve">, hal. 13; United Nations, </w:t>
      </w:r>
      <w:r w:rsidRPr="00A85A4F">
        <w:rPr>
          <w:i/>
          <w:noProof/>
        </w:rPr>
        <w:t>World Programme for Human Rights Education: Third Phase Plan of Action</w:t>
      </w:r>
      <w:r w:rsidRPr="00A85A4F">
        <w:rPr>
          <w:noProof/>
        </w:rPr>
        <w:t>, hal. 15.</w:t>
      </w:r>
      <w:r w:rsidRPr="00A85A4F">
        <w:fldChar w:fldCharType="end"/>
      </w:r>
    </w:p>
  </w:footnote>
  <w:footnote w:id="11">
    <w:p w14:paraId="15E6DC6E" w14:textId="3BC675C5" w:rsidR="00271725" w:rsidRPr="00A85A4F" w:rsidRDefault="00271725" w:rsidP="004F4708">
      <w:pPr>
        <w:pStyle w:val="FootnoteText"/>
        <w:spacing w:before="0"/>
        <w:jc w:val="both"/>
      </w:pPr>
      <w:r w:rsidRPr="00A85A4F">
        <w:rPr>
          <w:rStyle w:val="FootnoteReference"/>
        </w:rPr>
        <w:footnoteRef/>
      </w:r>
      <w:r w:rsidRPr="00A85A4F">
        <w:t xml:space="preserve"> </w:t>
      </w:r>
      <w:r w:rsidRPr="00A85A4F">
        <w:fldChar w:fldCharType="begin" w:fldLock="1"/>
      </w:r>
      <w:r w:rsidR="00F07DC2">
        <w:instrText>ADDIN CSL_CITATION {"citationItems":[{"id":"ITEM-1","itemData":{"id":"ITEM-1","issued":{"date-parts":[["2012"]]},"publisher":"Republik Indonesia","title":"Peraturan Presiden Republik Indonesia Nomor 8 Tahun 2012 Tentang Kerangka Kualifikasi Nasional Indonesia","type":"book"},"prefix":"Deskripsi Jenjang Kualifikasi KKNI pada ","uris":["http://www.mendeley.com/documents/?uuid=090b339a-009b-4acf-a9f1-9d95b1233fdf"]}],"mendeley":{"formattedCitation":"Deskripsi Jenjang Kualifikasi KKNI pada &lt;i&gt;Peraturan Presiden Republik Indonesia Nomor 8 Tahun 2012 Tentang Kerangka Kualifikasi Nasional Indonesia&lt;/i&gt; (Republik Indonesia, 2012).","plainTextFormattedCitation":"Deskripsi Jenjang Kualifikasi KKNI pada Peraturan Presiden Republik Indonesia Nomor 8 Tahun 2012 Tentang Kerangka Kualifikasi Nasional Indonesia (Republik Indonesia, 2012).","previouslyFormattedCitation":"Deskripsi Jenjang Kualifikasi KKNI pada &lt;i&gt;Peraturan Presiden Republik Indonesia Nomor 8 Tahun 2012 Tentang Kerangka Kualifikasi Nasional Indonesia&lt;/i&gt; (Republik Indonesia, 2012)."},"properties":{"noteIndex":11},"schema":"https://github.com/citation-style-language/schema/raw/master/csl-citation.json"}</w:instrText>
      </w:r>
      <w:r w:rsidRPr="00A85A4F">
        <w:fldChar w:fldCharType="separate"/>
      </w:r>
      <w:r w:rsidRPr="00A85A4F">
        <w:rPr>
          <w:noProof/>
        </w:rPr>
        <w:t xml:space="preserve">Deskripsi Jenjang Kualifikasi KKNI pada </w:t>
      </w:r>
      <w:r w:rsidRPr="00A85A4F">
        <w:rPr>
          <w:i/>
          <w:noProof/>
        </w:rPr>
        <w:t>Peraturan Presiden Republik Indonesia Nomor 8 Tahun 2012 Tentang Kerangka Kualifikasi Nasional Indonesia</w:t>
      </w:r>
      <w:r w:rsidRPr="00A85A4F">
        <w:rPr>
          <w:noProof/>
        </w:rPr>
        <w:t xml:space="preserve"> (Republik Indonesia, 2012).</w:t>
      </w:r>
      <w:r w:rsidRPr="00A85A4F">
        <w:fldChar w:fldCharType="end"/>
      </w:r>
    </w:p>
  </w:footnote>
  <w:footnote w:id="12">
    <w:p w14:paraId="54A31D02" w14:textId="072DE30B" w:rsidR="008F7D94" w:rsidRPr="00A85A4F" w:rsidRDefault="008F7D94" w:rsidP="004F4708">
      <w:pPr>
        <w:pStyle w:val="FootnoteText"/>
        <w:spacing w:before="0"/>
        <w:jc w:val="both"/>
      </w:pPr>
      <w:r w:rsidRPr="00A85A4F">
        <w:rPr>
          <w:rStyle w:val="FootnoteReference"/>
        </w:rPr>
        <w:footnoteRef/>
      </w:r>
      <w:r w:rsidRPr="00A85A4F">
        <w:t xml:space="preserve"> </w:t>
      </w:r>
      <w:r w:rsidRPr="00A85A4F">
        <w:fldChar w:fldCharType="begin" w:fldLock="1"/>
      </w:r>
      <w:r w:rsidR="00CD0B06">
        <w:instrText>ADDIN CSL_CITATION {"citationItems":[{"id":"ITEM-1","itemData":{"ISBN":"9786026470027","author":[{"dropping-particle":"","family":"Nurwardani","given":"Paristiyanti","non-dropping-particle":"","parse-names":false,"suffix":""},{"dropping-particle":"","family":"Saksama","given":"Hestu Yoga","non-dropping-particle":"","parse-names":false,"suffix":""},{"dropping-particle":"","family":"Winataputra","given":"Udin S","non-dropping-particle":"","parse-names":false,"suffix":""},{"dropping-particle":"","family":"Budimansyah","given":"Dasim","non-dropping-particle":"","parse-names":false,"suffix":""},{"dropping-particle":"","family":"Sapriya","given":"","non-dropping-particle":"","parse-names":false,"suffix":""},{"dropping-particle":"","family":"Winarno","given":"","non-dropping-particle":"","parse-names":false,"suffix":""},{"dropping-particle":"","family":"Mulyono","given":"Edi","non-dropping-particle":"","parse-names":false,"suffix":""},{"dropping-particle":"","family":"Prawatyani","given":"Sanityas Jukti","non-dropping-particle":"","parse-names":false,"suffix":""},{"dropping-particle":"","family":"Anwar","given":"Aan Almaidah","non-dropping-particle":"","parse-names":false,"suffix":""},{"dropping-particle":"","family":"Evawany","given":"","non-dropping-particle":"","parse-names":false,"suffix":""},{"dropping-particle":"","family":"Priyautama","given":"Fajar","non-dropping-particle":"","parse-names":false,"suffix":""},{"dropping-particle":"","family":"Festanto","given":"Ary","non-dropping-particle":"","parse-names":false,"suffix":""}],"id":"ITEM-1","issued":{"date-parts":[["2016"]]},"publisher":"Direktorat Jenderal Pembelajaran dan Kemahasiswaan Kementerian Riset, Teknologi, dan Pendidikan Tinggi Republik","publisher-place":"Jakarta","title":"Pendidikan Kewarganegaraan untuk Perguruan Tinggi","type":"book"},"prefix":"Lihat ","suffix":"Buku ini adalah Buku Ajar MKWU sebagaimana ditegaskan dan didiseminasikan melalui Surat Edaran Dirjen Belmawa No. S-435/B/SE/2016 tentang Bahan Ajar Mata Kuliah Wajib Umum. ","uris":["http://www.mendeley.com/documents/?uuid=30965a91-d5cb-4fed-b308-f96cc9213e0a"]}],"mendeley":{"formattedCitation":"Lihat Paristiyanti Nurwardani et al., &lt;i&gt;Pendidikan Kewarganegaraan untuk Perguruan Tinggi&lt;/i&gt; (Jakarta: Direktorat Jenderal Pembelajaran dan Kemahasiswaan Kementerian Riset, Teknologi, dan Pendidikan Tinggi Republik, 2016) Buku ini adalah Buku Ajar MKWU sebagaimana ditegaskan dan didiseminasikan melalui Surat Edaran Dirjen Belmawa No. S-435/B/SE/2016 tentang Bahan Ajar Mata Kuliah Wajib Umum. .","plainTextFormattedCitation":"Lihat Paristiyanti Nurwardani et al., Pendidikan Kewarganegaraan untuk Perguruan Tinggi (Jakarta: Direktorat Jenderal Pembelajaran dan Kemahasiswaan Kementerian Riset, Teknologi, dan Pendidikan Tinggi Republik, 2016) Buku ini adalah Buku Ajar MKWU sebagaimana ditegaskan dan didiseminasikan melalui Surat Edaran Dirjen Belmawa No. S-435/B/SE/2016 tentang Bahan Ajar Mata Kuliah Wajib Umum. .","previouslyFormattedCitation":"Lihat Paristiyanti Nurwardani et al., &lt;i&gt;Pendidikan Kewarganegaraan untuk Perguruan Tinggi&lt;/i&gt; (Jakarta: Direktorat Jenderal Pembelajaran dan Kemahasiswaan Kementerian Riset, Teknologi, dan Pendidikan Tinggi Republik, 2016) Buku ini adalah Buku Ajar MKWU sebagaimana ditegaskan dan didiseminasikan melalui Surat Edaran Dirjen Belmawa No. S-435/B/SE/2016 tentang Bahan Ajar Mata Kuliah Wajib Umum. ."},"properties":{"noteIndex":12},"schema":"https://github.com/citation-style-language/schema/raw/master/csl-citation.json"}</w:instrText>
      </w:r>
      <w:r w:rsidRPr="00A85A4F">
        <w:fldChar w:fldCharType="separate"/>
      </w:r>
      <w:r w:rsidRPr="00A85A4F">
        <w:rPr>
          <w:noProof/>
        </w:rPr>
        <w:t xml:space="preserve">Lihat Paristiyanti Nurwardani et al., </w:t>
      </w:r>
      <w:r w:rsidRPr="00A85A4F">
        <w:rPr>
          <w:i/>
          <w:noProof/>
        </w:rPr>
        <w:t>Pendidikan Kewarganegaraan untuk Perguruan Tinggi</w:t>
      </w:r>
      <w:r w:rsidRPr="00A85A4F">
        <w:rPr>
          <w:noProof/>
        </w:rPr>
        <w:t xml:space="preserve"> (Jakarta: Direktorat Jenderal Pembelajaran dan Kemahasiswaan Kementerian Riset, Teknologi, dan Pendidikan Tinggi Republik, 2016) Buku ini adalah Buku Ajar MKWU sebagaimana ditegaskan dan didiseminasikan melalui Surat Edaran Dirjen Belmawa No. S-435/B/SE/2016 tentang Bahan Ajar Mata Kuliah Wajib Umum. .</w:t>
      </w:r>
      <w:r w:rsidRPr="00A85A4F">
        <w:fldChar w:fldCharType="end"/>
      </w:r>
    </w:p>
  </w:footnote>
  <w:footnote w:id="13">
    <w:p w14:paraId="109CC6A6" w14:textId="211E2D1D" w:rsidR="008F7D94" w:rsidRPr="00A85A4F" w:rsidRDefault="008F7D94" w:rsidP="004F4708">
      <w:pPr>
        <w:pStyle w:val="FootnoteText"/>
        <w:spacing w:before="0"/>
        <w:jc w:val="both"/>
      </w:pPr>
      <w:r w:rsidRPr="00A85A4F">
        <w:rPr>
          <w:rStyle w:val="FootnoteReference"/>
        </w:rPr>
        <w:footnoteRef/>
      </w:r>
      <w:r w:rsidRPr="00A85A4F">
        <w:t xml:space="preserve"> </w:t>
      </w:r>
      <w:r w:rsidRPr="00A85A4F">
        <w:fldChar w:fldCharType="begin" w:fldLock="1"/>
      </w:r>
      <w:r w:rsidR="00CD0B06">
        <w:instrText>ADDIN CSL_CITATION {"citationItems":[{"id":"ITEM-1","itemData":{"DOI":"10.15700/saje.v35n2a1044","ISSN":"02560100","abstract":"The twentieth century has been characterised by the proliferation of human rights in the discursive practices of the United Nations (Baxi, 1997). In this article, we explore the continual process of rights-based education towards transformative action, and an open and democratic society, as dependent upon the facilitation of human rights literacy in teacher training. Our theoretical framework examines the continual process of moving towards an open and democratic society through the facilitation of human rights literacy, rights-based education and transformative action. We focus specifically on understandings of dignity, equality and freedom, as both rights (legal claims) and values (moral action) across horizontal and vertical applications, considering the internalisation and implementation of dignity, equality and freedom towards transformative action. Our analysis of data stemming from a project funded by the National Research Foundation (NRF) entitled ‘Human Rights Literacy: A quest for meaning’, brought student-teachers’ understandings into conversation with the proposed theoretical framework. In terms of understandings related to dignity, equality and freedom, participants seemingly understand human rights either as legal interests, or alternatively, as they pertain to values such as caring, ubuntu, respect, human dignity and equality. Legal understandings primarily focus on the vertical application of the Bill of Rights (RSA, 1996a) and the role of government in this regard, whereas understandings related to the realisation of values tended to focus on the horizontal applications of particularly dignity and equality as the product of the relation between self and other. We conclude the article by linking the analysis and the theoretical framework to education as a humanising practice within human rights as a common language of humanity. In so doing, we argue that human rights literacy and rights-based education transcend knowledge about human rights, moving towards transformative action and caring educational relations premised on freedom, dignity and equality. Finally, recommendations are made regarding human rights and rights-based education as transformative action within the South African context, towards an open and democratic society.","author":[{"dropping-particle":"","family":"Becker","given":"Anne","non-dropping-particle":"","parse-names":false,"suffix":""},{"dropping-particle":"","family":"Wet","given":"Annamagriet","non-dropping-particle":"de","parse-names":false,"suffix":""},{"dropping-particle":"","family":"Vollenhoven","given":"Willie","non-dropping-particle":"van","parse-names":false,"suffix":""}],"container-title":"South African Journal of Education","id":"ITEM-1","issue":"2","issued":{"date-parts":[["2015"]]},"page":"1-12","title":"Human Rights Literacy: Moving Towards Rights-based Education and Transformative Action Through Understandings of Fignity, Equality and Freedom","type":"article-journal","volume":"35"},"uris":["http://www.mendeley.com/documents/?uuid=c963813b-9e8e-41f1-907d-2edbb520e748"]}],"mendeley":{"formattedCitation":"Anne Becker, Annamagriet de Wet, dan Willie van Vollenhoven, “Human Rights Literacy: Moving Towards Rights-based Education and Transformative Action Through Understandings of Fignity, Equality and Freedom,” &lt;i&gt;South African Journal of Education&lt;/i&gt;, 35.2 (2015), 1–12 &lt;https://doi.org/10.15700/saje.v35n2a1044&gt;."},"properties":{"noteIndex":13},"schema":"https://github.com/citation-style-language/schema/raw/master/csl-citation.json"}</w:instrText>
      </w:r>
      <w:r w:rsidRPr="00A85A4F">
        <w:fldChar w:fldCharType="separate"/>
      </w:r>
      <w:r w:rsidR="00CD0B06" w:rsidRPr="00CD0B06">
        <w:rPr>
          <w:noProof/>
        </w:rPr>
        <w:t xml:space="preserve">Anne Becker, Annamagriet de Wet, dan Willie van Vollenhoven, “Human Rights Literacy: Moving Towards Rights-based Education and Transformative Action Through Understandings of Fignity, Equality and Freedom,” </w:t>
      </w:r>
      <w:r w:rsidR="00CD0B06" w:rsidRPr="00CD0B06">
        <w:rPr>
          <w:i/>
          <w:noProof/>
        </w:rPr>
        <w:t>South African Journal of Education</w:t>
      </w:r>
      <w:r w:rsidR="00CD0B06" w:rsidRPr="00CD0B06">
        <w:rPr>
          <w:noProof/>
        </w:rPr>
        <w:t>, 35.2 (2015), 1–12.</w:t>
      </w:r>
      <w:r w:rsidRPr="00A85A4F">
        <w:fldChar w:fldCharType="end"/>
      </w:r>
    </w:p>
  </w:footnote>
  <w:footnote w:id="14">
    <w:p w14:paraId="697D7783" w14:textId="33730B49" w:rsidR="008F7D94" w:rsidRPr="00A85A4F" w:rsidRDefault="008F7D94" w:rsidP="004F4708">
      <w:pPr>
        <w:pStyle w:val="FootnoteText"/>
        <w:spacing w:before="0"/>
        <w:jc w:val="both"/>
      </w:pPr>
      <w:r w:rsidRPr="00A85A4F">
        <w:rPr>
          <w:rStyle w:val="FootnoteReference"/>
        </w:rPr>
        <w:footnoteRef/>
      </w:r>
      <w:r w:rsidRPr="00A85A4F">
        <w:t xml:space="preserve"> </w:t>
      </w:r>
      <w:r w:rsidRPr="00A85A4F">
        <w:fldChar w:fldCharType="begin" w:fldLock="1"/>
      </w:r>
      <w:r w:rsidR="00F07DC2">
        <w:instrText>ADDIN CSL_CITATION {"citationItems":[{"id":"ITEM-1","itemData":{"ISBN":"9786022821038","id":"ITEM-1","issued":{"date-parts":[["2020"]]},"publisher":"Republik Indonesia","title":"Peraturan Menteri Pendidikan dan Kebudayaan Republik Indonesia Nomor 3 Tahun 2020 Tentang Standar Nasional Pendidikan Tinggi","type":"book"},"prefix":"Kurikulum adalah seperangkat rencana dan pengaturan mengenai tujuan, isi, dan bahan pelajaran serta cara yang digunakan sebagai pedoman penyelenggaraan kegiatan pembelajaran untuk mencapai tujuan Pendidikan Tinggi, dalam","uris":["http://www.mendeley.com/documents/?uuid=5c7323a6-cf92-4088-83c7-e6fbb5064b80"]}],"mendeley":{"formattedCitation":"Kurikulum adalah seperangkat rencana dan pengaturan mengenai tujuan, isi, dan bahan pelajaran serta cara yang digunakan sebagai pedoman penyelenggaraan kegiatan pembelajaran untuk mencapai tujuan Pendidikan Tinggi, dalam &lt;i&gt;Peraturan Menteri Pendidikan dan Kebudayaan Republik Indonesia Nomor 3 Tahun 2020 Tentang Standar Nasional Pendidikan Tinggi&lt;/i&gt; (Republik Indonesia, 2020).","plainTextFormattedCitation":"Kurikulum adalah seperangkat rencana dan pengaturan mengenai tujuan, isi, dan bahan pelajaran serta cara yang digunakan sebagai pedoman penyelenggaraan kegiatan pembelajaran untuk mencapai tujuan Pendidikan Tinggi, dalam Peraturan Menteri Pendidikan dan Kebudayaan Republik Indonesia Nomor 3 Tahun 2020 Tentang Standar Nasional Pendidikan Tinggi (Republik Indonesia, 2020).","previouslyFormattedCitation":"Kurikulum adalah seperangkat rencana dan pengaturan mengenai tujuan, isi, dan bahan pelajaran serta cara yang digunakan sebagai pedoman penyelenggaraan kegiatan pembelajaran untuk mencapai tujuan Pendidikan Tinggi, dalam &lt;i&gt;Peraturan Menteri Pendidikan dan Kebudayaan Republik Indonesia Nomor 3 Tahun 2020 Tentang Standar Nasional Pendidikan Tinggi&lt;/i&gt; (Republik Indonesia, 2020)."},"properties":{"noteIndex":14},"schema":"https://github.com/citation-style-language/schema/raw/master/csl-citation.json"}</w:instrText>
      </w:r>
      <w:r w:rsidRPr="00A85A4F">
        <w:fldChar w:fldCharType="separate"/>
      </w:r>
      <w:r w:rsidR="0004724C" w:rsidRPr="00A85A4F">
        <w:rPr>
          <w:noProof/>
        </w:rPr>
        <w:t xml:space="preserve">Kurikulum adalah seperangkat rencana dan pengaturan mengenai tujuan, isi, dan bahan pelajaran serta cara yang digunakan sebagai pedoman penyelenggaraan kegiatan pembelajaran untuk mencapai tujuan Pendidikan Tinggi, dalam </w:t>
      </w:r>
      <w:r w:rsidR="0004724C" w:rsidRPr="00A85A4F">
        <w:rPr>
          <w:i/>
          <w:noProof/>
        </w:rPr>
        <w:t>Peraturan Menteri Pendidikan dan Kebudayaan Republik Indonesia Nomor 3 Tahun 2020 Tentang Standar Nasional Pendidikan Tinggi</w:t>
      </w:r>
      <w:r w:rsidR="0004724C" w:rsidRPr="00A85A4F">
        <w:rPr>
          <w:noProof/>
        </w:rPr>
        <w:t xml:space="preserve"> (Republik Indonesia, 2020).</w:t>
      </w:r>
      <w:r w:rsidRPr="00A85A4F">
        <w:fldChar w:fldCharType="end"/>
      </w:r>
    </w:p>
  </w:footnote>
  <w:footnote w:id="15">
    <w:p w14:paraId="0D5ED90D" w14:textId="68E705E7" w:rsidR="0004724C" w:rsidRPr="00A85A4F" w:rsidRDefault="0004724C" w:rsidP="004F4708">
      <w:pPr>
        <w:pStyle w:val="FootnoteText"/>
        <w:spacing w:before="0"/>
        <w:jc w:val="both"/>
      </w:pPr>
      <w:r w:rsidRPr="00A85A4F">
        <w:rPr>
          <w:rStyle w:val="FootnoteReference"/>
        </w:rPr>
        <w:footnoteRef/>
      </w:r>
      <w:r w:rsidRPr="00A85A4F">
        <w:t xml:space="preserve"> </w:t>
      </w:r>
      <w:r w:rsidRPr="00A85A4F">
        <w:fldChar w:fldCharType="begin" w:fldLock="1"/>
      </w:r>
      <w:r w:rsidR="00F07DC2">
        <w:instrText>ADDIN CSL_CITATION {"citationItems":[{"id":"ITEM-1","itemData":{"author":[{"dropping-particle":"","family":"Moleong","given":"Lexy J","non-dropping-particle":"","parse-names":false,"suffix":""}],"id":"ITEM-1","issued":{"date-parts":[["2002"]]},"publisher":"P.T. Remaja Rosdakarya","publisher-place":"Bandung","title":"Metodologi Penelitian Kualitatif","type":"book"},"locator":"3","prefix":"Pendekatan kualitatif adalah prosedur penelitian yang menghasilkan data deskriptif berupa kata-kata tertulis atau lisan dari orang-orang dan perilaku yang dapat dialami. Lihat","uris":["http://www.mendeley.com/documents/?uuid=770454e8-f681-4755-b8a9-a1852fdbe47f"]}],"mendeley":{"formattedCitation":"Pendekatan kualitatif adalah prosedur penelitian yang menghasilkan data deskriptif berupa kata-kata tertulis atau lisan dari orang-orang dan perilaku yang dapat dialami. Lihat Lexy J Moleong, &lt;i&gt;Metodologi Penelitian Kualitatif&lt;/i&gt; (Bandung: P.T. Remaja Rosdakarya, 2002), hal. 3.","plainTextFormattedCitation":"Pendekatan kualitatif adalah prosedur penelitian yang menghasilkan data deskriptif berupa kata-kata tertulis atau lisan dari orang-orang dan perilaku yang dapat dialami. Lihat Lexy J Moleong, Metodologi Penelitian Kualitatif (Bandung: P.T. Remaja Rosdakarya, 2002), hal. 3.","previouslyFormattedCitation":"Pendekatan kualitatif adalah prosedur penelitian yang menghasilkan data deskriptif berupa kata-kata tertulis atau lisan dari orang-orang dan perilaku yang dapat dialami. Lihat Lexy J Moleong, &lt;i&gt;Metodologi Penelitian Kualitatif&lt;/i&gt; (Bandung: P.T. Remaja Rosdakarya, 2002), hal. 3."},"properties":{"noteIndex":15},"schema":"https://github.com/citation-style-language/schema/raw/master/csl-citation.json"}</w:instrText>
      </w:r>
      <w:r w:rsidRPr="00A85A4F">
        <w:fldChar w:fldCharType="separate"/>
      </w:r>
      <w:r w:rsidRPr="00A85A4F">
        <w:rPr>
          <w:noProof/>
        </w:rPr>
        <w:t xml:space="preserve">Pendekatan kualitatif adalah prosedur penelitian yang menghasilkan data deskriptif berupa kata-kata tertulis atau lisan dari orang-orang dan perilaku yang dapat dialami. Lihat Lexy J Moleong, </w:t>
      </w:r>
      <w:r w:rsidRPr="00A85A4F">
        <w:rPr>
          <w:i/>
          <w:noProof/>
        </w:rPr>
        <w:t>Metodologi Penelitian Kualitatif</w:t>
      </w:r>
      <w:r w:rsidRPr="00A85A4F">
        <w:rPr>
          <w:noProof/>
        </w:rPr>
        <w:t xml:space="preserve"> (Bandung: P.T. Remaja Rosdakarya, 2002), hal. 3.</w:t>
      </w:r>
      <w:r w:rsidRPr="00A85A4F">
        <w:fldChar w:fldCharType="end"/>
      </w:r>
    </w:p>
  </w:footnote>
  <w:footnote w:id="16">
    <w:p w14:paraId="0AB96FE3" w14:textId="0E03F85C" w:rsidR="0004724C" w:rsidRPr="00A85A4F" w:rsidRDefault="0004724C" w:rsidP="004F4708">
      <w:pPr>
        <w:pStyle w:val="FootnoteText"/>
        <w:spacing w:before="0"/>
        <w:jc w:val="both"/>
      </w:pPr>
      <w:r w:rsidRPr="00A85A4F">
        <w:rPr>
          <w:rStyle w:val="FootnoteReference"/>
        </w:rPr>
        <w:footnoteRef/>
      </w:r>
      <w:r w:rsidRPr="00A85A4F">
        <w:t xml:space="preserve"> </w:t>
      </w:r>
      <w:r w:rsidRPr="00A85A4F">
        <w:fldChar w:fldCharType="begin" w:fldLock="1"/>
      </w:r>
      <w:r w:rsidR="00CD0B06">
        <w:instrText>ADDIN CSL_CITATION {"citationItems":[{"id":"ITEM-1","itemData":{"DOI":"10.1353/hrq.0.0127","ISSN":"02750392","abstract":"This article suggests that research in the field of human rights, especially when it is legal in nature, tends to devote surprisingly little attention to questions of methodology. This may be a result of the fact that human rights scholars often are (former) human rights activists. Dispensing with methodological constraints enables researchers to engage in wishful thinking and to reach the conclusions they were hoping to find in the first place. The article makes some suggestions for those who wish to avoid this pitfall, including carefully spelling out a research method, discussing which alternative methods have been rejected, and avoiding the label \"emerging\" human right. © 2010 by The Johns Hopkins University Press.","author":[{"dropping-particle":"","family":"Coomans","given":"Fons","non-dropping-particle":"","parse-names":false,"suffix":""},{"dropping-particle":"","family":"Grünfeld","given":"Fred","non-dropping-particle":"","parse-names":false,"suffix":""},{"dropping-particle":"","family":"Kamminga","given":"Menno T.","non-dropping-particle":"","parse-names":false,"suffix":""}],"container-title":"Human Rights Quarterly","id":"ITEM-1","issue":"1","issued":{"date-parts":[["2010"]]},"page":"179-186","title":"Methods of Human Rights Research: A Primer","type":"article-journal","volume":"32"},"uris":["http://www.mendeley.com/documents/?uuid=8435b074-c3e2-41b5-bfb8-31bf93de7331"]},{"id":"ITEM-2","itemData":{"DOI":"10.4337/9781785367793.00016","ISBN":"9781785367793","abstract":"Contributors include: B.A. Andreassen, H. Bondevik, I. Bostad, R. Burke, A.-L. Chané, S. Engle Merry, L. Ferguson, A. Hellum, S.L.B. Jensen, D. Kacinksi, M. Langford, T.M. Martin, S. McInerney-Lankford, D. Petrova, H.-O. Sano, M. Satterthwaite, M. Scehinin, A. Scharma, K. Shields, G. Ulrich, S. Walker. Includes index. Methodological discussion has largely been neglected in human rights research, with legal scholars in particular tending to address research methods and methodological reflection implicitly rather than explicitly. This book advances thinking on human rights methodology, offering instruction and guidance on the methodological approaches to human rights research. Seeking to bridge the methodological deficit often compounded by the interdisciplinary nature of human rights research, contributions by leading scholars in a range of evolving fields, provide an up-to-date assessment of human rights methods. The various chapters apply these methods to different substantive areas including discrimination, the right to food, the right to water, public health and gender. This book gives a comprehensive treatment of disciplinary approaches, discusses methodological options and provides advice on how best to conduct human rights research in the crossroads of different academic disciplines. Accessible and engaging, this book will be of keen interest to students and scholars working in human rights research, both those approaching it from a legal standpoint and those of other social science disciplines. Both practical and timely, the book will also lend itself to human rights practitioners and policy-makers.-- 1. Human rights research method / Bård A. Andreassen, Siobhán McInerney-Lankford and Hans-Otto Sano -- Part I Human rights research methods inside disciplines -- 2. The art and science of interpretation in human rights law / Martin Scheinin -- 3. Legal methodologies and human rights research : challenges and opportunities / Siobhán McInerney-Lankford -- 4. Core principles in argumentation and understanding : hermeneutics and human rights / Hilde Bondevik and Inga Bostad -- 5. Economics and human rights / Edward Anderson -- 6. From the normative to the transnational : methods in the study of human rights history / Steven L.B. Jensen and Roland Burke -- 7. The potential of ethnographic methods for human rights research / Sally Engle Merry -- Part II Human rights research methods across disciplines -- 8. Interdisciplinarity and multimethod research…","author":[{"dropping-particle":"","family":"Andreassen","given":"Bård A.","non-dropping-particle":"","parse-names":false,"suffix":""},{"dropping-particle":"","family":"Sano","given":"Hans-Otto","non-dropping-particle":"","parse-names":false,"suffix":""},{"dropping-particle":"","family":"McInerney-Lankford","given":"Siobhán","non-dropping-particle":"","parse-names":false,"suffix":""}],"chapter-number":"1","container-title":"Research Methods in Human Rights","editor":[{"dropping-particle":"","family":"Andreassen","given":"Bård A.","non-dropping-particle":"","parse-names":false,"suffix":""},{"dropping-particle":"","family":"Sano","given":"Hans-Otto","non-dropping-particle":"","parse-names":false,"suffix":""},{"dropping-particle":"","family":"McInerney-Lankford","given":"Siobhán","non-dropping-particle":"","parse-names":false,"suffix":""}],"id":"ITEM-2","issued":{"date-parts":[["2017"]]},"page":"1-16","publisher":"Edward Elgar Publishing","publisher-place":"Northampton","title":"Human Rights Research Method","type":"chapter"},"locator":"1","uris":["http://www.mendeley.com/documents/?uuid=c96fdc7a-4966-4ade-b238-c9c7b5551347"]}],"mendeley":{"formattedCitation":"Fons Coomans, Fred Grünfeld, dan Menno T. Kamminga, “Methods of Human Rights Research: A Primer,” &lt;i&gt;Human Rights Quarterly&lt;/i&gt;, 32.1 (2010), 179–86 &lt;https://doi.org/10.1353/hrq.0.0127&gt;; Bård A. Andreassen, Hans-Otto Sano, dan Siobhán McInerney-Lankford, “Human Rights Research Method,” in &lt;i&gt;Research Methods in Human Rights&lt;/i&gt;, ed. oleh Bård A. Andreassen, Hans-Otto Sano, dan Siobhán McInerney-Lankford (Northampton: Edward Elgar Publishing, 2017), hal. 1–16 (hal. 1) &lt;https://doi.org/10.4337/9781785367793.00016&gt;."},"properties":{"noteIndex":16},"schema":"https://github.com/citation-style-language/schema/raw/master/csl-citation.json"}</w:instrText>
      </w:r>
      <w:r w:rsidRPr="00A85A4F">
        <w:fldChar w:fldCharType="separate"/>
      </w:r>
      <w:r w:rsidR="00CD0B06" w:rsidRPr="00CD0B06">
        <w:rPr>
          <w:noProof/>
        </w:rPr>
        <w:t xml:space="preserve">Fons Coomans, Fred Grünfeld, dan Menno T. Kamminga, “Methods of Human Rights Research: A Primer,” </w:t>
      </w:r>
      <w:r w:rsidR="00CD0B06" w:rsidRPr="00CD0B06">
        <w:rPr>
          <w:i/>
          <w:noProof/>
        </w:rPr>
        <w:t>Human Rights Quarterly</w:t>
      </w:r>
      <w:r w:rsidR="00CD0B06" w:rsidRPr="00CD0B06">
        <w:rPr>
          <w:noProof/>
        </w:rPr>
        <w:t>, 32.1 (2010), 179–</w:t>
      </w:r>
      <w:r w:rsidR="00CD0B06">
        <w:rPr>
          <w:noProof/>
        </w:rPr>
        <w:t>1</w:t>
      </w:r>
      <w:r w:rsidR="00CD0B06" w:rsidRPr="00CD0B06">
        <w:rPr>
          <w:noProof/>
        </w:rPr>
        <w:t xml:space="preserve">86; Bård A. Andreassen, Hans-Otto Sano, dan Siobhán McInerney-Lankford, “Human Rights Research Method,” in </w:t>
      </w:r>
      <w:r w:rsidR="00CD0B06" w:rsidRPr="00CD0B06">
        <w:rPr>
          <w:i/>
          <w:noProof/>
        </w:rPr>
        <w:t>Research Methods in Human Rights</w:t>
      </w:r>
      <w:r w:rsidR="00CD0B06" w:rsidRPr="00CD0B06">
        <w:rPr>
          <w:noProof/>
        </w:rPr>
        <w:t>, ed. oleh Bård A. Andreassen, Hans-Otto Sano, dan Siobhán McInerney-Lankford (Northampton: Edward Elgar Publishing, 2017), hal. 1–16 (hal. 1).</w:t>
      </w:r>
      <w:r w:rsidRPr="00A85A4F">
        <w:fldChar w:fldCharType="end"/>
      </w:r>
    </w:p>
  </w:footnote>
  <w:footnote w:id="17">
    <w:p w14:paraId="070618BB" w14:textId="4002C778" w:rsidR="0004724C" w:rsidRPr="00A85A4F" w:rsidRDefault="0004724C" w:rsidP="004F4708">
      <w:pPr>
        <w:pStyle w:val="FootnoteText"/>
        <w:spacing w:before="0"/>
        <w:jc w:val="both"/>
      </w:pPr>
      <w:r w:rsidRPr="00A85A4F">
        <w:rPr>
          <w:rStyle w:val="FootnoteReference"/>
        </w:rPr>
        <w:footnoteRef/>
      </w:r>
      <w:r w:rsidRPr="00A85A4F">
        <w:t xml:space="preserve"> </w:t>
      </w:r>
      <w:r w:rsidRPr="00A85A4F">
        <w:fldChar w:fldCharType="begin" w:fldLock="1"/>
      </w:r>
      <w:r w:rsidR="00F07DC2">
        <w:instrText>ADDIN CSL_CITATION {"citationItems":[{"id":"ITEM-1","itemData":{"author":[{"dropping-particle":"","family":"Ubaedillah","given":"A.","non-dropping-particle":"","parse-names":false,"suffix":""},{"dropping-particle":"","family":"Rozak","given":"Abdul","non-dropping-particle":"","parse-names":false,"suffix":""}],"id":"ITEM-1","issued":{"date-parts":[["2008"]]},"publisher":"ICCE bekerjasama dengan Prenada Media Group","publisher-place":"Jakarta","title":"Pendidikan Kewargaan (Civic Education); Demokrasi, Hak Asasi Manusia dan Demokrasi","type":"book"},"uris":["http://www.mendeley.com/documents/?uuid=e9010f39-b1f1-4ff7-b8cb-80b7aa1225bb"]}],"mendeley":{"formattedCitation":"A. Ubaedillah dan Abdul Rozak, &lt;i&gt;Pendidikan Kewargaan (Civic Education); Demokrasi, Hak Asasi Manusia dan Demokrasi&lt;/i&gt; (Jakarta: ICCE bekerjasama dengan Prenada Media Group, 2008).","plainTextFormattedCitation":"A. Ubaedillah dan Abdul Rozak, Pendidikan Kewargaan (Civic Education); Demokrasi, Hak Asasi Manusia dan Demokrasi (Jakarta: ICCE bekerjasama dengan Prenada Media Group, 2008).","previouslyFormattedCitation":"A. Ubaedillah dan Abdul Rozak, &lt;i&gt;Pendidikan Kewargaan (Civic Education); Demokrasi, Hak Asasi Manusia dan Demokrasi&lt;/i&gt; (Jakarta: ICCE bekerjasama dengan Prenada Media Group, 2008)."},"properties":{"noteIndex":17},"schema":"https://github.com/citation-style-language/schema/raw/master/csl-citation.json"}</w:instrText>
      </w:r>
      <w:r w:rsidRPr="00A85A4F">
        <w:fldChar w:fldCharType="separate"/>
      </w:r>
      <w:r w:rsidRPr="00A85A4F">
        <w:rPr>
          <w:noProof/>
        </w:rPr>
        <w:t xml:space="preserve">A. Ubaedillah dan Abdul Rozak, </w:t>
      </w:r>
      <w:r w:rsidRPr="00A85A4F">
        <w:rPr>
          <w:i/>
          <w:noProof/>
        </w:rPr>
        <w:t>Pendidikan Kewargaan (Civic Education); Demokrasi, Hak Asasi Manusia dan Demokrasi</w:t>
      </w:r>
      <w:r w:rsidRPr="00A85A4F">
        <w:rPr>
          <w:noProof/>
        </w:rPr>
        <w:t xml:space="preserve"> (Jakarta: ICCE bekerjasama dengan Prenada Media Group, 2008).</w:t>
      </w:r>
      <w:r w:rsidRPr="00A85A4F">
        <w:fldChar w:fldCharType="end"/>
      </w:r>
    </w:p>
  </w:footnote>
  <w:footnote w:id="18">
    <w:p w14:paraId="0FEF796E" w14:textId="4B7718BF" w:rsidR="0004724C" w:rsidRPr="00A85A4F" w:rsidRDefault="0004724C" w:rsidP="004F4708">
      <w:pPr>
        <w:pStyle w:val="FootnoteText"/>
        <w:spacing w:before="0"/>
        <w:jc w:val="both"/>
      </w:pPr>
      <w:r w:rsidRPr="00A85A4F">
        <w:rPr>
          <w:rStyle w:val="FootnoteReference"/>
        </w:rPr>
        <w:footnoteRef/>
      </w:r>
      <w:r w:rsidRPr="00A85A4F">
        <w:t xml:space="preserve"> </w:t>
      </w:r>
      <w:r w:rsidRPr="00A85A4F">
        <w:fldChar w:fldCharType="begin" w:fldLock="1"/>
      </w:r>
      <w:r w:rsidR="00F07DC2">
        <w:instrText>ADDIN CSL_CITATION {"citationItems":[{"id":"ITEM-1","itemData":{"author":[{"dropping-particle":"","family":"Soepardo","given":"","non-dropping-particle":"","parse-names":false,"suffix":""},{"dropping-particle":"","family":"Hoetaoeroek","given":"M.","non-dropping-particle":"","parse-names":false,"suffix":""},{"dropping-particle":"","family":"Warsid","given":"Soeroyo","non-dropping-particle":"","parse-names":false,"suffix":""},{"dropping-particle":"","family":"Soemardjo","given":"","non-dropping-particle":"","parse-names":false,"suffix":""},{"dropping-particle":"","family":"Rasjidi","given":"Chalid","non-dropping-particle":"","parse-names":false,"suffix":""},{"dropping-particle":"","family":"Soekarno","given":"","non-dropping-particle":"","parse-names":false,"suffix":""},{"dropping-particle":"","family":"Simorangkir","given":"J.C.T.","non-dropping-particle":"","parse-names":false,"suffix":""}],"id":"ITEM-1","issued":{"date-parts":[["1963"]]},"publisher":"P.N. Balai Pustaka","publisher-place":"Djakarta","title":"Manusia dan Masjarakat Baru Indonesia (Civics)","type":"book"},"uris":["http://www.mendeley.com/documents/?uuid=b09e3015-4760-48d8-9066-de64b8375203"]}],"mendeley":{"formattedCitation":"Soepardo et al., &lt;i&gt;Manusia dan Masjarakat Baru Indonesia (Civics)&lt;/i&gt; (Djakarta: P.N. Balai Pustaka, 1963).","plainTextFormattedCitation":"Soepardo et al., Manusia dan Masjarakat Baru Indonesia (Civics) (Djakarta: P.N. Balai Pustaka, 1963).","previouslyFormattedCitation":"Soepardo et al., &lt;i&gt;Manusia dan Masjarakat Baru Indonesia (Civics)&lt;/i&gt; (Djakarta: P.N. Balai Pustaka, 1963)."},"properties":{"noteIndex":18},"schema":"https://github.com/citation-style-language/schema/raw/master/csl-citation.json"}</w:instrText>
      </w:r>
      <w:r w:rsidRPr="00A85A4F">
        <w:fldChar w:fldCharType="separate"/>
      </w:r>
      <w:r w:rsidRPr="00A85A4F">
        <w:rPr>
          <w:noProof/>
        </w:rPr>
        <w:t xml:space="preserve">Soepardo et al., </w:t>
      </w:r>
      <w:r w:rsidRPr="00A85A4F">
        <w:rPr>
          <w:i/>
          <w:noProof/>
        </w:rPr>
        <w:t>Manusia dan Masjarakat Baru Indonesia (Civics)</w:t>
      </w:r>
      <w:r w:rsidRPr="00A85A4F">
        <w:rPr>
          <w:noProof/>
        </w:rPr>
        <w:t xml:space="preserve"> (Djakarta: P.N. Balai Pustaka, 1963).</w:t>
      </w:r>
      <w:r w:rsidRPr="00A85A4F">
        <w:fldChar w:fldCharType="end"/>
      </w:r>
    </w:p>
  </w:footnote>
  <w:footnote w:id="19">
    <w:p w14:paraId="71122CFA" w14:textId="77777777" w:rsidR="00545C31" w:rsidRPr="00A85A4F" w:rsidRDefault="009B6C30" w:rsidP="004F4708">
      <w:pPr>
        <w:pStyle w:val="FootnoteText"/>
        <w:spacing w:before="0"/>
        <w:jc w:val="both"/>
      </w:pPr>
      <w:r w:rsidRPr="00A85A4F">
        <w:rPr>
          <w:rStyle w:val="FootnoteReference"/>
        </w:rPr>
        <w:footnoteRef/>
      </w:r>
      <w:r w:rsidRPr="00A85A4F">
        <w:t xml:space="preserve">Ditetapkan pada 22 Maret 1978. Untuk menindaklanjuti ketentuan ini, beragam penataran P-4 dilaksanakan sebagai agenda nasional. Presiden RI menerbitkan Inpres No. 10 Tahun 1978 yang kemudian dibentuk sebauh badan non departemen, Badan Pembinaan Pendidikan Pelaksanaan P-4 (BP-7) di tingkat pusat dan daerah. Dari data BP-7 tahun 1990-an lebih dari 90%  warga masyarakat yang berumur 6 tahun ke atas telah mengikuti pemasyarakatan P-4 dengan berbagai pola dan metode. Pada Era Reformasi yang dimulai sejak 1998, Ketetapan MPR ini dihapus melalui Ketetapan MPR No. XVIII/1998. Alasan utamanya adalah agenda P-4 sangat berbau Orde Baru yang cenderung sentralistik dan koruptif. </w:t>
      </w:r>
    </w:p>
  </w:footnote>
  <w:footnote w:id="20">
    <w:p w14:paraId="61545F9D" w14:textId="386FA410" w:rsidR="0004724C" w:rsidRPr="00A85A4F" w:rsidRDefault="0004724C" w:rsidP="004F4708">
      <w:pPr>
        <w:pStyle w:val="FootnoteText"/>
        <w:spacing w:before="0"/>
        <w:jc w:val="both"/>
      </w:pPr>
      <w:r w:rsidRPr="00A85A4F">
        <w:rPr>
          <w:rStyle w:val="FootnoteReference"/>
        </w:rPr>
        <w:footnoteRef/>
      </w:r>
      <w:r w:rsidRPr="00A85A4F">
        <w:t xml:space="preserve"> </w:t>
      </w:r>
      <w:r w:rsidRPr="00A85A4F">
        <w:fldChar w:fldCharType="begin" w:fldLock="1"/>
      </w:r>
      <w:r w:rsidR="00F07DC2">
        <w:instrText>ADDIN CSL_CITATION {"citationItems":[{"id":"ITEM-1","itemData":{"author":[{"dropping-particle":"","family":"Marzuki","given":"Suparman","non-dropping-particle":"","parse-names":false,"suffix":""},{"dropping-particle":"","family":"Melian","given":"Sobirin","non-dropping-particle":"","parse-names":false,"suffix":""}],"id":"ITEM-1","issued":{"date-parts":[["2002"]]},"publisher":"UII Press","publisher-place":"Yogyakarta","title":"Pendidikan Kewarganegaraan dan HAM","type":"book"},"uris":["http://www.mendeley.com/documents/?uuid=49eea026-a165-459e-9d68-8595a4dcc12f"]}],"mendeley":{"formattedCitation":"Suparman Marzuki dan Sobirin Melian, &lt;i&gt;Pendidikan Kewarganegaraan dan HAM&lt;/i&gt; (Yogyakarta: UII Press, 2002).","plainTextFormattedCitation":"Suparman Marzuki dan Sobirin Melian, Pendidikan Kewarganegaraan dan HAM (Yogyakarta: UII Press, 2002).","previouslyFormattedCitation":"Suparman Marzuki dan Sobirin Melian, &lt;i&gt;Pendidikan Kewarganegaraan dan HAM&lt;/i&gt; (Yogyakarta: UII Press, 2002)."},"properties":{"noteIndex":20},"schema":"https://github.com/citation-style-language/schema/raw/master/csl-citation.json"}</w:instrText>
      </w:r>
      <w:r w:rsidRPr="00A85A4F">
        <w:fldChar w:fldCharType="separate"/>
      </w:r>
      <w:r w:rsidRPr="00A85A4F">
        <w:rPr>
          <w:noProof/>
        </w:rPr>
        <w:t xml:space="preserve">Suparman Marzuki dan Sobirin Melian, </w:t>
      </w:r>
      <w:r w:rsidRPr="00A85A4F">
        <w:rPr>
          <w:i/>
          <w:noProof/>
        </w:rPr>
        <w:t>Pendidikan Kewarganegaraan dan HAM</w:t>
      </w:r>
      <w:r w:rsidRPr="00A85A4F">
        <w:rPr>
          <w:noProof/>
        </w:rPr>
        <w:t xml:space="preserve"> (Yogyakarta: UII Press, 2002).</w:t>
      </w:r>
      <w:r w:rsidRPr="00A85A4F">
        <w:fldChar w:fldCharType="end"/>
      </w:r>
    </w:p>
  </w:footnote>
  <w:footnote w:id="21">
    <w:p w14:paraId="7CE50058" w14:textId="495B974C" w:rsidR="0004724C" w:rsidRPr="00A85A4F" w:rsidRDefault="0004724C" w:rsidP="004F4708">
      <w:pPr>
        <w:pStyle w:val="FootnoteText"/>
        <w:spacing w:before="0"/>
        <w:jc w:val="both"/>
      </w:pPr>
      <w:r w:rsidRPr="00A85A4F">
        <w:rPr>
          <w:rStyle w:val="FootnoteReference"/>
        </w:rPr>
        <w:footnoteRef/>
      </w:r>
      <w:r w:rsidRPr="00A85A4F">
        <w:t xml:space="preserve"> </w:t>
      </w:r>
      <w:r w:rsidRPr="00A85A4F">
        <w:fldChar w:fldCharType="begin" w:fldLock="1"/>
      </w:r>
      <w:r w:rsidR="00CD0B06">
        <w:instrText>ADDIN CSL_CITATION {"citationItems":[{"id":"ITEM-1","itemData":{"ISBN":"9781402087448","author":[{"dropping-particle":"","family":"Fearnley-sander","given":"Mary","non-dropping-particle":"","parse-names":false,"suffix":""},{"dropping-particle":"","family":"Ella","given":"Yulaelawati","non-dropping-particle":"","parse-names":false,"suffix":""}],"chapter-number":"7","container-title":"Citizenship Curriculum in Asia and the Pacific","editor":[{"dropping-particle":"","family":"Grossman","given":"David L","non-dropping-particle":"","parse-names":false,"suffix":""},{"dropping-particle":"","family":"Lee","given":"Wing On","non-dropping-particle":"","parse-names":false,"suffix":""},{"dropping-particle":"","family":"Kennedy","given":"Kerry J","non-dropping-particle":"","parse-names":false,"suffix":""}],"id":"ITEM-1","issued":{"date-parts":[["2008"]]},"publisher":"Comparative Education Research Center, The University of Hong Kong &amp; Springer","publisher-place":"Hong Kong","title":"Citizenship Discourse in the Context of Decentralisation: The Case of Indonesia","type":"chapter"},"locator":"112-116","uris":["http://www.mendeley.com/documents/?uuid=5443d609-f99d-4fdf-97ea-cf2d5a78e753"]}],"mendeley":{"formattedCitation":"Mary Fearnley-sander dan Yulaelawati Ella, “Citizenship Discourse in the Context of Decentralisation: The Case of Indonesia,” in &lt;i&gt;Citizenship Curriculum in Asia and the Pacific&lt;/i&gt;, ed. oleh David L Grossman, Wing On Lee, dan Kerry J Kennedy (Hong Kong: Comparative Education Research Center, The University of Hong Kong &amp; Springer, 2008), hal. 112–16."},"properties":{"noteIndex":21},"schema":"https://github.com/citation-style-language/schema/raw/master/csl-citation.json"}</w:instrText>
      </w:r>
      <w:r w:rsidRPr="00A85A4F">
        <w:fldChar w:fldCharType="separate"/>
      </w:r>
      <w:r w:rsidR="00CD0B06" w:rsidRPr="00CD0B06">
        <w:rPr>
          <w:noProof/>
        </w:rPr>
        <w:t xml:space="preserve">Mary Fearnley-sander dan Yulaelawati Ella, “Citizenship Discourse in the Context of Decentralisation: The Case of Indonesia,” in </w:t>
      </w:r>
      <w:r w:rsidR="00CD0B06" w:rsidRPr="00CD0B06">
        <w:rPr>
          <w:i/>
          <w:noProof/>
        </w:rPr>
        <w:t>Citizenship Curriculum in Asia and the Pacific</w:t>
      </w:r>
      <w:r w:rsidR="00CD0B06" w:rsidRPr="00CD0B06">
        <w:rPr>
          <w:noProof/>
        </w:rPr>
        <w:t>, ed. oleh David L Grossman, Wing On Lee, dan Kerry J Kennedy (Hong Kong: Comparative Education Research Center, The University of Hong Kong &amp; Springer, 2008), hal. 112–</w:t>
      </w:r>
      <w:r w:rsidR="00CD0B06">
        <w:rPr>
          <w:noProof/>
        </w:rPr>
        <w:t>1</w:t>
      </w:r>
      <w:r w:rsidR="00CD0B06" w:rsidRPr="00CD0B06">
        <w:rPr>
          <w:noProof/>
        </w:rPr>
        <w:t>16.</w:t>
      </w:r>
      <w:r w:rsidRPr="00A85A4F">
        <w:fldChar w:fldCharType="end"/>
      </w:r>
    </w:p>
  </w:footnote>
  <w:footnote w:id="22">
    <w:p w14:paraId="784B28E6" w14:textId="3DE1FDFA" w:rsidR="00DB779B" w:rsidRPr="00A85A4F" w:rsidRDefault="00DB779B" w:rsidP="004F4708">
      <w:pPr>
        <w:pStyle w:val="FootnoteText"/>
        <w:spacing w:before="0"/>
        <w:jc w:val="both"/>
      </w:pPr>
      <w:r w:rsidRPr="00A85A4F">
        <w:rPr>
          <w:rStyle w:val="FootnoteReference"/>
        </w:rPr>
        <w:footnoteRef/>
      </w:r>
      <w:r w:rsidRPr="00A85A4F">
        <w:t xml:space="preserve"> </w:t>
      </w:r>
      <w:r w:rsidRPr="00A85A4F">
        <w:fldChar w:fldCharType="begin" w:fldLock="1"/>
      </w:r>
      <w:r w:rsidR="00F07DC2">
        <w:instrText>ADDIN CSL_CITATION {"citationItems":[{"id":"ITEM-1","itemData":{"editor":[{"dropping-particle":"","family":"Isin","given":"Engin F","non-dropping-particle":"","parse-names":false,"suffix":""},{"dropping-particle":"","family":"Turner","given":"Bryan S","non-dropping-particle":"","parse-names":false,"suffix":""}],"id":"ITEM-1","issued":{"date-parts":[["2002"]]},"publisher":"SAGE Publications","publisher-place":"London","title":"Handbook of Citizenship Studies","type":"book"},"prefix":"Dalam perkembangannya, ada empat pendekatan dalam studi kewarganegaraan, yakni (1) republikan; (2) liberal; (3) komunitarianisme; dan (4) Demokratik radikal. Lebih lanjut dapat dilihat ","uris":["http://www.mendeley.com/documents/?uuid=f3c2a220-8ebb-4755-970b-a223d3959fd9"]}],"mendeley":{"formattedCitation":"Dalam perkembangannya, ada empat pendekatan dalam studi kewarganegaraan, yakni (1) republikan; (2) liberal; (3) komunitarianisme; dan (4) Demokratik radikal. Lebih lanjut dapat dilihat &lt;i&gt;Handbook of Citizenship Studies&lt;/i&gt;, ed. oleh Engin F Isin dan Bryan S Turner (London: SAGE Publications, 2002).","plainTextFormattedCitation":"Dalam perkembangannya, ada empat pendekatan dalam studi kewarganegaraan, yakni (1) republikan; (2) liberal; (3) komunitarianisme; dan (4) Demokratik radikal. Lebih lanjut dapat dilihat Handbook of Citizenship Studies, ed. oleh Engin F Isin dan Bryan S Turner (London: SAGE Publications, 2002).","previouslyFormattedCitation":"Dalam perkembangannya, ada empat pendekatan dalam studi kewarganegaraan, yakni (1) republikan; (2) liberal; (3) komunitarianisme; dan (4) Demokratik radikal. Lebih lanjut dapat dilihat &lt;i&gt;Handbook of Citizenship Studies&lt;/i&gt;, ed. oleh Engin F Isin dan Bryan S Turner (London: SAGE Publications, 2002)."},"properties":{"noteIndex":22},"schema":"https://github.com/citation-style-language/schema/raw/master/csl-citation.json"}</w:instrText>
      </w:r>
      <w:r w:rsidRPr="00A85A4F">
        <w:fldChar w:fldCharType="separate"/>
      </w:r>
      <w:r w:rsidR="00C15609" w:rsidRPr="00A85A4F">
        <w:rPr>
          <w:noProof/>
        </w:rPr>
        <w:t xml:space="preserve">Dalam perkembangannya, ada empat pendekatan dalam studi kewarganegaraan, yakni (1) republikan; (2) liberal; (3) komunitarianisme; dan (4) Demokratik radikal. Lebih lanjut dapat dilihat </w:t>
      </w:r>
      <w:r w:rsidR="00C15609" w:rsidRPr="00A85A4F">
        <w:rPr>
          <w:i/>
          <w:noProof/>
        </w:rPr>
        <w:t>Handbook of Citizenship Studies</w:t>
      </w:r>
      <w:r w:rsidR="00C15609" w:rsidRPr="00A85A4F">
        <w:rPr>
          <w:noProof/>
        </w:rPr>
        <w:t>, ed. oleh Engin F Isin dan Bryan S Turner (London: SAGE Publications, 2002).</w:t>
      </w:r>
      <w:r w:rsidRPr="00A85A4F">
        <w:fldChar w:fldCharType="end"/>
      </w:r>
    </w:p>
  </w:footnote>
  <w:footnote w:id="23">
    <w:p w14:paraId="766D0659" w14:textId="462980A5" w:rsidR="00C15609" w:rsidRPr="00A85A4F" w:rsidRDefault="00C15609" w:rsidP="004F4708">
      <w:pPr>
        <w:pStyle w:val="FootnoteText"/>
        <w:spacing w:before="0"/>
        <w:jc w:val="both"/>
      </w:pPr>
      <w:r w:rsidRPr="00A85A4F">
        <w:rPr>
          <w:rStyle w:val="FootnoteReference"/>
        </w:rPr>
        <w:footnoteRef/>
      </w:r>
      <w:r w:rsidRPr="00A85A4F">
        <w:t xml:space="preserve"> </w:t>
      </w:r>
      <w:r w:rsidRPr="00A85A4F">
        <w:fldChar w:fldCharType="begin" w:fldLock="1"/>
      </w:r>
      <w:r w:rsidR="00F07DC2">
        <w:instrText>ADDIN CSL_CITATION {"citationItems":[{"id":"ITEM-1","itemData":{"ISBN":"9786026470027","author":[{"dropping-particle":"","family":"Nurwardani","given":"Paristiyanti","non-dropping-particle":"","parse-names":false,"suffix":""},{"dropping-particle":"","family":"Saksama","given":"Hestu Yoga","non-dropping-particle":"","parse-names":false,"suffix":""},{"dropping-particle":"","family":"Winataputra","given":"Udin S","non-dropping-particle":"","parse-names":false,"suffix":""},{"dropping-particle":"","family":"Budimansyah","given":"Dasim","non-dropping-particle":"","parse-names":false,"suffix":""},{"dropping-particle":"","family":"Sapriya","given":"","non-dropping-particle":"","parse-names":false,"suffix":""},{"dropping-particle":"","family":"Winarno","given":"","non-dropping-particle":"","parse-names":false,"suffix":""},{"dropping-particle":"","family":"Mulyono","given":"Edi","non-dropping-particle":"","parse-names":false,"suffix":""},{"dropping-particle":"","family":"Prawatyani","given":"Sanityas Jukti","non-dropping-particle":"","parse-names":false,"suffix":""},{"dropping-particle":"","family":"Anwar","given":"Aan Almaidah","non-dropping-particle":"","parse-names":false,"suffix":""},{"dropping-particle":"","family":"Evawany","given":"","non-dropping-particle":"","parse-names":false,"suffix":""},{"dropping-particle":"","family":"Priyautama","given":"Fajar","non-dropping-particle":"","parse-names":false,"suffix":""},{"dropping-particle":"","family":"Festanto","given":"Ary","non-dropping-particle":"","parse-names":false,"suffix":""}],"id":"ITEM-1","issued":{"date-parts":[["2016"]]},"publisher":"Direktorat Jenderal Pembelajaran dan Kemahasiswaan Kementerian Riset, Teknologi, dan Pendidikan Tinggi Republik","publisher-place":"Jakarta","title":"Pendidikan Kewarganegaraan untuk Perguruan Tinggi","type":"book"},"prefix":"Dapat dilihat dalam ","suffix":"khususnya pada Bab V","uris":["http://www.mendeley.com/documents/?uuid=30965a91-d5cb-4fed-b308-f96cc9213e0a"]}],"mendeley":{"formattedCitation":"Dapat dilihat dalam Nurwardani et al. khususnya pada Bab V.","plainTextFormattedCitation":"Dapat dilihat dalam Nurwardani et al. khususnya pada Bab V.","previouslyFormattedCitation":"Dapat dilihat dalam Nurwardani et al. khususnya pada Bab V."},"properties":{"noteIndex":23},"schema":"https://github.com/citation-style-language/schema/raw/master/csl-citation.json"}</w:instrText>
      </w:r>
      <w:r w:rsidRPr="00A85A4F">
        <w:fldChar w:fldCharType="separate"/>
      </w:r>
      <w:r w:rsidRPr="00A85A4F">
        <w:rPr>
          <w:noProof/>
        </w:rPr>
        <w:t>Dapat dilihat dalam Nurwardani et al. khususnya pada Bab V.</w:t>
      </w:r>
      <w:r w:rsidRPr="00A85A4F">
        <w:fldChar w:fldCharType="end"/>
      </w:r>
    </w:p>
  </w:footnote>
  <w:footnote w:id="24">
    <w:p w14:paraId="4F997BD8" w14:textId="59C80916" w:rsidR="00C15609" w:rsidRPr="00A85A4F" w:rsidRDefault="00C15609" w:rsidP="004F4708">
      <w:pPr>
        <w:pStyle w:val="FootnoteText"/>
        <w:spacing w:before="0"/>
        <w:jc w:val="both"/>
      </w:pPr>
      <w:r w:rsidRPr="00A85A4F">
        <w:rPr>
          <w:rStyle w:val="FootnoteReference"/>
        </w:rPr>
        <w:footnoteRef/>
      </w:r>
      <w:r w:rsidRPr="00A85A4F">
        <w:t xml:space="preserve"> </w:t>
      </w:r>
      <w:r w:rsidRPr="00A85A4F">
        <w:fldChar w:fldCharType="begin" w:fldLock="1"/>
      </w:r>
      <w:r w:rsidR="00CD0B06">
        <w:instrText>ADDIN CSL_CITATION {"citationItems":[{"id":"ITEM-1","itemData":{"DOI":"10.1080/00071005.2019.1676009","ISBN":"9789811363856","ISSN":"0007-1005","author":[{"dropping-particle":"","family":"Kennedy","given":"Kerry J","non-dropping-particle":"","parse-names":false,"suffix":""}],"id":"ITEM-1","issued":{"date-parts":[["2019"]]},"publisher":"Springer","publisher-place":"Singapore","title":"Civic and Citizenship Education in Volatile Times: Preparing Students for Citizenship in the 21st Century","type":"book"},"locator":"41","uris":["http://www.mendeley.com/documents/?uuid=0872c68b-50d0-43e3-b4c5-2415394d4b1a"]}],"mendeley":{"formattedCitation":"Kerry J Kennedy, &lt;i&gt;Civic and Citizenship Education in Volatile Times: Preparing Students for Citizenship in the 21st Century&lt;/i&gt; (Singapore: Springer, 2019), hal. 41 &lt;https://doi.org/10.1080/00071005.2019.1676009&gt;."},"properties":{"noteIndex":24},"schema":"https://github.com/citation-style-language/schema/raw/master/csl-citation.json"}</w:instrText>
      </w:r>
      <w:r w:rsidRPr="00A85A4F">
        <w:fldChar w:fldCharType="separate"/>
      </w:r>
      <w:r w:rsidR="00CD0B06" w:rsidRPr="00CD0B06">
        <w:rPr>
          <w:noProof/>
        </w:rPr>
        <w:t xml:space="preserve">Kerry J Kennedy, </w:t>
      </w:r>
      <w:r w:rsidR="00CD0B06" w:rsidRPr="00CD0B06">
        <w:rPr>
          <w:i/>
          <w:noProof/>
        </w:rPr>
        <w:t>Civic and Citizenship Education in Volatile Times: Preparing Students for Citizenship in the 21st Century</w:t>
      </w:r>
      <w:r w:rsidR="00CD0B06" w:rsidRPr="00CD0B06">
        <w:rPr>
          <w:noProof/>
        </w:rPr>
        <w:t xml:space="preserve"> (Singapore: Springer, 2019), hal. 41.</w:t>
      </w:r>
      <w:r w:rsidRPr="00A85A4F">
        <w:fldChar w:fldCharType="end"/>
      </w:r>
    </w:p>
  </w:footnote>
  <w:footnote w:id="25">
    <w:p w14:paraId="4E30DC84" w14:textId="6A117FF5" w:rsidR="00C15609" w:rsidRPr="00A85A4F" w:rsidRDefault="00C15609" w:rsidP="004F4708">
      <w:pPr>
        <w:pStyle w:val="FootnoteText"/>
        <w:spacing w:before="0"/>
        <w:jc w:val="both"/>
      </w:pPr>
      <w:r w:rsidRPr="00A85A4F">
        <w:rPr>
          <w:rStyle w:val="FootnoteReference"/>
        </w:rPr>
        <w:footnoteRef/>
      </w:r>
      <w:r w:rsidRPr="00A85A4F">
        <w:t xml:space="preserve"> </w:t>
      </w:r>
      <w:r w:rsidRPr="00A85A4F">
        <w:fldChar w:fldCharType="begin" w:fldLock="1"/>
      </w:r>
      <w:r w:rsidR="00F07DC2">
        <w:instrText>ADDIN CSL_CITATION {"citationItems":[{"id":"ITEM-1","itemData":{"ISBN":"9789881785220","author":[{"dropping-particle":"","family":"Liem","given":"Gregory Arief D.","non-dropping-particle":"","parse-names":false,"suffix":""},{"dropping-particle":"","family":"Mcinerney","given":"Dennis M.","non-dropping-particle":"","parse-names":false,"suffix":""}],"chapter-number":"7","container-title":"Citizenship Pedagogies in Asia and The Pacific","editor":[{"dropping-particle":"","family":"Kennedy","given":"Kerry J","non-dropping-particle":"","parse-names":false,"suffix":""},{"dropping-particle":"","family":"Lee","given":"Wing On","non-dropping-particle":"","parse-names":false,"suffix":""},{"dropping-particle":"","family":"Grossman","given":"David L.","non-dropping-particle":"","parse-names":false,"suffix":""}],"id":"ITEM-1","issued":{"date-parts":[["2010"]]},"page":"149-174","publisher":"Springer &amp; Comparative Education Research Center, The University of Hong Kong","publisher-place":"Hong Kong","title":"Indonesian Students and Their Citizenship-Relayed Attributes: Implications for Instructional Strategies and Pedagogical Practices in Civic Education","type":"chapter"},"locator":"170","uris":["http://www.mendeley.com/documents/?uuid=56c13bc3-47d9-44eb-a38b-fd041aea0dd8"]}],"mendeley":{"formattedCitation":"Gregory Arief D. Liem dan Dennis M. Mcinerney, “Indonesian Students and Their Citizenship-Relayed Attributes: Implications for Instructional Strategies and Pedagogical Practices in Civic Education,” in &lt;i&gt;Citizenship Pedagogies in Asia and The Pacific&lt;/i&gt;, ed. oleh Kerry J Kennedy, Wing On Lee, dan David L. Grossman (Hong Kong: Springer &amp; Comparative Education Research Center, The University of Hong Kong, 2010), hal. 149–74 (hal. 170).","plainTextFormattedCitation":"Gregory Arief D. Liem dan Dennis M. Mcinerney, “Indonesian Students and Their Citizenship-Relayed Attributes: Implications for Instructional Strategies and Pedagogical Practices in Civic Education,” in Citizenship Pedagogies in Asia and The Pacific, ed. oleh Kerry J Kennedy, Wing On Lee, dan David L. Grossman (Hong Kong: Springer &amp; Comparative Education Research Center, The University of Hong Kong, 2010), hal. 149–74 (hal. 170).","previouslyFormattedCitation":"Gregory Arief D. Liem dan Dennis M. Mcinerney, “Indonesian Students and Their Citizenship-Relayed Attributes: Implications for Instructional Strategies and Pedagogical Practices in Civic Education,” in &lt;i&gt;Citizenship Pedagogies in Asia and The Pacific&lt;/i&gt;, ed. oleh Kerry J Kennedy, Wing On Lee, dan David L. Grossman (Hong Kong: Springer &amp; Comparative Education Research Center, The University of Hong Kong, 2010), hal. 149–74 (hal. 170)."},"properties":{"noteIndex":25},"schema":"https://github.com/citation-style-language/schema/raw/master/csl-citation.json"}</w:instrText>
      </w:r>
      <w:r w:rsidRPr="00A85A4F">
        <w:fldChar w:fldCharType="separate"/>
      </w:r>
      <w:r w:rsidRPr="00A85A4F">
        <w:rPr>
          <w:noProof/>
        </w:rPr>
        <w:t xml:space="preserve">Gregory Arief D. Liem dan Dennis M. Mcinerney, “Indonesian Students and Their Citizenship-Relayed Attributes: Implications for Instructional Strategies and Pedagogical Practices in Civic Education,” in </w:t>
      </w:r>
      <w:r w:rsidRPr="00A85A4F">
        <w:rPr>
          <w:i/>
          <w:noProof/>
        </w:rPr>
        <w:t>Citizenship Pedagogies in Asia and The Pacific</w:t>
      </w:r>
      <w:r w:rsidRPr="00A85A4F">
        <w:rPr>
          <w:noProof/>
        </w:rPr>
        <w:t>, ed. oleh Kerry J Kennedy, Wing On Lee, dan David L. Grossman (Hong Kong: Springer &amp; Comparative Education Research Center, The University of Hong Kong, 2010), hal. 149–</w:t>
      </w:r>
      <w:r w:rsidR="00CD0B06">
        <w:rPr>
          <w:noProof/>
        </w:rPr>
        <w:t>1</w:t>
      </w:r>
      <w:r w:rsidRPr="00A85A4F">
        <w:rPr>
          <w:noProof/>
        </w:rPr>
        <w:t>74 (hal. 170).</w:t>
      </w:r>
      <w:r w:rsidRPr="00A85A4F">
        <w:fldChar w:fldCharType="end"/>
      </w:r>
    </w:p>
  </w:footnote>
  <w:footnote w:id="26">
    <w:p w14:paraId="4388A5FE" w14:textId="324648B4" w:rsidR="00C15609" w:rsidRPr="00A85A4F" w:rsidRDefault="00C15609" w:rsidP="004F4708">
      <w:pPr>
        <w:pStyle w:val="FootnoteText"/>
        <w:spacing w:before="0"/>
        <w:jc w:val="both"/>
      </w:pPr>
      <w:r w:rsidRPr="00A85A4F">
        <w:rPr>
          <w:rStyle w:val="FootnoteReference"/>
        </w:rPr>
        <w:footnoteRef/>
      </w:r>
      <w:r w:rsidRPr="00A85A4F">
        <w:t xml:space="preserve"> </w:t>
      </w:r>
      <w:r w:rsidRPr="00A85A4F">
        <w:fldChar w:fldCharType="begin" w:fldLock="1"/>
      </w:r>
      <w:r w:rsidR="00F07DC2">
        <w:instrText>ADDIN CSL_CITATION {"citationItems":[{"id":"ITEM-1","itemData":{"author":[{"dropping-particle":"","family":"Gearon","given":"Liam","non-dropping-particle":"","parse-names":false,"suffix":""}],"chapter-number":"10","container-title":"The Palgrave International Handbook of Education for Citizenship and Social Justice","editor":[{"dropping-particle":"","family":"Peterson","given":"Andrew","non-dropping-particle":"","parse-names":false,"suffix":""},{"dropping-particle":"","family":"Walter","given":"Robert","non-dropping-particle":"","parse-names":false,"suffix":""},{"dropping-particle":"","family":"Zembylas","given":"Michalinos","non-dropping-particle":"","parse-names":false,"suffix":""},{"dropping-particle":"","family":"Arthur","given":"James","non-dropping-particle":"","parse-names":false,"suffix":""}],"id":"ITEM-1","issued":{"date-parts":[["0"]]},"publisher":"Palgrave Macmillan","publisher-place":"London","title":"Global Human Rights","type":"chapter"},"locator":"205","uris":["http://www.mendeley.com/documents/?uuid=28b3c45b-b04f-4c8f-915a-4fdb6f5b944e"]}],"mendeley":{"formattedCitation":"Liam Gearon, “Global Human Rights,” in &lt;i&gt;The Palgrave International Handbook of Education for Citizenship and Social Justice&lt;/i&gt;, ed. oleh Andrew Peterson et al. (London: Palgrave Macmillan), hal. 205.","plainTextFormattedCitation":"Liam Gearon, “Global Human Rights,” in The Palgrave International Handbook of Education for Citizenship and Social Justice, ed. oleh Andrew Peterson et al. (London: Palgrave Macmillan), hal. 205.","previouslyFormattedCitation":"Liam Gearon, “Global Human Rights,” in &lt;i&gt;The Palgrave International Handbook of Education for Citizenship and Social Justice&lt;/i&gt;, ed. oleh Andrew Peterson et al. (London: Palgrave Macmillan), hal. 205."},"properties":{"noteIndex":26},"schema":"https://github.com/citation-style-language/schema/raw/master/csl-citation.json"}</w:instrText>
      </w:r>
      <w:r w:rsidRPr="00A85A4F">
        <w:fldChar w:fldCharType="separate"/>
      </w:r>
      <w:r w:rsidRPr="00A85A4F">
        <w:rPr>
          <w:noProof/>
        </w:rPr>
        <w:t xml:space="preserve">Liam Gearon, “Global Human Rights,” in </w:t>
      </w:r>
      <w:r w:rsidRPr="00A85A4F">
        <w:rPr>
          <w:i/>
          <w:noProof/>
        </w:rPr>
        <w:t>The Palgrave International Handbook of Education for Citizenship and Social Justice</w:t>
      </w:r>
      <w:r w:rsidRPr="00A85A4F">
        <w:rPr>
          <w:noProof/>
        </w:rPr>
        <w:t>, ed. oleh Andrew Peterson et al. (London: Palgrave Macmillan), hal. 205.</w:t>
      </w:r>
      <w:r w:rsidRPr="00A85A4F">
        <w:fldChar w:fldCharType="end"/>
      </w:r>
    </w:p>
  </w:footnote>
  <w:footnote w:id="27">
    <w:p w14:paraId="6C54ECA5" w14:textId="71CB280B" w:rsidR="00C15609" w:rsidRPr="00A85A4F" w:rsidRDefault="00C15609" w:rsidP="004F4708">
      <w:pPr>
        <w:pStyle w:val="FootnoteText"/>
        <w:spacing w:before="0"/>
        <w:jc w:val="both"/>
      </w:pPr>
      <w:r w:rsidRPr="00A85A4F">
        <w:rPr>
          <w:rStyle w:val="FootnoteReference"/>
        </w:rPr>
        <w:footnoteRef/>
      </w:r>
      <w:r w:rsidRPr="00A85A4F">
        <w:t xml:space="preserve"> </w:t>
      </w:r>
      <w:r w:rsidRPr="00A85A4F">
        <w:fldChar w:fldCharType="begin" w:fldLock="1"/>
      </w:r>
      <w:r w:rsidR="00F07DC2">
        <w:instrText>ADDIN CSL_CITATION {"citationItems":[{"id":"ITEM-1","itemData":{"author":[{"dropping-particle":"","family":"Gundara","given":"Jagdish","non-dropping-particle":"","parse-names":false,"suffix":""}],"chapter-number":"3","container-title":"Education for Citizenship","editor":[{"dropping-particle":"","family":"Lawton","given":"Denis","non-dropping-particle":"","parse-names":false,"suffix":""},{"dropping-particle":"","family":"Cairns","given":"Jo","non-dropping-particle":"","parse-names":false,"suffix":""},{"dropping-particle":"","family":"Gardner","given":"Roy","non-dropping-particle":"","parse-names":false,"suffix":""}],"id":"ITEM-1","issued":{"date-parts":[["2000"]]},"page":"14-26","publisher":"Continuum","publisher-place":"London dan New York","title":"Social Diversity, Inclusiveness and Citizenship Education","type":"chapter"},"locator":"19","uris":["http://www.mendeley.com/documents/?uuid=db978759-e710-4feb-9fd3-7149185ca4da"]}],"mendeley":{"formattedCitation":"Jagdish Gundara, “Social Diversity, Inclusiveness and Citizenship Education,” in &lt;i&gt;Education for Citizenship&lt;/i&gt;, ed. oleh Denis Lawton, Jo Cairns, dan Roy Gardner (London dan New York: Continuum, 2000), hal. 14–26 (hal. 19).","plainTextFormattedCitation":"Jagdish Gundara, “Social Diversity, Inclusiveness and Citizenship Education,” in Education for Citizenship, ed. oleh Denis Lawton, Jo Cairns, dan Roy Gardner (London dan New York: Continuum, 2000), hal. 14–26 (hal. 19).","previouslyFormattedCitation":"Jagdish Gundara, “Social Diversity, Inclusiveness and Citizenship Education,” in &lt;i&gt;Education for Citizenship&lt;/i&gt;, ed. oleh Denis Lawton, Jo Cairns, dan Roy Gardner (London dan New York: Continuum, 2000), hal. 14–26 (hal. 19)."},"properties":{"noteIndex":27},"schema":"https://github.com/citation-style-language/schema/raw/master/csl-citation.json"}</w:instrText>
      </w:r>
      <w:r w:rsidRPr="00A85A4F">
        <w:fldChar w:fldCharType="separate"/>
      </w:r>
      <w:r w:rsidRPr="00A85A4F">
        <w:rPr>
          <w:noProof/>
        </w:rPr>
        <w:t xml:space="preserve">Jagdish Gundara, “Social Diversity, Inclusiveness and Citizenship Education,” in </w:t>
      </w:r>
      <w:r w:rsidRPr="00A85A4F">
        <w:rPr>
          <w:i/>
          <w:noProof/>
        </w:rPr>
        <w:t>Education for Citizenship</w:t>
      </w:r>
      <w:r w:rsidRPr="00A85A4F">
        <w:rPr>
          <w:noProof/>
        </w:rPr>
        <w:t>, ed. oleh Denis Lawton, Jo Cairns, dan Roy Gardner (London dan New York: Continuum, 2000), hal. 14–26 (hal. 19).</w:t>
      </w:r>
      <w:r w:rsidRPr="00A85A4F">
        <w:fldChar w:fldCharType="end"/>
      </w:r>
    </w:p>
  </w:footnote>
  <w:footnote w:id="28">
    <w:p w14:paraId="11075AF3" w14:textId="2E08C81F" w:rsidR="00C15609" w:rsidRPr="00A85A4F" w:rsidRDefault="00C15609" w:rsidP="004F4708">
      <w:pPr>
        <w:pStyle w:val="FootnoteText"/>
        <w:spacing w:before="0"/>
        <w:jc w:val="both"/>
      </w:pPr>
      <w:r w:rsidRPr="00A85A4F">
        <w:rPr>
          <w:rStyle w:val="FootnoteReference"/>
        </w:rPr>
        <w:footnoteRef/>
      </w:r>
      <w:r w:rsidRPr="00A85A4F">
        <w:t xml:space="preserve"> </w:t>
      </w:r>
      <w:r w:rsidRPr="00A85A4F">
        <w:fldChar w:fldCharType="begin" w:fldLock="1"/>
      </w:r>
      <w:r w:rsidR="00F07DC2">
        <w:instrText>ADDIN CSL_CITATION {"citationItems":[{"id":"ITEM-1","itemData":{"ISBN":"9781847060587","ISSN":"2049-9558","abstract":"Rethinking Citizenship Education presents a fundamental reassessment of the field. Drawing on empirical research, the book argues that attempting to transmit preconceived notions of citizenship through schools is both unviable and undesirable. The notion of 'curricular transposition' is introduced, a framework for understanding the changes undergone in the passage between the ideals of citizenship, the curricular programmes designed to achieve them, their implementation in practice and the effects on students. The 'leaps' between these different stages make the project of forming students in a. Current tensions in citizenship education. Mapping citizenship ; Tensions and disjunctures in citizenship education at the start of the twenty-first century ; Paulo Freire v. Bernard Crick ; Student participation: towards a prefigurative conception -- Understanding processes. A theory of curricular transposition ; Three Brazilian experiences ; Relating ends and means ; Enactment at work -- Responses. Seamless enactment ; The uncertain journey.","author":[{"dropping-particle":"","family":"Mccowan","given":"Tristan","non-dropping-particle":"","parse-names":false,"suffix":""}],"id":"ITEM-1","issued":{"date-parts":[["2010"]]},"publisher":"Continuum","publisher-place":"London dan New York","title":"Rethinking Citizenship Education: A Curriculum for Participatory Democracy","type":"book"},"locator":"19","uris":["http://www.mendeley.com/documents/?uuid=c8681873-1d98-4b65-8b95-80c276a55d82"]}],"mendeley":{"formattedCitation":"Tristan Mccowan, &lt;i&gt;Rethinking Citizenship Education: A Curriculum for Participatory Democracy&lt;/i&gt; (London dan New York: Continuum, 2010), hal. 19.","plainTextFormattedCitation":"Tristan Mccowan, Rethinking Citizenship Education: A Curriculum for Participatory Democracy (London dan New York: Continuum, 2010), hal. 19.","previouslyFormattedCitation":"Tristan Mccowan, &lt;i&gt;Rethinking Citizenship Education: A Curriculum for Participatory Democracy&lt;/i&gt; (London dan New York: Continuum, 2010), hal. 19."},"properties":{"noteIndex":28},"schema":"https://github.com/citation-style-language/schema/raw/master/csl-citation.json"}</w:instrText>
      </w:r>
      <w:r w:rsidRPr="00A85A4F">
        <w:fldChar w:fldCharType="separate"/>
      </w:r>
      <w:r w:rsidRPr="00A85A4F">
        <w:rPr>
          <w:noProof/>
        </w:rPr>
        <w:t xml:space="preserve">Tristan Mccowan, </w:t>
      </w:r>
      <w:r w:rsidRPr="00A85A4F">
        <w:rPr>
          <w:i/>
          <w:noProof/>
        </w:rPr>
        <w:t>Rethinking Citizenship Education: A Curriculum for Participatory Democracy</w:t>
      </w:r>
      <w:r w:rsidRPr="00A85A4F">
        <w:rPr>
          <w:noProof/>
        </w:rPr>
        <w:t xml:space="preserve"> (London dan New York: Continuum, 2010), hal. 19.</w:t>
      </w:r>
      <w:r w:rsidRPr="00A85A4F">
        <w:fldChar w:fldCharType="end"/>
      </w:r>
    </w:p>
  </w:footnote>
  <w:footnote w:id="29">
    <w:p w14:paraId="6238CA0F" w14:textId="3C66DA95" w:rsidR="00C15609" w:rsidRPr="00A85A4F" w:rsidRDefault="00C15609" w:rsidP="004F4708">
      <w:pPr>
        <w:pStyle w:val="FootnoteText"/>
        <w:spacing w:before="0"/>
        <w:jc w:val="both"/>
      </w:pPr>
      <w:r w:rsidRPr="00A85A4F">
        <w:rPr>
          <w:rStyle w:val="FootnoteReference"/>
        </w:rPr>
        <w:footnoteRef/>
      </w:r>
      <w:r w:rsidRPr="00A85A4F">
        <w:t xml:space="preserve"> </w:t>
      </w:r>
      <w:r w:rsidRPr="00A85A4F">
        <w:fldChar w:fldCharType="begin" w:fldLock="1"/>
      </w:r>
      <w:r w:rsidR="00F07DC2">
        <w:instrText>ADDIN CSL_CITATION {"citationItems":[{"id":"ITEM-1","itemData":{"DOI":"10.1177/019263654002409417","ISBN":"9789287169204","ISSN":"19301405","author":[{"dropping-particle":"","family":"Gollob","given":"Rolf","non-dropping-particle":"","parse-names":false,"suffix":""},{"dropping-particle":"","family":"Krapf","given":"Peter","non-dropping-particle":"","parse-names":false,"suffix":""},{"dropping-particle":"","family":"Ólafsdóttir","given":"Ólöf","non-dropping-particle":"","parse-names":false,"suffix":""},{"dropping-particle":"","family":"Weidinger","given":"Wiltrud","non-dropping-particle":"","parse-names":false,"suffix":""}],"editor":[{"dropping-particle":"","family":"Gollob","given":"Rolf","non-dropping-particle":"","parse-names":false,"suffix":""},{"dropping-particle":"","family":"Krapf","given":"Peter","non-dropping-particle":"","parse-names":false,"suffix":""},{"dropping-particle":"","family":"Weidinger","given":"Wiltrud","non-dropping-particle":"","parse-names":false,"suffix":""}],"id":"ITEM-1","issued":{"date-parts":[["0"]]},"publisher":"Council of Europe Publishing","publisher-place":"Belgium","title":"Educating for Democracy: Background Materials on Democratic Citizenship and Human Rights Education for Teachers","type":"book"},"locator":"19","uris":["http://www.mendeley.com/documents/?uuid=400bca68-5473-4c7c-854c-43caee07e1ff"]}],"mendeley":{"formattedCitation":"Rolf Gollob et al., &lt;i&gt;Educating for Democracy: Background Materials on Democratic Citizenship and Human Rights Education for Teachers&lt;/i&gt;, ed. oleh Rolf Gollob, Peter Krapf, dan Wiltrud Weidinger (Belgium: Council of Europe Publishing), hal. 19 &lt;https://doi.org/10.1177/019263654002409417&gt;.","plainTextFormattedCitation":"Rolf Gollob et al., Educating for Democracy: Background Materials on Democratic Citizenship and Human Rights Education for Teachers, ed. oleh Rolf Gollob, Peter Krapf, dan Wiltrud Weidinger (Belgium: Council of Europe Publishing), hal. 19 .","previouslyFormattedCitation":"Rolf Gollob et al., &lt;i&gt;Educating for Democracy: Background Materials on Democratic Citizenship and Human Rights Education for Teachers&lt;/i&gt;, ed. oleh Rolf Gollob, Peter Krapf, dan Wiltrud Weidinger (Belgium: Council of Europe Publishing), hal. 19 &lt;https://doi.org/10.1177/019263654002409417&gt;."},"properties":{"noteIndex":29},"schema":"https://github.com/citation-style-language/schema/raw/master/csl-citation.json"}</w:instrText>
      </w:r>
      <w:r w:rsidRPr="00A85A4F">
        <w:fldChar w:fldCharType="separate"/>
      </w:r>
      <w:r w:rsidR="00CD0B06" w:rsidRPr="00CD0B06">
        <w:rPr>
          <w:noProof/>
        </w:rPr>
        <w:t xml:space="preserve">Rolf Gollob et al., </w:t>
      </w:r>
      <w:r w:rsidR="00CD0B06" w:rsidRPr="00CD0B06">
        <w:rPr>
          <w:i/>
          <w:noProof/>
        </w:rPr>
        <w:t>Educating for Democracy: Background Materials on Democratic Citizenship and Human Rights Education for Teachers</w:t>
      </w:r>
      <w:r w:rsidR="00CD0B06" w:rsidRPr="00CD0B06">
        <w:rPr>
          <w:noProof/>
        </w:rPr>
        <w:t>, ed. oleh Rolf Gollob, Peter Krapf, dan Wiltrud Weidinger (Belgium: Council of Europe Publishing), hal. 19.</w:t>
      </w:r>
      <w:r w:rsidRPr="00A85A4F">
        <w:fldChar w:fldCharType="end"/>
      </w:r>
    </w:p>
  </w:footnote>
  <w:footnote w:id="30">
    <w:p w14:paraId="37AC7A9D" w14:textId="703BBCE1" w:rsidR="00C15609" w:rsidRPr="00A85A4F" w:rsidRDefault="00C15609" w:rsidP="004F4708">
      <w:pPr>
        <w:pStyle w:val="FootnoteText"/>
        <w:spacing w:before="0"/>
        <w:jc w:val="both"/>
      </w:pPr>
      <w:r w:rsidRPr="00A85A4F">
        <w:rPr>
          <w:rStyle w:val="FootnoteReference"/>
        </w:rPr>
        <w:footnoteRef/>
      </w:r>
      <w:r w:rsidRPr="00A85A4F">
        <w:t xml:space="preserve"> </w:t>
      </w:r>
      <w:r w:rsidRPr="00A85A4F">
        <w:fldChar w:fldCharType="begin" w:fldLock="1"/>
      </w:r>
      <w:r w:rsidR="00F07DC2">
        <w:instrText>ADDIN CSL_CITATION {"citationItems":[{"id":"ITEM-1","itemData":{"author":[{"dropping-particle":"","family":"Bellamy","given":"Richard","non-dropping-particle":"","parse-names":false,"suffix":""}],"id":"ITEM-1","issued":{"date-parts":[["2008"]]},"publisher":"Oxford University Press","publisher-place":"Oxford","title":"Citizenship: A Very Short Introduction","type":"book"},"locator":"82","uris":["http://www.mendeley.com/documents/?uuid=8e9d3fdd-bb4d-4051-af6c-73a255872def"]}],"mendeley":{"formattedCitation":"Richard Bellamy, &lt;i&gt;Citizenship: A Very Short Introduction&lt;/i&gt; (Oxford: Oxford University Press, 2008), hal. 82.","plainTextFormattedCitation":"Richard Bellamy, Citizenship: A Very Short Introduction (Oxford: Oxford University Press, 2008), hal. 82.","previouslyFormattedCitation":"Richard Bellamy, &lt;i&gt;Citizenship: A Very Short Introduction&lt;/i&gt; (Oxford: Oxford University Press, 2008), hal. 82."},"properties":{"noteIndex":30},"schema":"https://github.com/citation-style-language/schema/raw/master/csl-citation.json"}</w:instrText>
      </w:r>
      <w:r w:rsidRPr="00A85A4F">
        <w:fldChar w:fldCharType="separate"/>
      </w:r>
      <w:r w:rsidRPr="00A85A4F">
        <w:rPr>
          <w:noProof/>
        </w:rPr>
        <w:t xml:space="preserve">Richard Bellamy, </w:t>
      </w:r>
      <w:r w:rsidRPr="00A85A4F">
        <w:rPr>
          <w:i/>
          <w:noProof/>
        </w:rPr>
        <w:t>Citizenship: A Very Short Introduction</w:t>
      </w:r>
      <w:r w:rsidRPr="00A85A4F">
        <w:rPr>
          <w:noProof/>
        </w:rPr>
        <w:t xml:space="preserve"> (Oxford: Oxford University Press, 2008), hal. 82.</w:t>
      </w:r>
      <w:r w:rsidRPr="00A85A4F">
        <w:fldChar w:fldCharType="end"/>
      </w:r>
    </w:p>
  </w:footnote>
  <w:footnote w:id="31">
    <w:p w14:paraId="6EE8B8B7" w14:textId="7B3B27A6" w:rsidR="00C15609" w:rsidRPr="00A85A4F" w:rsidRDefault="00C15609" w:rsidP="004F4708">
      <w:pPr>
        <w:pStyle w:val="FootnoteText"/>
        <w:spacing w:before="0"/>
        <w:jc w:val="both"/>
      </w:pPr>
      <w:r w:rsidRPr="00A85A4F">
        <w:rPr>
          <w:rStyle w:val="FootnoteReference"/>
        </w:rPr>
        <w:footnoteRef/>
      </w:r>
      <w:r w:rsidRPr="00A85A4F">
        <w:t xml:space="preserve"> </w:t>
      </w:r>
      <w:r w:rsidRPr="00A85A4F">
        <w:fldChar w:fldCharType="begin" w:fldLock="1"/>
      </w:r>
      <w:r w:rsidR="00F07DC2">
        <w:instrText>ADDIN CSL_CITATION {"citationItems":[{"id":"ITEM-1","itemData":{"author":[{"dropping-particle":"","family":"Okuma-Nyström","given":"Michiyo Kiwako","non-dropping-particle":"","parse-names":false,"suffix":""}],"chapter-number":"2","container-title":"Globalization, Identities, and Diversified School Education; Cross-cultural Perspectives","editor":[{"dropping-particle":"","family":"Zajda","given":"Joseph","non-dropping-particle":"","parse-names":false,"suffix":""},{"dropping-particle":"","family":"Daun","given":"Holger","non-dropping-particle":"","parse-names":false,"suffix":""},{"dropping-particle":"","family":"Saha","given":"Lawrence J.","non-dropping-particle":"","parse-names":false,"suffix":""}],"id":"ITEM-1","issued":{"date-parts":[["2009"]]},"page":"25-42","publisher":"Springer","publisher-place":"Netherlands","title":"Globalization, Identities, and Diversified School Education","type":"chapter"},"locator":"27","uris":["http://www.mendeley.com/documents/?uuid=431adea4-b895-4a23-8271-ba6ff2984a24"]}],"mendeley":{"formattedCitation":"Michiyo Kiwako Okuma-Nyström, “Globalization, Identities, and Diversified School Education,” in &lt;i&gt;Globalization, Identities, and Diversified School Education; Cross-cultural Perspectives&lt;/i&gt;, ed. oleh Joseph Zajda, Holger Daun, dan Lawrence J. Saha (Netherlands: Springer, 2009), hal. 25–42 (hal. 27).","plainTextFormattedCitation":"Michiyo Kiwako Okuma-Nyström, “Globalization, Identities, and Diversified School Education,” in Globalization, Identities, and Diversified School Education; Cross-cultural Perspectives, ed. oleh Joseph Zajda, Holger Daun, dan Lawrence J. Saha (Netherlands: Springer, 2009), hal. 25–42 (hal. 27).","previouslyFormattedCitation":"Michiyo Kiwako Okuma-Nyström, “Globalization, Identities, and Diversified School Education,” in &lt;i&gt;Globalization, Identities, and Diversified School Education; Cross-cultural Perspectives&lt;/i&gt;, ed. oleh Joseph Zajda, Holger Daun, dan Lawrence J. Saha (Netherlands: Springer, 2009), hal. 25–42 (hal. 27)."},"properties":{"noteIndex":31},"schema":"https://github.com/citation-style-language/schema/raw/master/csl-citation.json"}</w:instrText>
      </w:r>
      <w:r w:rsidRPr="00A85A4F">
        <w:fldChar w:fldCharType="separate"/>
      </w:r>
      <w:r w:rsidRPr="00A85A4F">
        <w:rPr>
          <w:noProof/>
        </w:rPr>
        <w:t xml:space="preserve">Michiyo Kiwako Okuma-Nyström, “Globalization, Identities, and Diversified School Education,” in </w:t>
      </w:r>
      <w:r w:rsidRPr="00A85A4F">
        <w:rPr>
          <w:i/>
          <w:noProof/>
        </w:rPr>
        <w:t>Globalization, Identities, and Diversified School Education; Cross-cultural Perspectives</w:t>
      </w:r>
      <w:r w:rsidRPr="00A85A4F">
        <w:rPr>
          <w:noProof/>
        </w:rPr>
        <w:t>, ed. oleh Joseph Zajda, Holger Daun, dan Lawrence J. Saha (Netherlands: Springer, 2009), hal. 25–42 (hal. 27).</w:t>
      </w:r>
      <w:r w:rsidRPr="00A85A4F">
        <w:fldChar w:fldCharType="end"/>
      </w:r>
    </w:p>
  </w:footnote>
  <w:footnote w:id="32">
    <w:p w14:paraId="710342F5" w14:textId="50DC5447" w:rsidR="00C15609" w:rsidRPr="00A85A4F" w:rsidRDefault="00C15609" w:rsidP="004F4708">
      <w:pPr>
        <w:pStyle w:val="FootnoteText"/>
        <w:spacing w:before="0"/>
        <w:jc w:val="both"/>
      </w:pPr>
      <w:r w:rsidRPr="00A85A4F">
        <w:rPr>
          <w:rStyle w:val="FootnoteReference"/>
        </w:rPr>
        <w:footnoteRef/>
      </w:r>
      <w:r w:rsidRPr="00A85A4F">
        <w:t xml:space="preserve"> </w:t>
      </w:r>
      <w:r w:rsidRPr="00A85A4F">
        <w:fldChar w:fldCharType="begin" w:fldLock="1"/>
      </w:r>
      <w:r w:rsidR="00F07DC2">
        <w:instrText>ADDIN CSL_CITATION {"citationItems":[{"id":"ITEM-1","itemData":{"DOI":"10.5860/choice.46-3537","ISSN":"0009-4978","abstract":"American identity has always been capacious as a concept but narrow in its application. Citizenship has mostly been about being here, either through birth or residence. The territorial premises for citizenship have worked to resolve the peculiar challenges of American identity. But globalization is detaching identity from location. What used to define American was rooted in American space. Now one can be anywhere and be an American, politically or culturally. Against that backdrop, it becomes difficult to draw the boundaries of human community in a meaningful way. Longstanding notions of democratic citizenship are becoming obsolete, even as we cling to them. Beyond Citizenship charts the trajectory of American citizenship and shows how American identity is unsustainable in the face of globalization. Peter J. Spiro describes how citizenship law once reflected and shaped the American national character. Spiro explores the histories of birthright citizenship, naturalization, dual citizenship, and how those legal regimes helped reinforce an otherwise fragile national identity. But on a shifting global landscape, citizenship status has become increasingly divorced from any sense of actual community on the ground. As the bonds of citizenship dissipate, membership in the nation-state becomes less meaningful. The rights and obligations distinctive to citizenship are now trivial. Naturalization requirements have been relaxed, dual citizenship embraced, and territorial birthright citizenship entrenched--developments that are all irreversible. Loyalties, meanwhile, are moving to transnational communities defined in many different ways: by race, ethnicity, gender, religion, age, and sexual orientation. These communities, Spiro boldly argues, are replacing bonds that once connected people to the nation-state, with profound implications for the future of governance. Learned, incisive, and sweeping in scope, Beyond Citizenship offers a provocative look at how globalization is changing the very definition of who we are and where we belong.","author":[{"dropping-particle":"","family":"Spiro","given":"Peter J.","non-dropping-particle":"","parse-names":false,"suffix":""}],"id":"ITEM-1","issued":{"date-parts":[["2008"]]},"publisher":"Oxford University Press, Inc.","publisher-place":"Oxford","title":"Beyond Citizenship: American Identity after Globalization","type":"book"},"locator":"4","uris":["http://www.mendeley.com/documents/?uuid=01e39301-13e3-4bc8-8f03-0dfdd4ee72c4"]},{"id":"ITEM-2","itemData":{"author":[{"dropping-particle":"","family":"Nesodden","given":"Norway","non-dropping-particle":"","parse-names":false,"suffix":""},{"dropping-particle":"","family":"Moscow","given":"Idaho","non-dropping-particle":"","parse-names":false,"suffix":""},{"dropping-particle":"","family":"Haugestad","given":"Anne K.","non-dropping-particle":"","parse-names":false,"suffix":""},{"dropping-particle":"","family":"Wulfhorst","given":"J.D.","non-dropping-particle":"","parse-names":false,"suffix":""}],"container-title":"Future as Fairness: Ecological Justice and Global Citizenship","editor":[{"dropping-particle":"","family":"Haugestad","given":"Anne K.","non-dropping-particle":"","parse-names":false,"suffix":""},{"dropping-particle":"","family":"Wulfhorst","given":"J.D.","non-dropping-particle":"","parse-names":false,"suffix":""}],"id":"ITEM-2","issued":{"date-parts":[["2004"]]},"publisher":"Rodopi","publisher-place":"Amsterdam","title":"Introduction","type":"chapter"},"locator":"xvii","uris":["http://www.mendeley.com/documents/?uuid=b24470ed-2a56-4e36-9a8b-96df79cabf9b"]}],"mendeley":{"formattedCitation":"Peter J. Spiro, &lt;i&gt;Beyond Citizenship: American Identity after Globalization&lt;/i&gt; (Oxford: Oxford University Press, Inc., 2008), hal. 4 &lt;https://doi.org/10.5860/choice.46-3537&gt;; Norway Nesodden et al., “Introduction,” in &lt;i&gt;Future as Fairness: Ecological Justice and Global Citizenship&lt;/i&gt;, ed. oleh Anne K. Haugestad dan J.D. Wulfhorst (Amsterdam: Rodopi, 2004), hal. xvii.","plainTextFormattedCitation":"Peter J. Spiro, Beyond Citizenship: American Identity after Globalization (Oxford: Oxford University Press, Inc., 2008), hal. 4 ; Norway Nesodden et al., “Introduction,” in Future as Fairness: Ecological Justice and Global Citizenship, ed. oleh Anne K. Haugestad dan J.D. Wulfhorst (Amsterdam: Rodopi, 2004), hal. xvii.","previouslyFormattedCitation":"Peter J. Spiro, &lt;i&gt;Beyond Citizenship: American Identity after Globalization&lt;/i&gt; (Oxford: Oxford University Press, Inc., 2008), hal. 4 &lt;https://doi.org/10.5860/choice.46-3537&gt;; Norway Nesodden et al., “Introduction,” in &lt;i&gt;Future as Fairness: Ecological Justice and Global Citizenship&lt;/i&gt;, ed. oleh Anne K. Haugestad dan J.D. Wulfhorst (Amsterdam: Rodopi, 2004), hal. xvii."},"properties":{"noteIndex":32},"schema":"https://github.com/citation-style-language/schema/raw/master/csl-citation.json"}</w:instrText>
      </w:r>
      <w:r w:rsidRPr="00A85A4F">
        <w:fldChar w:fldCharType="separate"/>
      </w:r>
      <w:r w:rsidR="00CD0B06" w:rsidRPr="00CD0B06">
        <w:rPr>
          <w:noProof/>
        </w:rPr>
        <w:t xml:space="preserve">Peter J. Spiro, </w:t>
      </w:r>
      <w:r w:rsidR="00CD0B06" w:rsidRPr="00CD0B06">
        <w:rPr>
          <w:i/>
          <w:noProof/>
        </w:rPr>
        <w:t>Beyond Citizenship: American Identity after Globalization</w:t>
      </w:r>
      <w:r w:rsidR="00CD0B06" w:rsidRPr="00CD0B06">
        <w:rPr>
          <w:noProof/>
        </w:rPr>
        <w:t xml:space="preserve"> (Oxford: Oxford University Press, Inc., 2008), hal. 4; Norway Nesodden et al., “Introduction,” in </w:t>
      </w:r>
      <w:r w:rsidR="00CD0B06" w:rsidRPr="00CD0B06">
        <w:rPr>
          <w:i/>
          <w:noProof/>
        </w:rPr>
        <w:t>Future as Fairness: Ecological Justice and Global Citizenship</w:t>
      </w:r>
      <w:r w:rsidR="00CD0B06" w:rsidRPr="00CD0B06">
        <w:rPr>
          <w:noProof/>
        </w:rPr>
        <w:t>, ed. oleh Anne K. Haugestad dan J.D. Wulfhorst (Amsterdam: Rodopi, 2004), hal. xvii.</w:t>
      </w:r>
      <w:r w:rsidRPr="00A85A4F">
        <w:fldChar w:fldCharType="end"/>
      </w:r>
    </w:p>
  </w:footnote>
  <w:footnote w:id="33">
    <w:p w14:paraId="252CA239" w14:textId="2F9A12F1" w:rsidR="00E9414B" w:rsidRPr="00A85A4F" w:rsidRDefault="00E9414B" w:rsidP="004F4708">
      <w:pPr>
        <w:pStyle w:val="FootnoteText"/>
        <w:spacing w:before="0"/>
        <w:jc w:val="both"/>
      </w:pPr>
      <w:r w:rsidRPr="00A85A4F">
        <w:rPr>
          <w:rStyle w:val="FootnoteReference"/>
        </w:rPr>
        <w:footnoteRef/>
      </w:r>
      <w:r w:rsidRPr="00A85A4F">
        <w:t xml:space="preserve"> </w:t>
      </w:r>
      <w:r w:rsidRPr="00A85A4F">
        <w:fldChar w:fldCharType="begin" w:fldLock="1"/>
      </w:r>
      <w:r w:rsidR="00F07DC2">
        <w:instrText>ADDIN CSL_CITATION {"citationItems":[{"id":"ITEM-1","itemData":{"DOI":"10.1177/0038038506062041","ISBN":"0038-0385","ISSN":"0038-0385","PMID":"237133400013","author":[{"dropping-particle":"","family":"Stevenson","given":"Nick","non-dropping-particle":"","parse-names":false,"suffix":""}],"id":"ITEM-1","issued":{"date-parts":[["2003"]]},"publisher":"Open University Press","publisher-place":"Maidenhead","title":"Cultural Citizenship: Cosmopolitan Questions","type":"book"},"locator":"104","uris":["http://www.mendeley.com/documents/?uuid=e67d038d-ca83-4293-a61d-2c84efd68b33"]}],"mendeley":{"formattedCitation":"Nick Stevenson, &lt;i&gt;Cultural Citizenship: Cosmopolitan Questions&lt;/i&gt; (Maidenhead: Open University Press, 2003), hal. 104 &lt;https://doi.org/10.1177/0038038506062041&gt;.","plainTextFormattedCitation":"Nick Stevenson, Cultural Citizenship: Cosmopolitan Questions (Maidenhead: Open University Press, 2003), hal. 104 .","previouslyFormattedCitation":"Nick Stevenson, &lt;i&gt;Cultural Citizenship: Cosmopolitan Questions&lt;/i&gt; (Maidenhead: Open University Press, 2003), hal. 104 &lt;https://doi.org/10.1177/0038038506062041&gt;."},"properties":{"noteIndex":33},"schema":"https://github.com/citation-style-language/schema/raw/master/csl-citation.json"}</w:instrText>
      </w:r>
      <w:r w:rsidRPr="00A85A4F">
        <w:fldChar w:fldCharType="separate"/>
      </w:r>
      <w:r w:rsidR="00CD0B06" w:rsidRPr="00CD0B06">
        <w:rPr>
          <w:noProof/>
        </w:rPr>
        <w:t xml:space="preserve">Nick Stevenson, </w:t>
      </w:r>
      <w:r w:rsidR="00CD0B06" w:rsidRPr="00CD0B06">
        <w:rPr>
          <w:i/>
          <w:noProof/>
        </w:rPr>
        <w:t>Cultural Citizenship: Cosmopolitan Questions</w:t>
      </w:r>
      <w:r w:rsidR="00CD0B06" w:rsidRPr="00CD0B06">
        <w:rPr>
          <w:noProof/>
        </w:rPr>
        <w:t xml:space="preserve"> (Maidenhead: Open University Press, 2003), hal. 104.</w:t>
      </w:r>
      <w:r w:rsidRPr="00A85A4F">
        <w:fldChar w:fldCharType="end"/>
      </w:r>
    </w:p>
  </w:footnote>
  <w:footnote w:id="34">
    <w:p w14:paraId="3C5829DE" w14:textId="11C4E61F" w:rsidR="00BB7E95" w:rsidRPr="00A85A4F" w:rsidRDefault="00BB7E95" w:rsidP="004F4708">
      <w:pPr>
        <w:pStyle w:val="FootnoteText"/>
        <w:spacing w:before="0"/>
        <w:jc w:val="both"/>
      </w:pPr>
      <w:r w:rsidRPr="00A85A4F">
        <w:rPr>
          <w:rStyle w:val="FootnoteReference"/>
        </w:rPr>
        <w:footnoteRef/>
      </w:r>
      <w:r w:rsidRPr="00A85A4F">
        <w:t xml:space="preserve"> </w:t>
      </w:r>
      <w:r w:rsidRPr="00A85A4F">
        <w:fldChar w:fldCharType="begin" w:fldLock="1"/>
      </w:r>
      <w:r w:rsidR="00F07DC2">
        <w:instrText>ADDIN CSL_CITATION {"citationItems":[{"id":"ITEM-1","itemData":{"ISBN":"9783319995663","author":[{"dropping-particle":"","family":"Roux","given":"Cornelia","non-dropping-particle":"","parse-names":false,"suffix":""}],"container-title":"Human Rights Literacies: Future Directions","editor":[{"dropping-particle":"","family":"Roux","given":"Cornelia","non-dropping-particle":"","parse-names":false,"suffix":""},{"dropping-particle":"","family":"Becker","given":"Anne","non-dropping-particle":"","parse-names":false,"suffix":""}],"id":"ITEM-1","issued":{"date-parts":[["2019"]]},"page":"3-30","publisher":"Springer","publisher-place":"Switzerland","title":"The 'Literacy Turn' in Human Rights and Human Rights Education","type":"chapter"},"locator":"23","uris":["http://www.mendeley.com/documents/?uuid=8ade4f3d-4792-4496-951d-94f98ef3f7d8"]}],"mendeley":{"formattedCitation":"Cornelia Roux, “The ‘Literacy Turn’ in Human Rights and Human Rights Education,” in &lt;i&gt;Human Rights Literacies: Future Directions&lt;/i&gt;, ed. oleh Cornelia Roux dan Anne Becker (Switzerland: Springer, 2019), hal. 3–30 (hal. 23).","plainTextFormattedCitation":"Cornelia Roux, “The ‘Literacy Turn’ in Human Rights and Human Rights Education,” in Human Rights Literacies: Future Directions, ed. oleh Cornelia Roux dan Anne Becker (Switzerland: Springer, 2019), hal. 3–30 (hal. 23).","previouslyFormattedCitation":"Cornelia Roux, “The ‘Literacy Turn’ in Human Rights and Human Rights Education,” in &lt;i&gt;Human Rights Literacies: Future Directions&lt;/i&gt;, ed. oleh Cornelia Roux dan Anne Becker (Switzerland: Springer, 2019), hal. 3–30 (hal. 23)."},"properties":{"noteIndex":34},"schema":"https://github.com/citation-style-language/schema/raw/master/csl-citation.json"}</w:instrText>
      </w:r>
      <w:r w:rsidRPr="00A85A4F">
        <w:fldChar w:fldCharType="separate"/>
      </w:r>
      <w:r w:rsidRPr="00A85A4F">
        <w:rPr>
          <w:noProof/>
        </w:rPr>
        <w:t xml:space="preserve">Cornelia Roux, “The ‘Literacy Turn’ in Human Rights and Human Rights Education,” in </w:t>
      </w:r>
      <w:r w:rsidRPr="00A85A4F">
        <w:rPr>
          <w:i/>
          <w:noProof/>
        </w:rPr>
        <w:t>Human Rights Literacies: Future Directions</w:t>
      </w:r>
      <w:r w:rsidRPr="00A85A4F">
        <w:rPr>
          <w:noProof/>
        </w:rPr>
        <w:t>, ed. oleh Cornelia Roux dan Anne Becker (Switzerland: Springer, 2019), hal. 3–30 (hal. 23).</w:t>
      </w:r>
      <w:r w:rsidRPr="00A85A4F">
        <w:fldChar w:fldCharType="end"/>
      </w:r>
    </w:p>
  </w:footnote>
  <w:footnote w:id="35">
    <w:p w14:paraId="1D4AF63A" w14:textId="44D577A6" w:rsidR="00BB7E95" w:rsidRPr="00A85A4F" w:rsidRDefault="00BB7E95" w:rsidP="004F4708">
      <w:pPr>
        <w:pStyle w:val="FootnoteText"/>
        <w:spacing w:before="0"/>
        <w:jc w:val="both"/>
      </w:pPr>
      <w:r w:rsidRPr="00A85A4F">
        <w:rPr>
          <w:rStyle w:val="FootnoteReference"/>
        </w:rPr>
        <w:footnoteRef/>
      </w:r>
      <w:r w:rsidRPr="00A85A4F">
        <w:t xml:space="preserve"> </w:t>
      </w:r>
      <w:r w:rsidRPr="00A85A4F">
        <w:fldChar w:fldCharType="begin" w:fldLock="1"/>
      </w:r>
      <w:r w:rsidR="00F07DC2">
        <w:instrText>ADDIN CSL_CITATION {"citationItems":[{"id":"ITEM-1","itemData":{"DOI":"10.20853/31-6-1623","abstract":"Globally, issues such as xenophobia, rising nationalism and populism, linked to the international migrant crisis, are stretching the past influence and the present reinterpretation of the Universal Declaration of Human Rights (1948) to its limits. Locally, the #MustFall1 protests at higher education institutions rightly question the existence and validity of human rights, especially as it pertains to the right to education, socio-economic rights and the moral responsibility of higher education institutions to its students within human rights policy frameworks. The growing critique of human rights is crucial not only to the understanding of the conceptual, legal, moral, historic and contextual complexities of human rights but also the rethinking of the anthropological, ethical, ontological and epistemological premise of human rights. Human rights literacies, we argue, while including knowledge about human rights, question the social and moral consequences of the (non)realisation of human rights as well as the anthropological, ethical, ontological and epistemological premise of human rights. Critique and dissensus are inherent to human rights literacies and impact on how we speak and act to in(ex)clusions, marginalisation, intolerance, disrespect, misrecognition and discrimination","author":[{"dropping-particle":"","family":"Roux","given":"C.","non-dropping-particle":"","parse-names":false,"suffix":""},{"dropping-particle":"","family":"Becker","given":"A.","non-dropping-particle":"","parse-names":false,"suffix":""}],"container-title":"South African Journal of Higher Education","id":"ITEM-1","issue":"6","issued":{"date-parts":[["2017"]]},"page":"1-8","title":"On Critique, Dissensus and Human Rights Literacies","type":"article-journal","volume":"31"},"uris":["http://www.mendeley.com/documents/?uuid=3e0905ae-5631-44a9-bf21-807c53364277"]}],"mendeley":{"formattedCitation":"C. Roux dan A. Becker, “On Critique, Dissensus and Human Rights Literacies,” &lt;i&gt;South African Journal of Higher Education&lt;/i&gt;, 31.6 (2017), 1–8 &lt;https://doi.org/10.20853/31-6-1623&gt;.","plainTextFormattedCitation":"C. Roux dan A. Becker, “On Critique, Dissensus and Human Rights Literacies,” South African Journal of Higher Education, 31.6 (2017), 1–8 .","previouslyFormattedCitation":"C. Roux dan A. Becker, “On Critique, Dissensus and Human Rights Literacies,” &lt;i&gt;South African Journal of Higher Education&lt;/i&gt;, 31.6 (2017), 1–8 &lt;https://doi.org/10.20853/31-6-1623&gt;."},"properties":{"noteIndex":35},"schema":"https://github.com/citation-style-language/schema/raw/master/csl-citation.json"}</w:instrText>
      </w:r>
      <w:r w:rsidRPr="00A85A4F">
        <w:fldChar w:fldCharType="separate"/>
      </w:r>
      <w:r w:rsidR="00CD0B06" w:rsidRPr="00CD0B06">
        <w:rPr>
          <w:noProof/>
        </w:rPr>
        <w:t xml:space="preserve">C. Roux dan A. Becker, “On Critique, Dissensus and Human Rights Literacies,” </w:t>
      </w:r>
      <w:r w:rsidR="00CD0B06" w:rsidRPr="00CD0B06">
        <w:rPr>
          <w:i/>
          <w:noProof/>
        </w:rPr>
        <w:t>South African Journal of Higher Education</w:t>
      </w:r>
      <w:r w:rsidR="00CD0B06" w:rsidRPr="00CD0B06">
        <w:rPr>
          <w:noProof/>
        </w:rPr>
        <w:t>, 31.6 (2017), 1–8.</w:t>
      </w:r>
      <w:r w:rsidRPr="00A85A4F">
        <w:fldChar w:fldCharType="end"/>
      </w:r>
    </w:p>
  </w:footnote>
  <w:footnote w:id="36">
    <w:p w14:paraId="5FD4DAF9" w14:textId="6B3668C3" w:rsidR="002B3BDE" w:rsidRPr="00A85A4F" w:rsidRDefault="002B3BDE" w:rsidP="004F4708">
      <w:pPr>
        <w:pStyle w:val="FootnoteText"/>
        <w:spacing w:before="0"/>
        <w:jc w:val="both"/>
      </w:pPr>
      <w:r w:rsidRPr="00A85A4F">
        <w:rPr>
          <w:rStyle w:val="FootnoteReference"/>
        </w:rPr>
        <w:footnoteRef/>
      </w:r>
      <w:r w:rsidRPr="00A85A4F">
        <w:t xml:space="preserve"> </w:t>
      </w:r>
      <w:r w:rsidRPr="00A85A4F">
        <w:fldChar w:fldCharType="begin" w:fldLock="1"/>
      </w:r>
      <w:r w:rsidR="00F07DC2">
        <w:instrText>ADDIN CSL_CITATION {"citationItems":[{"id":"ITEM-1","itemData":{"ISBN":"9786022821038","id":"ITEM-1","issued":{"date-parts":[["2020"]]},"publisher":"Republik Indonesia","title":"Peraturan Menteri Pendidikan dan Kebudayaan Republik Indonesia Nomor 3 Tahun 2020 Tentang Standar Nasional Pendidikan Tinggi","type":"book"},"prefix":"Telah diganti dengan ","uris":["http://www.mendeley.com/documents/?uuid=5c7323a6-cf92-4088-83c7-e6fbb5064b80"]}],"mendeley":{"formattedCitation":"Telah diganti dengan &lt;i&gt;Peraturan Menteri Pendidikan dan Kebudayaan Republik Indonesia Nomor 3 Tahun 2020 Tentang Standar Nasional Pendidikan Tinggi&lt;/i&gt;.","plainTextFormattedCitation":"Telah diganti dengan Peraturan Menteri Pendidikan dan Kebudayaan Republik Indonesia Nomor 3 Tahun 2020 Tentang Standar Nasional Pendidikan Tinggi.","previouslyFormattedCitation":"Telah diganti dengan &lt;i&gt;Peraturan Menteri Pendidikan dan Kebudayaan Republik Indonesia Nomor 3 Tahun 2020 Tentang Standar Nasional Pendidikan Tinggi&lt;/i&gt;."},"properties":{"noteIndex":36},"schema":"https://github.com/citation-style-language/schema/raw/master/csl-citation.json"}</w:instrText>
      </w:r>
      <w:r w:rsidRPr="00A85A4F">
        <w:fldChar w:fldCharType="separate"/>
      </w:r>
      <w:r w:rsidRPr="00A85A4F">
        <w:rPr>
          <w:noProof/>
        </w:rPr>
        <w:t xml:space="preserve">Telah diganti dengan </w:t>
      </w:r>
      <w:r w:rsidRPr="00A85A4F">
        <w:rPr>
          <w:i/>
          <w:noProof/>
        </w:rPr>
        <w:t>Peraturan Menteri Pendidikan dan Kebudayaan Republik Indonesia Nomor 3 Tahun 2020 Tentang Standar Nasional Pendidikan Tinggi</w:t>
      </w:r>
      <w:r w:rsidRPr="00A85A4F">
        <w:rPr>
          <w:noProof/>
        </w:rPr>
        <w:t>.</w:t>
      </w:r>
      <w:r w:rsidRPr="00A85A4F">
        <w:fldChar w:fldCharType="end"/>
      </w:r>
    </w:p>
  </w:footnote>
  <w:footnote w:id="37">
    <w:p w14:paraId="03E15C60" w14:textId="173B3E55" w:rsidR="002B3BDE" w:rsidRPr="00A85A4F" w:rsidRDefault="002B3BDE" w:rsidP="004F4708">
      <w:pPr>
        <w:pStyle w:val="FootnoteText"/>
        <w:spacing w:before="0"/>
        <w:jc w:val="both"/>
      </w:pPr>
      <w:r w:rsidRPr="00A85A4F">
        <w:rPr>
          <w:rStyle w:val="FootnoteReference"/>
        </w:rPr>
        <w:footnoteRef/>
      </w:r>
      <w:r w:rsidRPr="00A85A4F">
        <w:t xml:space="preserve"> </w:t>
      </w:r>
      <w:r w:rsidRPr="00A85A4F">
        <w:fldChar w:fldCharType="begin" w:fldLock="1"/>
      </w:r>
      <w:r w:rsidR="00F07DC2">
        <w:instrText>ADDIN CSL_CITATION {"citationItems":[{"id":"ITEM-1","itemData":{"ISBN":"9786026470027","author":[{"dropping-particle":"","family":"Nurwardani","given":"Paristiyanti","non-dropping-particle":"","parse-names":false,"suffix":""},{"dropping-particle":"","family":"Saksama","given":"Hestu Yoga","non-dropping-particle":"","parse-names":false,"suffix":""},{"dropping-particle":"","family":"Winataputra","given":"Udin S","non-dropping-particle":"","parse-names":false,"suffix":""},{"dropping-particle":"","family":"Budimansyah","given":"Dasim","non-dropping-particle":"","parse-names":false,"suffix":""},{"dropping-particle":"","family":"Sapriya","given":"","non-dropping-particle":"","parse-names":false,"suffix":""},{"dropping-particle":"","family":"Winarno","given":"","non-dropping-particle":"","parse-names":false,"suffix":""},{"dropping-particle":"","family":"Mulyono","given":"Edi","non-dropping-particle":"","parse-names":false,"suffix":""},{"dropping-particle":"","family":"Prawatyani","given":"Sanityas Jukti","non-dropping-particle":"","parse-names":false,"suffix":""},{"dropping-particle":"","family":"Anwar","given":"Aan Almaidah","non-dropping-particle":"","parse-names":false,"suffix":""},{"dropping-particle":"","family":"Evawany","given":"","non-dropping-particle":"","parse-names":false,"suffix":""},{"dropping-particle":"","family":"Priyautama","given":"Fajar","non-dropping-particle":"","parse-names":false,"suffix":""},{"dropping-particle":"","family":"Festanto","given":"Ary","non-dropping-particle":"","parse-names":false,"suffix":""}],"id":"ITEM-1","issued":{"date-parts":[["2016"]]},"publisher":"Direktorat Jenderal Pembelajaran dan Kemahasiswaan Kementerian Riset, Teknologi, dan Pendidikan Tinggi Republik","publisher-place":"Jakarta","title":"Pendidikan Kewarganegaraan untuk Perguruan Tinggi","type":"book"},"prefix":"Sembilan bab tersebut adalah sebagai berikut: (1) Bagaimana Hakikat Pendidikan Kewarganegaraan dalam Mengembangkan Kemampuan Utuh Sarjana atau Profesional? (2) Bagaimana Esensi dan Urgensi Identitas Nasional Sebagai Salah Satu Determinan Pembangunan Bangsa dan Karakter? (3) Bagaimana Urgensi Integrasi Nasional Sebagai Salah Satu Parameter Persatuan dan Kesatuan Bangsa? (4) Bagaimana Nilai dan Norma Konstitusional UUD NRI 1945 dan Konstitusionalitas Ketentuan Perundang-Undangan di Bawah UUD? (5) Bagaimana Harmoni Kewajiban dan Hak Negara dan Warga Negara dalam Demokrasi Yang Bersumbu Pada Kedaulatan Rakyat dan Musyawarah Untuk Mufakat? (6) Bagaimana Hakikat, Instrumentasi, dan Praksis Demokrasi Indonesia Berlandaskan Pancasila dan UUD NRI 1945? (7) Bagaimana Dinamika Historis Konstitusional, Sosial-Politik, Kultural, serta Konteks Kontemporer Penegakan Hukum Yang Berkeadilan? (8) Bagaimana Dinamika Historis, dan Urgensi Wawasan Nusantara Sebagai Konsepsi dan Pandangan Kolektif Kebangsaan Indonesia dalam Konteks Pergaulan Dunia? dan (9) Bagaimana Urgensi dan Tantangan Ketahanan Nasional dan Bela Negara Bagi Indonesia dalam Membangun Komitmen Kolektif Kebangsaan? Selengkapnya lihat ","uris":["http://www.mendeley.com/documents/?uuid=30965a91-d5cb-4fed-b308-f96cc9213e0a"]}],"mendeley":{"formattedCitation":"Sembilan bab tersebut adalah sebagai berikut: (1) Bagaimana Hakikat Pendidikan Kewarganegaraan dalam Mengembangkan Kemampuan Utuh Sarjana atau Profesional? (2) Bagaimana Esensi dan Urgensi Identitas Nasional Sebagai Salah Satu Determinan Pembangunan Bangsa dan Karakter? (3) Bagaimana Urgensi Integrasi Nasional Sebagai Salah Satu Parameter Persatuan dan Kesatuan Bangsa? (4) Bagaimana Nilai dan Norma Konstitusional UUD NRI 1945 dan Konstitusionalitas Ketentuan Perundang-Undangan di Bawah UUD? (5) Bagaimana Harmoni Kewajiban dan Hak Negara dan Warga Negara dalam Demokrasi Yang Bersumbu Pada Kedaulatan Rakyat dan Musyawarah Untuk Mufakat? (6) Bagaimana Hakikat, Instrumentasi, dan Praksis Demokrasi Indonesia Berlandaskan Pancasila dan UUD NRI 1945? (7) Bagaimana Dinamika Historis Konstitusional, Sosial-Politik, Kultural, serta Konteks Kontemporer Penegakan Hukum Yang Berkeadilan? (8) Bagaimana Dinamika Historis, dan Urgensi Wawasan Nusantara Sebagai Konsepsi dan Pandangan Kolektif Kebangsaan Indonesia dalam Konteks Pergaulan Dunia? dan (9) Bagaimana Urgensi dan Tantangan Ketahanan Nasional dan Bela Negara Bagi Indonesia dalam Membangun Komitmen Kolektif Kebangsaan? Selengkapnya lihat Nurwardani et al.","plainTextFormattedCitation":"Sembilan bab tersebut adalah sebagai berikut: (1) Bagaimana Hakikat Pendidikan Kewarganegaraan dalam Mengembangkan Kemampuan Utuh Sarjana atau Profesional? (2) Bagaimana Esensi dan Urgensi Identitas Nasional Sebagai Salah Satu Determinan Pembangunan Bangsa dan Karakter? (3) Bagaimana Urgensi Integrasi Nasional Sebagai Salah Satu Parameter Persatuan dan Kesatuan Bangsa? (4) Bagaimana Nilai dan Norma Konstitusional UUD NRI 1945 dan Konstitusionalitas Ketentuan Perundang-Undangan di Bawah UUD? (5) Bagaimana Harmoni Kewajiban dan Hak Negara dan Warga Negara dalam Demokrasi Yang Bersumbu Pada Kedaulatan Rakyat dan Musyawarah Untuk Mufakat? (6) Bagaimana Hakikat, Instrumentasi, dan Praksis Demokrasi Indonesia Berlandaskan Pancasila dan UUD NRI 1945? (7) Bagaimana Dinamika Historis Konstitusional, Sosial-Politik, Kultural, serta Konteks Kontemporer Penegakan Hukum Yang Berkeadilan? (8) Bagaimana Dinamika Historis, dan Urgensi Wawasan Nusantara Sebagai Konsepsi dan Pandangan Kolektif Kebangsaan Indonesia dalam Konteks Pergaulan Dunia? dan (9) Bagaimana Urgensi dan Tantangan Ketahanan Nasional dan Bela Negara Bagi Indonesia dalam Membangun Komitmen Kolektif Kebangsaan? Selengkapnya lihat Nurwardani et al.","previouslyFormattedCitation":"Sembilan bab tersebut adalah sebagai berikut: (1) Bagaimana Hakikat Pendidikan Kewarganegaraan dalam Mengembangkan Kemampuan Utuh Sarjana atau Profesional? (2) Bagaimana Esensi dan Urgensi Identitas Nasional Sebagai Salah Satu Determinan Pembangunan Bangsa dan Karakter? (3) Bagaimana Urgensi Integrasi Nasional Sebagai Salah Satu Parameter Persatuan dan Kesatuan Bangsa? (4) Bagaimana Nilai dan Norma Konstitusional UUD NRI 1945 dan Konstitusionalitas Ketentuan Perundang-Undangan di Bawah UUD? (5) Bagaimana Harmoni Kewajiban dan Hak Negara dan Warga Negara dalam Demokrasi Yang Bersumbu Pada Kedaulatan Rakyat dan Musyawarah Untuk Mufakat? (6) Bagaimana Hakikat, Instrumentasi, dan Praksis Demokrasi Indonesia Berlandaskan Pancasila dan UUD NRI 1945? (7) Bagaimana Dinamika Historis Konstitusional, Sosial-Politik, Kultural, serta Konteks Kontemporer Penegakan Hukum Yang Berkeadilan? (8) Bagaimana Dinamika Historis, dan Urgensi Wawasan Nusantara Sebagai Konsepsi dan Pandangan Kolektif Kebangsaan Indonesia dalam Konteks Pergaulan Dunia? dan (9) Bagaimana Urgensi dan Tantangan Ketahanan Nasional dan Bela Negara Bagi Indonesia dalam Membangun Komitmen Kolektif Kebangsaan? Selengkapnya lihat Nurwardani et al."},"properties":{"noteIndex":37},"schema":"https://github.com/citation-style-language/schema/raw/master/csl-citation.json"}</w:instrText>
      </w:r>
      <w:r w:rsidRPr="00A85A4F">
        <w:fldChar w:fldCharType="separate"/>
      </w:r>
      <w:r w:rsidRPr="00A85A4F">
        <w:rPr>
          <w:noProof/>
        </w:rPr>
        <w:t>Sembilan bab tersebut adalah sebagai berikut: (1) Bagaimana Hakikat Pendidikan Kewarganegaraan dalam Mengembangkan Kemampuan Utuh Sarjana atau Profesional? (2) Bagaimana Esensi dan Urgensi Identitas Nasional Sebagai Salah Satu Determinan Pembangunan Bangsa dan Karakter? (3) Bagaimana Urgensi Integrasi Nasional Sebagai Salah Satu Parameter Persatuan dan Kesatuan Bangsa? (4) Bagaimana Nilai dan Norma Konstitusional UUD NRI 1945 dan Konstitusionalitas Ketentuan Perundang-Undangan di Bawah UUD? (5) Bagaimana Harmoni Kewajiban dan Hak Negara dan Warga Negara dalam Demokrasi Yang Bersumbu Pada Kedaulatan Rakyat dan Musyawarah Untuk Mufakat? (6) Bagaimana Hakikat, Instrumentasi, dan Praksis Demokrasi Indonesia Berlandaskan Pancasila dan UUD NRI 1945? (7) Bagaimana Dinamika Historis Konstitusional, Sosial-Politik, Kultural, serta Konteks Kontemporer Penegakan Hukum Yang Berkeadilan? (8) Bagaimana Dinamika Historis, dan Urgensi Wawasan Nusantara Sebagai Konsepsi dan Pandangan Kolektif Kebangsaan Indonesia dalam Konteks Pergaulan Dunia? dan (9) Bagaimana Urgensi dan Tantangan Ketahanan Nasional dan Bela Negara Bagi Indonesia dalam Membangun Komitmen Kolektif Kebangsaan? Selengkapnya lihat Nurwardani et al.</w:t>
      </w:r>
      <w:r w:rsidRPr="00A85A4F">
        <w:fldChar w:fldCharType="end"/>
      </w:r>
    </w:p>
  </w:footnote>
  <w:footnote w:id="38">
    <w:p w14:paraId="77A18126" w14:textId="17E7F554" w:rsidR="002B3BDE" w:rsidRPr="00A85A4F" w:rsidRDefault="002B3BDE" w:rsidP="004F4708">
      <w:pPr>
        <w:pStyle w:val="FootnoteText"/>
        <w:spacing w:before="0"/>
        <w:jc w:val="both"/>
      </w:pPr>
      <w:r w:rsidRPr="00A85A4F">
        <w:rPr>
          <w:rStyle w:val="FootnoteReference"/>
        </w:rPr>
        <w:footnoteRef/>
      </w:r>
      <w:r w:rsidRPr="00A85A4F">
        <w:t xml:space="preserve"> </w:t>
      </w:r>
      <w:r w:rsidRPr="00A85A4F">
        <w:fldChar w:fldCharType="begin" w:fldLock="1"/>
      </w:r>
      <w:r w:rsidR="00F07DC2">
        <w:instrText>ADDIN CSL_CITATION {"citationItems":[{"id":"ITEM-1","itemData":{"ISBN":"9786026470027","author":[{"dropping-particle":"","family":"Nurwardani","given":"Paristiyanti","non-dropping-particle":"","parse-names":false,"suffix":""},{"dropping-particle":"","family":"Saksama","given":"Hestu Yoga","non-dropping-particle":"","parse-names":false,"suffix":""},{"dropping-particle":"","family":"Winataputra","given":"Udin S","non-dropping-particle":"","parse-names":false,"suffix":""},{"dropping-particle":"","family":"Budimansyah","given":"Dasim","non-dropping-particle":"","parse-names":false,"suffix":""},{"dropping-particle":"","family":"Sapriya","given":"","non-dropping-particle":"","parse-names":false,"suffix":""},{"dropping-particle":"","family":"Winarno","given":"","non-dropping-particle":"","parse-names":false,"suffix":""},{"dropping-particle":"","family":"Mulyono","given":"Edi","non-dropping-particle":"","parse-names":false,"suffix":""},{"dropping-particle":"","family":"Prawatyani","given":"Sanityas Jukti","non-dropping-particle":"","parse-names":false,"suffix":""},{"dropping-particle":"","family":"Anwar","given":"Aan Almaidah","non-dropping-particle":"","parse-names":false,"suffix":""},{"dropping-particle":"","family":"Evawany","given":"","non-dropping-particle":"","parse-names":false,"suffix":""},{"dropping-particle":"","family":"Priyautama","given":"Fajar","non-dropping-particle":"","parse-names":false,"suffix":""},{"dropping-particle":"","family":"Festanto","given":"Ary","non-dropping-particle":"","parse-names":false,"suffix":""}],"id":"ITEM-1","issued":{"date-parts":[["2016"]]},"publisher":"Direktorat Jenderal Pembelajaran dan Kemahasiswaan Kementerian Riset, Teknologi, dan Pendidikan Tinggi Republik","publisher-place":"Jakarta","title":"Pendidikan Kewarganegaraan untuk Perguruan Tinggi","type":"book"},"prefix":"Bab sepuluh berjudul “Menyelenggarakan Project Citizen Untuk Mata Kuliah Pendidikan Kewarganegaraan.\" lihat dalam ","uris":["http://www.mendeley.com/documents/?uuid=30965a91-d5cb-4fed-b308-f96cc9213e0a"]}],"mendeley":{"formattedCitation":"Bab sepuluh berjudul “Menyelenggarakan Project Citizen Untuk Mata Kuliah Pendidikan Kewarganegaraan.\" lihat dalam Nurwardani et al.","plainTextFormattedCitation":"Bab sepuluh berjudul “Menyelenggarakan Project Citizen Untuk Mata Kuliah Pendidikan Kewarganegaraan.\" lihat dalam Nurwardani et al.","previouslyFormattedCitation":"Bab sepuluh berjudul “Menyelenggarakan Project Citizen Untuk Mata Kuliah Pendidikan Kewarganegaraan.\" lihat dalam Nurwardani et al."},"properties":{"noteIndex":38},"schema":"https://github.com/citation-style-language/schema/raw/master/csl-citation.json"}</w:instrText>
      </w:r>
      <w:r w:rsidRPr="00A85A4F">
        <w:fldChar w:fldCharType="separate"/>
      </w:r>
      <w:r w:rsidRPr="00A85A4F">
        <w:rPr>
          <w:noProof/>
        </w:rPr>
        <w:t>Bab sepuluh berjudul “Menyelenggarakan Project Citizen Untuk Mata Kuliah Pendidikan Kewarganegaraan." lihat dalam Nurwardani et al.</w:t>
      </w:r>
      <w:r w:rsidRPr="00A85A4F">
        <w:fldChar w:fldCharType="end"/>
      </w:r>
    </w:p>
  </w:footnote>
  <w:footnote w:id="39">
    <w:p w14:paraId="09E48A71" w14:textId="06AACBA3" w:rsidR="002B3BDE" w:rsidRPr="00A85A4F" w:rsidRDefault="002B3BDE" w:rsidP="004F4708">
      <w:pPr>
        <w:pStyle w:val="FootnoteText"/>
        <w:spacing w:before="0"/>
        <w:jc w:val="both"/>
      </w:pPr>
      <w:r w:rsidRPr="00A85A4F">
        <w:rPr>
          <w:rStyle w:val="FootnoteReference"/>
        </w:rPr>
        <w:footnoteRef/>
      </w:r>
      <w:r w:rsidRPr="00A85A4F">
        <w:t xml:space="preserve"> </w:t>
      </w:r>
      <w:r w:rsidRPr="00A85A4F">
        <w:fldChar w:fldCharType="begin" w:fldLock="1"/>
      </w:r>
      <w:r w:rsidR="00F07DC2">
        <w:instrText>ADDIN CSL_CITATION {"citationItems":[{"id":"ITEM-1","itemData":{"ISBN":"9786026470027","author":[{"dropping-particle":"","family":"Nurwardani","given":"Paristiyanti","non-dropping-particle":"","parse-names":false,"suffix":""},{"dropping-particle":"","family":"Saksama","given":"Hestu Yoga","non-dropping-particle":"","parse-names":false,"suffix":""},{"dropping-particle":"","family":"Winataputra","given":"Udin S","non-dropping-particle":"","parse-names":false,"suffix":""},{"dropping-particle":"","family":"Budimansyah","given":"Dasim","non-dropping-particle":"","parse-names":false,"suffix":""},{"dropping-particle":"","family":"Sapriya","given":"","non-dropping-particle":"","parse-names":false,"suffix":""},{"dropping-particle":"","family":"Winarno","given":"","non-dropping-particle":"","parse-names":false,"suffix":""},{"dropping-particle":"","family":"Mulyono","given":"Edi","non-dropping-particle":"","parse-names":false,"suffix":""},{"dropping-particle":"","family":"Prawatyani","given":"Sanityas Jukti","non-dropping-particle":"","parse-names":false,"suffix":""},{"dropping-particle":"","family":"Anwar","given":"Aan Almaidah","non-dropping-particle":"","parse-names":false,"suffix":""},{"dropping-particle":"","family":"Evawany","given":"","non-dropping-particle":"","parse-names":false,"suffix":""},{"dropping-particle":"","family":"Priyautama","given":"Fajar","non-dropping-particle":"","parse-names":false,"suffix":""},{"dropping-particle":"","family":"Festanto","given":"Ary","non-dropping-particle":"","parse-names":false,"suffix":""}],"id":"ITEM-1","issued":{"date-parts":[["2016"]]},"publisher":"Direktorat Jenderal Pembelajaran dan Kemahasiswaan Kementerian Riset, Teknologi, dan Pendidikan Tinggi Republik","publisher-place":"Jakarta","title":"Pendidikan Kewarganegaraan untuk Perguruan Tinggi","type":"book"},"locator":"115","uris":["http://www.mendeley.com/documents/?uuid=30965a91-d5cb-4fed-b308-f96cc9213e0a"]}],"mendeley":{"formattedCitation":"Nurwardani et al., hal. 115.","plainTextFormattedCitation":"Nurwardani et al., hal. 115.","previouslyFormattedCitation":"Nurwardani et al., hal. 115."},"properties":{"noteIndex":39},"schema":"https://github.com/citation-style-language/schema/raw/master/csl-citation.json"}</w:instrText>
      </w:r>
      <w:r w:rsidRPr="00A85A4F">
        <w:fldChar w:fldCharType="separate"/>
      </w:r>
      <w:r w:rsidRPr="00A85A4F">
        <w:rPr>
          <w:noProof/>
        </w:rPr>
        <w:t>Nurwardani et al., hal. 115.</w:t>
      </w:r>
      <w:r w:rsidRPr="00A85A4F">
        <w:fldChar w:fldCharType="end"/>
      </w:r>
    </w:p>
  </w:footnote>
  <w:footnote w:id="40">
    <w:p w14:paraId="1F9FB970" w14:textId="393C6A83" w:rsidR="002B3BDE" w:rsidRPr="00A85A4F" w:rsidRDefault="002B3BDE" w:rsidP="004F4708">
      <w:pPr>
        <w:pStyle w:val="FootnoteText"/>
        <w:spacing w:before="0"/>
        <w:jc w:val="both"/>
      </w:pPr>
      <w:r w:rsidRPr="00A85A4F">
        <w:rPr>
          <w:rStyle w:val="FootnoteReference"/>
        </w:rPr>
        <w:footnoteRef/>
      </w:r>
      <w:r w:rsidRPr="00A85A4F">
        <w:t xml:space="preserve"> </w:t>
      </w:r>
      <w:r w:rsidRPr="00A85A4F">
        <w:fldChar w:fldCharType="begin" w:fldLock="1"/>
      </w:r>
      <w:r w:rsidR="00F07DC2">
        <w:instrText>ADDIN CSL_CITATION {"citationItems":[{"id":"ITEM-1","itemData":{"ISBN":"9786026470027","author":[{"dropping-particle":"","family":"Nurwardani","given":"Paristiyanti","non-dropping-particle":"","parse-names":false,"suffix":""},{"dropping-particle":"","family":"Saksama","given":"Hestu Yoga","non-dropping-particle":"","parse-names":false,"suffix":""},{"dropping-particle":"","family":"Winataputra","given":"Udin S","non-dropping-particle":"","parse-names":false,"suffix":""},{"dropping-particle":"","family":"Budimansyah","given":"Dasim","non-dropping-particle":"","parse-names":false,"suffix":""},{"dropping-particle":"","family":"Sapriya","given":"","non-dropping-particle":"","parse-names":false,"suffix":""},{"dropping-particle":"","family":"Winarno","given":"","non-dropping-particle":"","parse-names":false,"suffix":""},{"dropping-particle":"","family":"Mulyono","given":"Edi","non-dropping-particle":"","parse-names":false,"suffix":""},{"dropping-particle":"","family":"Prawatyani","given":"Sanityas Jukti","non-dropping-particle":"","parse-names":false,"suffix":""},{"dropping-particle":"","family":"Anwar","given":"Aan Almaidah","non-dropping-particle":"","parse-names":false,"suffix":""},{"dropping-particle":"","family":"Evawany","given":"","non-dropping-particle":"","parse-names":false,"suffix":""},{"dropping-particle":"","family":"Priyautama","given":"Fajar","non-dropping-particle":"","parse-names":false,"suffix":""},{"dropping-particle":"","family":"Festanto","given":"Ary","non-dropping-particle":"","parse-names":false,"suffix":""}],"id":"ITEM-1","issued":{"date-parts":[["2016"]]},"publisher":"Direktorat Jenderal Pembelajaran dan Kemahasiswaan Kementerian Riset, Teknologi, dan Pendidikan Tinggi Republik","publisher-place":"Jakarta","title":"Pendidikan Kewarganegaraan untuk Perguruan Tinggi","type":"book"},"locator":"95","uris":["http://www.mendeley.com/documents/?uuid=30965a91-d5cb-4fed-b308-f96cc9213e0a"]}],"mendeley":{"formattedCitation":"Nurwardani et al., hal. 95.","plainTextFormattedCitation":"Nurwardani et al., hal. 95.","previouslyFormattedCitation":"Nurwardani et al., hal. 95."},"properties":{"noteIndex":40},"schema":"https://github.com/citation-style-language/schema/raw/master/csl-citation.json"}</w:instrText>
      </w:r>
      <w:r w:rsidRPr="00A85A4F">
        <w:fldChar w:fldCharType="separate"/>
      </w:r>
      <w:r w:rsidRPr="00A85A4F">
        <w:rPr>
          <w:noProof/>
        </w:rPr>
        <w:t>Nurwardani et al., hal. 95.</w:t>
      </w:r>
      <w:r w:rsidRPr="00A85A4F">
        <w:fldChar w:fldCharType="end"/>
      </w:r>
    </w:p>
  </w:footnote>
  <w:footnote w:id="41">
    <w:p w14:paraId="4D99D3DB" w14:textId="2D34B27A" w:rsidR="002B3BDE" w:rsidRPr="00A85A4F" w:rsidRDefault="002B3BDE" w:rsidP="004F4708">
      <w:pPr>
        <w:pStyle w:val="FootnoteText"/>
        <w:spacing w:before="0"/>
        <w:jc w:val="both"/>
      </w:pPr>
      <w:r w:rsidRPr="00A85A4F">
        <w:rPr>
          <w:rStyle w:val="FootnoteReference"/>
        </w:rPr>
        <w:footnoteRef/>
      </w:r>
      <w:r w:rsidRPr="00A85A4F">
        <w:t xml:space="preserve"> </w:t>
      </w:r>
      <w:r w:rsidRPr="00A85A4F">
        <w:fldChar w:fldCharType="begin" w:fldLock="1"/>
      </w:r>
      <w:r w:rsidR="00F07DC2">
        <w:instrText>ADDIN CSL_CITATION {"citationItems":[{"id":"ITEM-1","itemData":{"ISBN":"9786026470027","author":[{"dropping-particle":"","family":"Nurwardani","given":"Paristiyanti","non-dropping-particle":"","parse-names":false,"suffix":""},{"dropping-particle":"","family":"Saksama","given":"Hestu Yoga","non-dropping-particle":"","parse-names":false,"suffix":""},{"dropping-particle":"","family":"Winataputra","given":"Udin S","non-dropping-particle":"","parse-names":false,"suffix":""},{"dropping-particle":"","family":"Budimansyah","given":"Dasim","non-dropping-particle":"","parse-names":false,"suffix":""},{"dropping-particle":"","family":"Sapriya","given":"","non-dropping-particle":"","parse-names":false,"suffix":""},{"dropping-particle":"","family":"Winarno","given":"","non-dropping-particle":"","parse-names":false,"suffix":""},{"dropping-particle":"","family":"Mulyono","given":"Edi","non-dropping-particle":"","parse-names":false,"suffix":""},{"dropping-particle":"","family":"Prawatyani","given":"Sanityas Jukti","non-dropping-particle":"","parse-names":false,"suffix":""},{"dropping-particle":"","family":"Anwar","given":"Aan Almaidah","non-dropping-particle":"","parse-names":false,"suffix":""},{"dropping-particle":"","family":"Evawany","given":"","non-dropping-particle":"","parse-names":false,"suffix":""},{"dropping-particle":"","family":"Priyautama","given":"Fajar","non-dropping-particle":"","parse-names":false,"suffix":""},{"dropping-particle":"","family":"Festanto","given":"Ary","non-dropping-particle":"","parse-names":false,"suffix":""}],"id":"ITEM-1","issued":{"date-parts":[["2016"]]},"publisher":"Direktorat Jenderal Pembelajaran dan Kemahasiswaan Kementerian Riset, Teknologi, dan Pendidikan Tinggi Republik","publisher-place":"Jakarta","title":"Pendidikan Kewarganegaraan untuk Perguruan Tinggi","type":"book"},"locator":"108 dan 114","uris":["http://www.mendeley.com/documents/?uuid=30965a91-d5cb-4fed-b308-f96cc9213e0a"]}],"mendeley":{"formattedCitation":"Nurwardani et al., hal. 108 dan 114.","plainTextFormattedCitation":"Nurwardani et al., hal. 108 dan 114.","previouslyFormattedCitation":"Nurwardani et al., hal. 108 dan 114."},"properties":{"noteIndex":41},"schema":"https://github.com/citation-style-language/schema/raw/master/csl-citation.json"}</w:instrText>
      </w:r>
      <w:r w:rsidRPr="00A85A4F">
        <w:fldChar w:fldCharType="separate"/>
      </w:r>
      <w:r w:rsidRPr="00A85A4F">
        <w:rPr>
          <w:noProof/>
        </w:rPr>
        <w:t>Nurwardani et al., hal. 108 dan 114.</w:t>
      </w:r>
      <w:r w:rsidRPr="00A85A4F">
        <w:fldChar w:fldCharType="end"/>
      </w:r>
    </w:p>
  </w:footnote>
  <w:footnote w:id="42">
    <w:p w14:paraId="21614E0E" w14:textId="72CF219F" w:rsidR="002B3BDE" w:rsidRPr="00A85A4F" w:rsidRDefault="002B3BDE" w:rsidP="004F4708">
      <w:pPr>
        <w:pStyle w:val="FootnoteText"/>
        <w:spacing w:before="0"/>
        <w:jc w:val="both"/>
      </w:pPr>
      <w:r w:rsidRPr="00A85A4F">
        <w:rPr>
          <w:rStyle w:val="FootnoteReference"/>
        </w:rPr>
        <w:footnoteRef/>
      </w:r>
      <w:r w:rsidRPr="00A85A4F">
        <w:t xml:space="preserve"> </w:t>
      </w:r>
      <w:r w:rsidRPr="00A85A4F">
        <w:fldChar w:fldCharType="begin" w:fldLock="1"/>
      </w:r>
      <w:r w:rsidR="00F07DC2">
        <w:instrText>ADDIN CSL_CITATION {"citationItems":[{"id":"ITEM-1","itemData":{"ISBN":"9786026470027","author":[{"dropping-particle":"","family":"Nurwardani","given":"Paristiyanti","non-dropping-particle":"","parse-names":false,"suffix":""},{"dropping-particle":"","family":"Saksama","given":"Hestu Yoga","non-dropping-particle":"","parse-names":false,"suffix":""},{"dropping-particle":"","family":"Winataputra","given":"Udin S","non-dropping-particle":"","parse-names":false,"suffix":""},{"dropping-particle":"","family":"Budimansyah","given":"Dasim","non-dropping-particle":"","parse-names":false,"suffix":""},{"dropping-particle":"","family":"Sapriya","given":"","non-dropping-particle":"","parse-names":false,"suffix":""},{"dropping-particle":"","family":"Winarno","given":"","non-dropping-particle":"","parse-names":false,"suffix":""},{"dropping-particle":"","family":"Mulyono","given":"Edi","non-dropping-particle":"","parse-names":false,"suffix":""},{"dropping-particle":"","family":"Prawatyani","given":"Sanityas Jukti","non-dropping-particle":"","parse-names":false,"suffix":""},{"dropping-particle":"","family":"Anwar","given":"Aan Almaidah","non-dropping-particle":"","parse-names":false,"suffix":""},{"dropping-particle":"","family":"Evawany","given":"","non-dropping-particle":"","parse-names":false,"suffix":""},{"dropping-particle":"","family":"Priyautama","given":"Fajar","non-dropping-particle":"","parse-names":false,"suffix":""},{"dropping-particle":"","family":"Festanto","given":"Ary","non-dropping-particle":"","parse-names":false,"suffix":""}],"id":"ITEM-1","issued":{"date-parts":[["2016"]]},"publisher":"Direktorat Jenderal Pembelajaran dan Kemahasiswaan Kementerian Riset, Teknologi, dan Pendidikan Tinggi Republik","publisher-place":"Jakarta","title":"Pendidikan Kewarganegaraan untuk Perguruan Tinggi","type":"book"},"locator":"108 dan 114","uris":["http://www.mendeley.com/documents/?uuid=30965a91-d5cb-4fed-b308-f96cc9213e0a"]}],"mendeley":{"formattedCitation":"Nurwardani et al., hal. 108 dan 114.","plainTextFormattedCitation":"Nurwardani et al., hal. 108 dan 114.","previouslyFormattedCitation":"Nurwardani et al., hal. 108 dan 114."},"properties":{"noteIndex":42},"schema":"https://github.com/citation-style-language/schema/raw/master/csl-citation.json"}</w:instrText>
      </w:r>
      <w:r w:rsidRPr="00A85A4F">
        <w:fldChar w:fldCharType="separate"/>
      </w:r>
      <w:r w:rsidRPr="00A85A4F">
        <w:rPr>
          <w:noProof/>
        </w:rPr>
        <w:t>Nurwardani et al., hal. 108 dan 114.</w:t>
      </w:r>
      <w:r w:rsidRPr="00A85A4F">
        <w:fldChar w:fldCharType="end"/>
      </w:r>
    </w:p>
  </w:footnote>
  <w:footnote w:id="43">
    <w:p w14:paraId="2CFC2C3B" w14:textId="241A2832" w:rsidR="002B3BDE" w:rsidRPr="00CD0B06" w:rsidRDefault="002B3BDE" w:rsidP="004F4708">
      <w:pPr>
        <w:pStyle w:val="FootnoteText"/>
        <w:spacing w:before="0"/>
        <w:jc w:val="both"/>
      </w:pPr>
      <w:r w:rsidRPr="00A85A4F">
        <w:rPr>
          <w:rStyle w:val="FootnoteReference"/>
        </w:rPr>
        <w:footnoteRef/>
      </w:r>
      <w:r w:rsidRPr="00A85A4F">
        <w:t xml:space="preserve"> </w:t>
      </w:r>
      <w:r w:rsidRPr="00CD0B06">
        <w:fldChar w:fldCharType="begin" w:fldLock="1"/>
      </w:r>
      <w:r w:rsidR="00F07DC2" w:rsidRPr="00CD0B06">
        <w:instrText>ADDIN CSL_CITATION {"citationItems":[{"id":"ITEM-1","itemData":{"author":[{"dropping-particle":"","family":"Citrawan","given":"Harison","non-dropping-particle":"","parse-names":false,"suffix":""}],"container-title":"makalah disampaikan pada Focused Group Discussion Pusat Studi Hak Asasi Manusia Universitas Negeri Medan Brastagi, 20 November 2019","id":"ITEM-1","issued":{"date-parts":[["0"]]},"title":"Kompleksitas Kewargaan dan Hak Asasi Manusia: Catatan Kritis atas Materi Hak Asasi Manusia di dalam Pendidikan Kewarganegaraan bagi Perguruan Tinggi","type":"paper-conference"},"uris":["http://www.mendeley.com/documents/?uuid=27cbfa4e-1188-45a5-8f90-3b76f8f18b94"]}],"mendeley":{"formattedCitation":"Harison Citrawan, “Kompleksitas Kewargaan dan Hak Asasi Manusia: Catatan Kritis atas Materi Hak Asasi Manusia di dalam Pendidikan Kewarganegaraan bagi Perguruan Tinggi,” in &lt;i&gt;makalah disampaikan pada Focused Group Discussion Pusat Studi Hak Asasi Manusia Universitas Negeri Medan Brastagi, 20 November 2019&lt;/i&gt;.","plainTextFormattedCitation":"Harison Citrawan, “Kompleksitas Kewargaan dan Hak Asasi Manusia: Catatan Kritis atas Materi Hak Asasi Manusia di dalam Pendidikan Kewarganegaraan bagi Perguruan Tinggi,” in makalah disampaikan pada Focused Group Discussion Pusat Studi Hak Asasi Manusia Universitas Negeri Medan Brastagi, 20 November 2019.","previouslyFormattedCitation":"Harison Citrawan, “Kompleksitas Kewargaan dan Hak Asasi Manusia: Catatan Kritis atas Materi Hak Asasi Manusia di dalam Pendidikan Kewarganegaraan bagi Perguruan Tinggi,” in &lt;i&gt;makalah disampaikan pada Focused Group Discussion Pusat Studi Hak Asasi Manusia Universitas Negeri Medan Brastagi, 20 November 2019&lt;/i&gt;."},"properties":{"noteIndex":43},"schema":"https://github.com/citation-style-language/schema/raw/master/csl-citation.json"}</w:instrText>
      </w:r>
      <w:r w:rsidRPr="00CD0B06">
        <w:fldChar w:fldCharType="separate"/>
      </w:r>
      <w:r w:rsidRPr="00CD0B06">
        <w:rPr>
          <w:noProof/>
        </w:rPr>
        <w:t>Harison Citrawan, “Kompleksitas Kewargaan dan Hak Asasi Manusia: Catatan Kritis atas Materi Hak Asasi Manusia di dalam Pendidikan Kewarganega</w:t>
      </w:r>
      <w:r w:rsidR="00CD0B06">
        <w:rPr>
          <w:noProof/>
        </w:rPr>
        <w:t xml:space="preserve">raan bagi Perguruan Tinggi,” </w:t>
      </w:r>
      <w:r w:rsidRPr="00CD0B06">
        <w:rPr>
          <w:i/>
          <w:noProof/>
        </w:rPr>
        <w:t>makalah disampaikan pada Focused Group Discussion Pusat Studi Hak Asasi Manusia Universitas Negeri Medan Brastagi, 20 November 2019</w:t>
      </w:r>
      <w:r w:rsidRPr="00CD0B06">
        <w:rPr>
          <w:noProof/>
        </w:rPr>
        <w:t>.</w:t>
      </w:r>
      <w:r w:rsidRPr="00CD0B06">
        <w:fldChar w:fldCharType="end"/>
      </w:r>
    </w:p>
  </w:footnote>
  <w:footnote w:id="44">
    <w:p w14:paraId="0CD04B86" w14:textId="2A83919B" w:rsidR="008B6873" w:rsidRPr="00CD0B06" w:rsidRDefault="008B6873" w:rsidP="004F4708">
      <w:pPr>
        <w:pStyle w:val="FootnoteText"/>
        <w:spacing w:before="0"/>
        <w:jc w:val="both"/>
      </w:pPr>
      <w:r w:rsidRPr="00CD0B06">
        <w:rPr>
          <w:rStyle w:val="FootnoteReference"/>
        </w:rPr>
        <w:footnoteRef/>
      </w:r>
      <w:r w:rsidRPr="00CD0B06">
        <w:t xml:space="preserve"> </w:t>
      </w:r>
      <w:r w:rsidRPr="00CD0B06">
        <w:fldChar w:fldCharType="begin" w:fldLock="1"/>
      </w:r>
      <w:r w:rsidR="00F07DC2" w:rsidRPr="00CD0B06">
        <w:instrText>ADDIN CSL_CITATION {"citationItems":[{"id":"ITEM-1","itemData":{"URL":"https://ap.ohchr.org/documents/alldocs.aspx?doc_id=3240","accessed":{"date-parts":[["2020","7","29"]]},"author":[{"dropping-particle":"","family":"Office of High Commissioner for Human Rigths","given":"","non-dropping-particle":"","parse-names":false,"suffix":""}],"container-title":"United Nation Human Rigths","id":"ITEM-1","issued":{"date-parts":[["0"]]},"title":"E/CN.4/2003/105: Human Rights and Human Responsibilities Final Report of the Special Rapporteur","type":"webpage"},"prefix":"Draf lengkap dapat dilihat pada ","uris":["http://www.mendeley.com/documents/?uuid=c88de343-a6c8-4e40-ab4b-3b567338d7f6"]},{"id":"ITEM-2","itemData":{"author":[{"dropping-particle":"","family":"Inter Action Council","given":"","non-dropping-particle":"","parse-names":false,"suffix":""}],"id":"ITEM-2","issued":{"date-parts":[["2003"]]},"publisher":"Habibie Center","publisher-place":"Jakarta","title":"A Statement from Political and Religious Leaders “ Bridging the Divide ”","type":"book"},"uris":["http://www.mendeley.com/documents/?uuid=14c71cc5-e3d9-4986-84f5-d91d71ef96b6"]}],"mendeley":{"formattedCitation":"Draf lengkap dapat dilihat pada Office of High Commissioner for Human Rigths, “E/CN.4/2003/105: Human Rights and Human Responsibilities Final Report of the Special Rapporteur,” &lt;i&gt;United Nation Human Rigths&lt;/i&gt; &lt;https://ap.ohchr.org/documents/alldocs.aspx?doc_id=3240&gt; [diakses 29 Juli 2020]; Inter Action Council, &lt;i&gt;A Statement from Political and Religious Leaders “ Bridging the Divide ”&lt;/i&gt; (Jakarta: Habibie Center, 2003) &lt;www.interactioncouncil.org&gt;.","plainTextFormattedCitation":"Draf lengkap dapat dilihat pada Office of High Commissioner for Human Rigths, “E/CN.4/2003/105: Human Rights and Human Responsibilities Final Report of the Special Rapporteur,” United Nation Human Rigths  [diakses 29 Juli 2020]; Inter Action Council, A Statement from Political and Religious Leaders “ Bridging the Divide ” (Jakarta: Habibie Center, 2003) .","previouslyFormattedCitation":"Draf lengkap dapat dilihat pada Office of High Commissioner for Human Rigths, “E/CN.4/2003/105: Human Rights and Human Responsibilities Final Report of the Special Rapporteur,” &lt;i&gt;United Nation Human Rigths&lt;/i&gt; &lt;https://ap.ohchr.org/documents/alldocs.aspx?doc_id=3240&gt; [diakses 29 Juli 2020]; Inter Action Council, &lt;i&gt;A Statement from Political and Religious Leaders “ Bridging the Divide ”&lt;/i&gt; (Jakarta: Habibie Center, 2003) &lt;www.interactioncouncil.org&gt;."},"properties":{"noteIndex":44},"schema":"https://github.com/citation-style-language/schema/raw/master/csl-citation.json"}</w:instrText>
      </w:r>
      <w:r w:rsidRPr="00CD0B06">
        <w:fldChar w:fldCharType="separate"/>
      </w:r>
      <w:r w:rsidR="00CD0B06" w:rsidRPr="00CD0B06">
        <w:rPr>
          <w:noProof/>
        </w:rPr>
        <w:t xml:space="preserve">Draf lengkap dapat dilihat pada Office of High Commissioner for Human Rigths, “E/CN.4/2003/105: Human Rights and Human Responsibilities Final Report of the Special Rapporteur,” </w:t>
      </w:r>
      <w:r w:rsidR="00CD0B06" w:rsidRPr="00CD0B06">
        <w:rPr>
          <w:i/>
          <w:noProof/>
        </w:rPr>
        <w:t>United Nation Human Rigths</w:t>
      </w:r>
      <w:r w:rsidR="00CD0B06" w:rsidRPr="00CD0B06">
        <w:rPr>
          <w:noProof/>
        </w:rPr>
        <w:t xml:space="preserve"> &lt;https://ap.ohchr.org/documents/alldocs.aspx?doc_id=3240&gt; [diakses 29 Juli 2020]; Inter Action Council, </w:t>
      </w:r>
      <w:r w:rsidR="00CD0B06" w:rsidRPr="00CD0B06">
        <w:rPr>
          <w:i/>
          <w:noProof/>
        </w:rPr>
        <w:t>A Statement from Political and Religious Leaders “ Bridging the Divide ”</w:t>
      </w:r>
      <w:r w:rsidR="00CD0B06" w:rsidRPr="00CD0B06">
        <w:rPr>
          <w:noProof/>
        </w:rPr>
        <w:t xml:space="preserve"> (Jakarta: Habibie Center, 2003) &lt;www.interactioncouncil.org&gt;.</w:t>
      </w:r>
      <w:r w:rsidRPr="00CD0B06">
        <w:fldChar w:fldCharType="end"/>
      </w:r>
    </w:p>
  </w:footnote>
  <w:footnote w:id="45">
    <w:p w14:paraId="403838E9" w14:textId="4C5BFBD0" w:rsidR="00545C31" w:rsidRPr="00A85A4F" w:rsidRDefault="007A54DB" w:rsidP="004F4708">
      <w:pPr>
        <w:pStyle w:val="FootnoteText"/>
        <w:spacing w:before="0"/>
        <w:jc w:val="both"/>
        <w:rPr>
          <w:color w:val="FF0000"/>
        </w:rPr>
      </w:pPr>
      <w:r w:rsidRPr="00CD0B06">
        <w:rPr>
          <w:rStyle w:val="FootnoteReference"/>
        </w:rPr>
        <w:footnoteRef/>
      </w:r>
      <w:r w:rsidRPr="00CD0B06">
        <w:t xml:space="preserve">Draf ini dirumuskan di Wina, Austria pada </w:t>
      </w:r>
      <w:r w:rsidR="00A07EBB" w:rsidRPr="00CD0B06">
        <w:t xml:space="preserve">20-22 April 1997 di bawah pimpinan Helmut Schmidt, mantan </w:t>
      </w:r>
      <w:r w:rsidR="000159F1" w:rsidRPr="00CD0B06">
        <w:t>Kanselir Jerman.</w:t>
      </w:r>
    </w:p>
  </w:footnote>
  <w:footnote w:id="46">
    <w:p w14:paraId="14E1BCB8" w14:textId="3140BAD4" w:rsidR="008B6873" w:rsidRPr="00A85A4F" w:rsidRDefault="008B6873" w:rsidP="004F4708">
      <w:pPr>
        <w:pStyle w:val="FootnoteText"/>
        <w:spacing w:before="0"/>
        <w:jc w:val="both"/>
      </w:pPr>
      <w:r w:rsidRPr="00A85A4F">
        <w:rPr>
          <w:rStyle w:val="FootnoteReference"/>
        </w:rPr>
        <w:footnoteRef/>
      </w:r>
      <w:r w:rsidRPr="00A85A4F">
        <w:t xml:space="preserve"> </w:t>
      </w:r>
      <w:r w:rsidRPr="00A85A4F">
        <w:fldChar w:fldCharType="begin" w:fldLock="1"/>
      </w:r>
      <w:r w:rsidR="00F07DC2">
        <w:instrText>ADDIN CSL_CITATION {"citationItems":[{"id":"ITEM-1","itemData":{"URL":"https://ap.ohchr.org/documents/alldocs.aspx?doc_id=3240","accessed":{"date-parts":[["2020","7","29"]]},"author":[{"dropping-particle":"","family":"Office of High Commissioner for Human Rigths","given":"","non-dropping-particle":"","parse-names":false,"suffix":""}],"container-title":"United Nation Human Rigths","id":"ITEM-1","issued":{"date-parts":[["0"]]},"title":"E/CN.4/2003/105: Human Rights and Human Responsibilities Final Report of the Special Rapporteur","type":"webpage"},"prefix":"Lihat Laporan Final Pelapor Khusus PBB,  ","uris":["http://www.mendeley.com/documents/?uuid=c88de343-a6c8-4e40-ab4b-3b567338d7f6"]},{"id":"ITEM-2","itemData":{"URL":"https://ap.ohchr.org/documents/alldocs.aspx?doc_id=9780","accessed":{"date-parts":[["2020","7","29"]]},"author":[{"dropping-particle":"","family":"Office of High Commissioner for Human Rigths","given":"","non-dropping-particle":"","parse-names":false,"suffix":""}],"container-title":"United Nation Human Rigths","id":"ITEM-2","issued":{"date-parts":[["2014"]]},"title":"Res 2004/117: Human Rights and Human Responsibilities","type":"webpage"},"prefix":"Lihat juga Resolusi Komisi HAM PBB, ","uris":["http://www.mendeley.com/documents/?uuid=9ce211e9-5ebf-4358-a1cb-b0e88c765225"]},{"id":"ITEM-3","itemData":{"author":[{"dropping-particle":"","family":"Giacomazzi","given":"Mia","non-dropping-particle":"","parse-names":false,"suffix":""}],"container-title":"Santa Clara Journal of International Law","id":"ITEM-3","issue":"2","issued":{"date-parts":[["2005"]]},"page":"164-176","title":"Human Rights and Human Responsibilities: A Necessary Balance?","type":"article-journal","volume":"3"},"prefix":"Bandingkan dengan ","uris":["http://www.mendeley.com/documents/?uuid=a8862fd8-a3cc-43a9-af2a-7e35c9091f40"]}],"mendeley":{"formattedCitation":"Lihat Laporan Final Pelapor Khusus PBB, Office of High Commissioner for Human Rigths, “E/CN.4/2003/105: Human Rights and Human Responsibilities Final Report of the Special Rapporteur”; Lihat juga Resolusi Komisi HAM PBB, Office of High Commissioner for Human Rigths, “Res 2004/117: Human Rights and Human Responsibilities,” &lt;i&gt;United Nation Human Rigths&lt;/i&gt;, 2014 &lt;https://ap.ohchr.org/documents/alldocs.aspx?doc_id=9780&gt; [diakses 29 Juli 2020]; Bandingkan dengan Mia Giacomazzi, “Human Rights and Human Responsibilities: A Necessary Balance?,” &lt;i&gt;Santa Clara Journal of International Law&lt;/i&gt;, 3.2 (2005), 164–76.","plainTextFormattedCitation":"Lihat Laporan Final Pelapor Khusus PBB, Office of High Commissioner for Human Rigths, “E/CN.4/2003/105: Human Rights and Human Responsibilities Final Report of the Special Rapporteur”; Lihat juga Resolusi Komisi HAM PBB, Office of High Commissioner for Human Rigths, “Res 2004/117: Human Rights and Human Responsibilities,” United Nation Human Rigths, 2014  [diakses 29 Juli 2020]; Bandingkan dengan Mia Giacomazzi, “Human Rights and Human Responsibilities: A Necessary Balance?,” Santa Clara Journal of International Law, 3.2 (2005), 164–76.","previouslyFormattedCitation":"Lihat Laporan Final Pelapor Khusus PBB, Office of High Commissioner for Human Rigths, “E/CN.4/2003/105: Human Rights and Human Responsibilities Final Report of the Special Rapporteur”; Lihat juga Resolusi Komisi HAM PBB, Office of High Commissioner for Human Rigths, “Res 2004/117: Human Rights and Human Responsibilities,” &lt;i&gt;United Nation Human Rigths&lt;/i&gt;, 2014 &lt;https://ap.ohchr.org/documents/alldocs.aspx?doc_id=9780&gt; [diakses 29 Juli 2020]; Bandingkan dengan Mia Giacomazzi, “Human Rights and Human Responsibilities: A Necessary Balance?,” &lt;i&gt;Santa Clara Journal of International Law&lt;/i&gt;, 3.2 (2005), 164–76."},"properties":{"noteIndex":46},"schema":"https://github.com/citation-style-language/schema/raw/master/csl-citation.json"}</w:instrText>
      </w:r>
      <w:r w:rsidRPr="00A85A4F">
        <w:fldChar w:fldCharType="separate"/>
      </w:r>
      <w:r w:rsidR="00CD0B06" w:rsidRPr="00CD0B06">
        <w:rPr>
          <w:noProof/>
        </w:rPr>
        <w:t xml:space="preserve">Lihat Laporan Final Pelapor Khusus PBB, Office of High Commissioner for Human Rigths, “E/CN.4/2003/105: Human Rights and Human Responsibilities Final Report of the Special Rapporteur”; Lihat juga Resolusi Komisi HAM PBB, Office of High Commissioner for Human Rigths, “Res 2004/117: Human Rights and Human Responsibilities,” </w:t>
      </w:r>
      <w:r w:rsidR="00CD0B06" w:rsidRPr="00CD0B06">
        <w:rPr>
          <w:i/>
          <w:noProof/>
        </w:rPr>
        <w:t>United Nation Human Rigths</w:t>
      </w:r>
      <w:r w:rsidR="00CD0B06" w:rsidRPr="00CD0B06">
        <w:rPr>
          <w:noProof/>
        </w:rPr>
        <w:t xml:space="preserve">, 2014 &lt;https://ap.ohchr.org/documents/alldocs.aspx?doc_id=9780&gt; [diakses 29 Juli 2020]; Bandingkan dengan Mia Giacomazzi, “Human Rights and Human Responsibilities: A Necessary Balance?,” </w:t>
      </w:r>
      <w:r w:rsidR="00CD0B06" w:rsidRPr="00CD0B06">
        <w:rPr>
          <w:i/>
          <w:noProof/>
        </w:rPr>
        <w:t>Santa Clara Journal of International Law</w:t>
      </w:r>
      <w:r w:rsidR="00CD0B06" w:rsidRPr="00CD0B06">
        <w:rPr>
          <w:noProof/>
        </w:rPr>
        <w:t>, 3.2 (2005), 164–76.</w:t>
      </w:r>
      <w:r w:rsidRPr="00A85A4F">
        <w:fldChar w:fldCharType="end"/>
      </w:r>
    </w:p>
  </w:footnote>
  <w:footnote w:id="47">
    <w:p w14:paraId="3D20FCF0" w14:textId="14E75A56" w:rsidR="002B3BDE" w:rsidRPr="00A85A4F" w:rsidRDefault="002B3BDE" w:rsidP="004F4708">
      <w:pPr>
        <w:pStyle w:val="FootnoteText"/>
        <w:spacing w:before="0"/>
        <w:jc w:val="both"/>
      </w:pPr>
      <w:r w:rsidRPr="00A85A4F">
        <w:rPr>
          <w:rStyle w:val="FootnoteReference"/>
        </w:rPr>
        <w:footnoteRef/>
      </w:r>
      <w:r w:rsidRPr="00A85A4F">
        <w:t xml:space="preserve"> </w:t>
      </w:r>
      <w:r w:rsidRPr="00A85A4F">
        <w:fldChar w:fldCharType="begin" w:fldLock="1"/>
      </w:r>
      <w:r w:rsidR="00F07DC2">
        <w:instrText>ADDIN CSL_CITATION {"citationItems":[{"id":"ITEM-1","itemData":{"ISBN":"9786026470027","author":[{"dropping-particle":"","family":"Nurwardani","given":"Paristiyanti","non-dropping-particle":"","parse-names":false,"suffix":""},{"dropping-particle":"","family":"Saksama","given":"Hestu Yoga","non-dropping-particle":"","parse-names":false,"suffix":""},{"dropping-particle":"","family":"Winataputra","given":"Udin S","non-dropping-particle":"","parse-names":false,"suffix":""},{"dropping-particle":"","family":"Budimansyah","given":"Dasim","non-dropping-particle":"","parse-names":false,"suffix":""},{"dropping-particle":"","family":"Sapriya","given":"","non-dropping-particle":"","parse-names":false,"suffix":""},{"dropping-particle":"","family":"Winarno","given":"","non-dropping-particle":"","parse-names":false,"suffix":""},{"dropping-particle":"","family":"Mulyono","given":"Edi","non-dropping-particle":"","parse-names":false,"suffix":""},{"dropping-particle":"","family":"Prawatyani","given":"Sanityas Jukti","non-dropping-particle":"","parse-names":false,"suffix":""},{"dropping-particle":"","family":"Anwar","given":"Aan Almaidah","non-dropping-particle":"","parse-names":false,"suffix":""},{"dropping-particle":"","family":"Evawany","given":"","non-dropping-particle":"","parse-names":false,"suffix":""},{"dropping-particle":"","family":"Priyautama","given":"Fajar","non-dropping-particle":"","parse-names":false,"suffix":""},{"dropping-particle":"","family":"Festanto","given":"Ary","non-dropping-particle":"","parse-names":false,"suffix":""}],"id":"ITEM-1","issued":{"date-parts":[["2016"]]},"publisher":"Direktorat Jenderal Pembelajaran dan Kemahasiswaan Kementerian Riset, Teknologi, dan Pendidikan Tinggi Republik","publisher-place":"Jakarta","title":"Pendidikan Kewarganegaraan untuk Perguruan Tinggi","type":"book"},"locator":"126-127","uris":["http://www.mendeley.com/documents/?uuid=30965a91-d5cb-4fed-b308-f96cc9213e0a"]}],"mendeley":{"formattedCitation":"Nurwardani et al., hal. 126–27.","plainTextFormattedCitation":"Nurwardani et al., hal. 126–27.","previouslyFormattedCitation":"Nurwardani et al., hal. 126–27."},"properties":{"noteIndex":47},"schema":"https://github.com/citation-style-language/schema/raw/master/csl-citation.json"}</w:instrText>
      </w:r>
      <w:r w:rsidRPr="00A85A4F">
        <w:fldChar w:fldCharType="separate"/>
      </w:r>
      <w:r w:rsidRPr="00A85A4F">
        <w:rPr>
          <w:noProof/>
        </w:rPr>
        <w:t>Nurwardani et al., hal. 126–27.</w:t>
      </w:r>
      <w:r w:rsidRPr="00A85A4F">
        <w:fldChar w:fldCharType="end"/>
      </w:r>
    </w:p>
  </w:footnote>
  <w:footnote w:id="48">
    <w:p w14:paraId="35944B1F" w14:textId="1A84CF85" w:rsidR="002B3BDE" w:rsidRPr="00A85A4F" w:rsidRDefault="002B3BDE" w:rsidP="004F4708">
      <w:pPr>
        <w:pStyle w:val="FootnoteText"/>
        <w:spacing w:before="0"/>
        <w:jc w:val="both"/>
      </w:pPr>
      <w:r w:rsidRPr="00A85A4F">
        <w:rPr>
          <w:rStyle w:val="FootnoteReference"/>
        </w:rPr>
        <w:footnoteRef/>
      </w:r>
      <w:r w:rsidRPr="00A85A4F">
        <w:t xml:space="preserve"> </w:t>
      </w:r>
      <w:r w:rsidRPr="00A85A4F">
        <w:fldChar w:fldCharType="begin" w:fldLock="1"/>
      </w:r>
      <w:r w:rsidR="00F07DC2">
        <w:instrText>ADDIN CSL_CITATION {"citationItems":[{"id":"ITEM-1","itemData":{"DOI":"10.17159/2221-4070/2016/v5i1a8","ISSN":"2221-4070","abstract":"Freire (1993) premised his pedagogical theory on the assumption that humanisation is the fundamental objective of education, and he emphasised the role of dialogue as praxis in achieving this. In South Africa, race has played a constitutive and dehumanising role in higher education since its beginnings during colonialism and apartheid (Soudien, 2015, 2016). During 2014 and 2015, higher education in South Africa came under attack from various student organisations for alleged discrimination, racism, and exclusive practices. We propose two conditions for dialogue as humanising praxis in higher education: the acknowledgement of situated selves, and the ontological need for, and right to, voice. We conclude that these conditions are interrelated and point to the possibilities of humanising post-1994 higher education. We use qualitative data from the NRF-funded project, Human rights literacy: a quest for meaning (Roux &amp; du Preez, 2013) to explore student teachers' experiences of implicit and explicit exclusion, racism, and discrimination at institutions of higher education in South Africa.","author":[{"dropping-particle":"","family":"Roux","given":"Cornelia","non-dropping-particle":"","parse-names":false,"suffix":""},{"dropping-particle":"","family":"Becker","given":"Anne","non-dropping-particle":"","parse-names":false,"suffix":""}],"container-title":"Educational Research for Social Change","id":"ITEM-1","issue":"1","issued":{"date-parts":[["2016"]]},"page":"131-143","title":"Humanising higher education in South Africa through dialogue as praxis","type":"article-journal","volume":"5"},"uris":["http://www.mendeley.com/documents/?uuid=b9c2d7a9-1418-4a2e-be42-cb8a4444fc56"]}],"mendeley":{"formattedCitation":"Cornelia Roux dan Anne Becker, “Humanising higher education in South Africa through dialogue as praxis,” &lt;i&gt;Educational Research for Social Change&lt;/i&gt;, 5.1 (2016), 131–43 &lt;https://doi.org/10.17159/2221-4070/2016/v5i1a8&gt;.","plainTextFormattedCitation":"Cornelia Roux dan Anne Becker, “Humanising higher education in South Africa through dialogue as praxis,” Educational Research for Social Change, 5.1 (2016), 131–43 .","previouslyFormattedCitation":"Cornelia Roux dan Anne Becker, “Humanising higher education in South Africa through dialogue as praxis,” &lt;i&gt;Educational Research for Social Change&lt;/i&gt;, 5.1 (2016), 131–43 &lt;https://doi.org/10.17159/2221-4070/2016/v5i1a8&gt;."},"properties":{"noteIndex":48},"schema":"https://github.com/citation-style-language/schema/raw/master/csl-citation.json"}</w:instrText>
      </w:r>
      <w:r w:rsidRPr="00A85A4F">
        <w:fldChar w:fldCharType="separate"/>
      </w:r>
      <w:r w:rsidR="00CD0B06" w:rsidRPr="00CD0B06">
        <w:rPr>
          <w:noProof/>
        </w:rPr>
        <w:t xml:space="preserve">Cornelia Roux dan Anne Becker, “Humanising higher education in South Africa through dialogue as praxis,” </w:t>
      </w:r>
      <w:r w:rsidR="00CD0B06" w:rsidRPr="00CD0B06">
        <w:rPr>
          <w:i/>
          <w:noProof/>
        </w:rPr>
        <w:t>Educational Research for Social Change</w:t>
      </w:r>
      <w:r w:rsidR="00CD0B06" w:rsidRPr="00CD0B06">
        <w:rPr>
          <w:noProof/>
        </w:rPr>
        <w:t>, 5.1 (2016), 131–43.</w:t>
      </w:r>
      <w:r w:rsidRPr="00A85A4F">
        <w:fldChar w:fldCharType="end"/>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EB720B4"/>
    <w:multiLevelType w:val="hybridMultilevel"/>
    <w:tmpl w:val="4CC245EA"/>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7470380C"/>
    <w:multiLevelType w:val="hybridMultilevel"/>
    <w:tmpl w:val="B44EAF44"/>
    <w:lvl w:ilvl="0" w:tplc="9530DF30">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hideSpellingErrors/>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00BA"/>
    <w:rsid w:val="000004BA"/>
    <w:rsid w:val="00005760"/>
    <w:rsid w:val="00011760"/>
    <w:rsid w:val="000159F1"/>
    <w:rsid w:val="00021536"/>
    <w:rsid w:val="00046701"/>
    <w:rsid w:val="0004724C"/>
    <w:rsid w:val="00052AEA"/>
    <w:rsid w:val="00054F67"/>
    <w:rsid w:val="000569FF"/>
    <w:rsid w:val="0007075C"/>
    <w:rsid w:val="00073F8D"/>
    <w:rsid w:val="00077716"/>
    <w:rsid w:val="00096272"/>
    <w:rsid w:val="000C13FA"/>
    <w:rsid w:val="000C7F3A"/>
    <w:rsid w:val="000F14DD"/>
    <w:rsid w:val="00111F62"/>
    <w:rsid w:val="001140F2"/>
    <w:rsid w:val="00120BFE"/>
    <w:rsid w:val="0012219A"/>
    <w:rsid w:val="00122483"/>
    <w:rsid w:val="00122D97"/>
    <w:rsid w:val="00124BEA"/>
    <w:rsid w:val="00132886"/>
    <w:rsid w:val="0014169A"/>
    <w:rsid w:val="00142E17"/>
    <w:rsid w:val="001457CF"/>
    <w:rsid w:val="0015167F"/>
    <w:rsid w:val="0015364F"/>
    <w:rsid w:val="00160AF6"/>
    <w:rsid w:val="0016186B"/>
    <w:rsid w:val="00162337"/>
    <w:rsid w:val="0016258B"/>
    <w:rsid w:val="00172CC0"/>
    <w:rsid w:val="0017754B"/>
    <w:rsid w:val="00185428"/>
    <w:rsid w:val="001920F8"/>
    <w:rsid w:val="00197C83"/>
    <w:rsid w:val="001A79B8"/>
    <w:rsid w:val="001B3EF9"/>
    <w:rsid w:val="001B5BD1"/>
    <w:rsid w:val="001C1B8D"/>
    <w:rsid w:val="001C444D"/>
    <w:rsid w:val="001C63B5"/>
    <w:rsid w:val="001F44A9"/>
    <w:rsid w:val="001F563A"/>
    <w:rsid w:val="00200817"/>
    <w:rsid w:val="00217B3B"/>
    <w:rsid w:val="0022049A"/>
    <w:rsid w:val="00230AAB"/>
    <w:rsid w:val="00233B35"/>
    <w:rsid w:val="002341EB"/>
    <w:rsid w:val="00236F34"/>
    <w:rsid w:val="00244FF0"/>
    <w:rsid w:val="0024756C"/>
    <w:rsid w:val="00261F2B"/>
    <w:rsid w:val="00266430"/>
    <w:rsid w:val="00266E05"/>
    <w:rsid w:val="00271725"/>
    <w:rsid w:val="00272C77"/>
    <w:rsid w:val="0027578C"/>
    <w:rsid w:val="002803E2"/>
    <w:rsid w:val="00286119"/>
    <w:rsid w:val="00290713"/>
    <w:rsid w:val="002B3BDE"/>
    <w:rsid w:val="002C6BAF"/>
    <w:rsid w:val="002F46C2"/>
    <w:rsid w:val="00321EE6"/>
    <w:rsid w:val="00323A9D"/>
    <w:rsid w:val="00333373"/>
    <w:rsid w:val="00334613"/>
    <w:rsid w:val="003361B3"/>
    <w:rsid w:val="00340769"/>
    <w:rsid w:val="00347B29"/>
    <w:rsid w:val="00350128"/>
    <w:rsid w:val="00351010"/>
    <w:rsid w:val="0035661C"/>
    <w:rsid w:val="00356AAE"/>
    <w:rsid w:val="00360436"/>
    <w:rsid w:val="00361BAE"/>
    <w:rsid w:val="00363A1C"/>
    <w:rsid w:val="00365D8D"/>
    <w:rsid w:val="00365F3F"/>
    <w:rsid w:val="0037174D"/>
    <w:rsid w:val="00373DFA"/>
    <w:rsid w:val="00397F25"/>
    <w:rsid w:val="003A115E"/>
    <w:rsid w:val="003A3CF7"/>
    <w:rsid w:val="003A5406"/>
    <w:rsid w:val="003A54D3"/>
    <w:rsid w:val="003A6A1D"/>
    <w:rsid w:val="003B6145"/>
    <w:rsid w:val="003C2409"/>
    <w:rsid w:val="003C50C4"/>
    <w:rsid w:val="003C6001"/>
    <w:rsid w:val="003D4F09"/>
    <w:rsid w:val="003E0A9D"/>
    <w:rsid w:val="003E6EE0"/>
    <w:rsid w:val="003F1D4E"/>
    <w:rsid w:val="003F2459"/>
    <w:rsid w:val="003F2B88"/>
    <w:rsid w:val="003F37B8"/>
    <w:rsid w:val="003F6FDD"/>
    <w:rsid w:val="004075C2"/>
    <w:rsid w:val="00410D5D"/>
    <w:rsid w:val="004210AC"/>
    <w:rsid w:val="00432D15"/>
    <w:rsid w:val="00432FC5"/>
    <w:rsid w:val="00433F6E"/>
    <w:rsid w:val="00455BCD"/>
    <w:rsid w:val="00457B8B"/>
    <w:rsid w:val="004721A4"/>
    <w:rsid w:val="004735BB"/>
    <w:rsid w:val="00475B57"/>
    <w:rsid w:val="00480837"/>
    <w:rsid w:val="0048267B"/>
    <w:rsid w:val="004934EC"/>
    <w:rsid w:val="004947FB"/>
    <w:rsid w:val="004A19C3"/>
    <w:rsid w:val="004A31A1"/>
    <w:rsid w:val="004B0CEA"/>
    <w:rsid w:val="004B34E3"/>
    <w:rsid w:val="004B405B"/>
    <w:rsid w:val="004B6A42"/>
    <w:rsid w:val="004C1BC6"/>
    <w:rsid w:val="004D15F9"/>
    <w:rsid w:val="004D7E4E"/>
    <w:rsid w:val="004F4708"/>
    <w:rsid w:val="004F5EC0"/>
    <w:rsid w:val="00501099"/>
    <w:rsid w:val="0050493F"/>
    <w:rsid w:val="005060D8"/>
    <w:rsid w:val="00512307"/>
    <w:rsid w:val="00523B5A"/>
    <w:rsid w:val="0052576F"/>
    <w:rsid w:val="005268D5"/>
    <w:rsid w:val="005353AC"/>
    <w:rsid w:val="00537190"/>
    <w:rsid w:val="0054118F"/>
    <w:rsid w:val="0054575E"/>
    <w:rsid w:val="00545C31"/>
    <w:rsid w:val="00552127"/>
    <w:rsid w:val="005611C6"/>
    <w:rsid w:val="005647CF"/>
    <w:rsid w:val="00571F81"/>
    <w:rsid w:val="00574C12"/>
    <w:rsid w:val="00576421"/>
    <w:rsid w:val="00581307"/>
    <w:rsid w:val="005815BE"/>
    <w:rsid w:val="00581A27"/>
    <w:rsid w:val="00582673"/>
    <w:rsid w:val="00583967"/>
    <w:rsid w:val="00584F96"/>
    <w:rsid w:val="005857D3"/>
    <w:rsid w:val="00597193"/>
    <w:rsid w:val="005972A8"/>
    <w:rsid w:val="005A634B"/>
    <w:rsid w:val="005B0861"/>
    <w:rsid w:val="005C0814"/>
    <w:rsid w:val="005C0C17"/>
    <w:rsid w:val="005C25EF"/>
    <w:rsid w:val="005C60FB"/>
    <w:rsid w:val="005D37B5"/>
    <w:rsid w:val="005E2BAB"/>
    <w:rsid w:val="005E3043"/>
    <w:rsid w:val="005E3BAC"/>
    <w:rsid w:val="005F6696"/>
    <w:rsid w:val="005F7C65"/>
    <w:rsid w:val="00600A63"/>
    <w:rsid w:val="00612B81"/>
    <w:rsid w:val="00626497"/>
    <w:rsid w:val="0063241D"/>
    <w:rsid w:val="00637AC1"/>
    <w:rsid w:val="006425DA"/>
    <w:rsid w:val="00643B16"/>
    <w:rsid w:val="00645854"/>
    <w:rsid w:val="0065409C"/>
    <w:rsid w:val="00664EF9"/>
    <w:rsid w:val="00666B31"/>
    <w:rsid w:val="00667E00"/>
    <w:rsid w:val="0067332A"/>
    <w:rsid w:val="00673E00"/>
    <w:rsid w:val="00681C29"/>
    <w:rsid w:val="006864A8"/>
    <w:rsid w:val="00695D29"/>
    <w:rsid w:val="006A54F9"/>
    <w:rsid w:val="006B15C0"/>
    <w:rsid w:val="006B53C6"/>
    <w:rsid w:val="006B79B6"/>
    <w:rsid w:val="006C6FF1"/>
    <w:rsid w:val="006D7985"/>
    <w:rsid w:val="006E1AD0"/>
    <w:rsid w:val="006E77E5"/>
    <w:rsid w:val="006F7467"/>
    <w:rsid w:val="00700151"/>
    <w:rsid w:val="00700A5F"/>
    <w:rsid w:val="0070121A"/>
    <w:rsid w:val="00701CD1"/>
    <w:rsid w:val="00703864"/>
    <w:rsid w:val="00713D8E"/>
    <w:rsid w:val="00717F3C"/>
    <w:rsid w:val="00721853"/>
    <w:rsid w:val="00724E5E"/>
    <w:rsid w:val="00736664"/>
    <w:rsid w:val="007376D6"/>
    <w:rsid w:val="00746049"/>
    <w:rsid w:val="007465DB"/>
    <w:rsid w:val="007471A0"/>
    <w:rsid w:val="007562DA"/>
    <w:rsid w:val="00765B9A"/>
    <w:rsid w:val="00767831"/>
    <w:rsid w:val="00767A61"/>
    <w:rsid w:val="00774949"/>
    <w:rsid w:val="007762D6"/>
    <w:rsid w:val="0078174F"/>
    <w:rsid w:val="0078270A"/>
    <w:rsid w:val="00785A4F"/>
    <w:rsid w:val="007932FF"/>
    <w:rsid w:val="00796018"/>
    <w:rsid w:val="00797AAC"/>
    <w:rsid w:val="007A38F3"/>
    <w:rsid w:val="007A54DB"/>
    <w:rsid w:val="007B4457"/>
    <w:rsid w:val="007B48BA"/>
    <w:rsid w:val="007C6BF7"/>
    <w:rsid w:val="007D2123"/>
    <w:rsid w:val="007E15C7"/>
    <w:rsid w:val="007E2D9C"/>
    <w:rsid w:val="007E6475"/>
    <w:rsid w:val="007E6844"/>
    <w:rsid w:val="007E7B52"/>
    <w:rsid w:val="007F0676"/>
    <w:rsid w:val="00800DF7"/>
    <w:rsid w:val="00802D4F"/>
    <w:rsid w:val="0080306E"/>
    <w:rsid w:val="00803A43"/>
    <w:rsid w:val="0082159E"/>
    <w:rsid w:val="0082489F"/>
    <w:rsid w:val="00826D5D"/>
    <w:rsid w:val="008308A9"/>
    <w:rsid w:val="00831B1F"/>
    <w:rsid w:val="008352F3"/>
    <w:rsid w:val="00841007"/>
    <w:rsid w:val="00842E2C"/>
    <w:rsid w:val="0085123B"/>
    <w:rsid w:val="00851523"/>
    <w:rsid w:val="00851A18"/>
    <w:rsid w:val="00852368"/>
    <w:rsid w:val="00853C05"/>
    <w:rsid w:val="008555C6"/>
    <w:rsid w:val="00857553"/>
    <w:rsid w:val="0086236E"/>
    <w:rsid w:val="0086344F"/>
    <w:rsid w:val="0087004A"/>
    <w:rsid w:val="0087189D"/>
    <w:rsid w:val="008820F4"/>
    <w:rsid w:val="00885C33"/>
    <w:rsid w:val="008A0B72"/>
    <w:rsid w:val="008B4E6B"/>
    <w:rsid w:val="008B5E68"/>
    <w:rsid w:val="008B6873"/>
    <w:rsid w:val="008B6DC5"/>
    <w:rsid w:val="008C773D"/>
    <w:rsid w:val="008D18EE"/>
    <w:rsid w:val="008D2C08"/>
    <w:rsid w:val="008D5021"/>
    <w:rsid w:val="008D573F"/>
    <w:rsid w:val="008E14C2"/>
    <w:rsid w:val="008E556B"/>
    <w:rsid w:val="008E58E2"/>
    <w:rsid w:val="008F0DEB"/>
    <w:rsid w:val="008F7D94"/>
    <w:rsid w:val="00904792"/>
    <w:rsid w:val="00906162"/>
    <w:rsid w:val="00911C47"/>
    <w:rsid w:val="00912597"/>
    <w:rsid w:val="009220BE"/>
    <w:rsid w:val="0092211F"/>
    <w:rsid w:val="00922AA4"/>
    <w:rsid w:val="00926A0B"/>
    <w:rsid w:val="00926E1A"/>
    <w:rsid w:val="00932DB5"/>
    <w:rsid w:val="009353E8"/>
    <w:rsid w:val="00936A44"/>
    <w:rsid w:val="00937242"/>
    <w:rsid w:val="0094680E"/>
    <w:rsid w:val="0095414C"/>
    <w:rsid w:val="009652C3"/>
    <w:rsid w:val="0096531B"/>
    <w:rsid w:val="00967321"/>
    <w:rsid w:val="00976825"/>
    <w:rsid w:val="0098672B"/>
    <w:rsid w:val="00993324"/>
    <w:rsid w:val="009A143B"/>
    <w:rsid w:val="009A20B5"/>
    <w:rsid w:val="009A58FF"/>
    <w:rsid w:val="009A74AC"/>
    <w:rsid w:val="009B07B7"/>
    <w:rsid w:val="009B1487"/>
    <w:rsid w:val="009B44CA"/>
    <w:rsid w:val="009B6C30"/>
    <w:rsid w:val="009C5B21"/>
    <w:rsid w:val="009C6EA9"/>
    <w:rsid w:val="009C79C3"/>
    <w:rsid w:val="009D44DD"/>
    <w:rsid w:val="009D4B44"/>
    <w:rsid w:val="009D63F6"/>
    <w:rsid w:val="009D662F"/>
    <w:rsid w:val="009E11B5"/>
    <w:rsid w:val="009E7DF7"/>
    <w:rsid w:val="009F35F7"/>
    <w:rsid w:val="009F3737"/>
    <w:rsid w:val="009F4967"/>
    <w:rsid w:val="009F4B65"/>
    <w:rsid w:val="009F62E8"/>
    <w:rsid w:val="00A07EBB"/>
    <w:rsid w:val="00A13B0E"/>
    <w:rsid w:val="00A23E82"/>
    <w:rsid w:val="00A247D3"/>
    <w:rsid w:val="00A25B50"/>
    <w:rsid w:val="00A30E28"/>
    <w:rsid w:val="00A47430"/>
    <w:rsid w:val="00A47818"/>
    <w:rsid w:val="00A47D8B"/>
    <w:rsid w:val="00A72066"/>
    <w:rsid w:val="00A750AA"/>
    <w:rsid w:val="00A83DA3"/>
    <w:rsid w:val="00A85A4F"/>
    <w:rsid w:val="00A90883"/>
    <w:rsid w:val="00A91DFA"/>
    <w:rsid w:val="00A95634"/>
    <w:rsid w:val="00A958B0"/>
    <w:rsid w:val="00AA108E"/>
    <w:rsid w:val="00AA17B8"/>
    <w:rsid w:val="00AA3DC0"/>
    <w:rsid w:val="00AA5DEF"/>
    <w:rsid w:val="00AA7335"/>
    <w:rsid w:val="00AC24E4"/>
    <w:rsid w:val="00AC3294"/>
    <w:rsid w:val="00AC717C"/>
    <w:rsid w:val="00AD3863"/>
    <w:rsid w:val="00AE2A1C"/>
    <w:rsid w:val="00AE47AC"/>
    <w:rsid w:val="00AE537D"/>
    <w:rsid w:val="00AF1CE1"/>
    <w:rsid w:val="00AF4101"/>
    <w:rsid w:val="00AF5FEB"/>
    <w:rsid w:val="00AF6C50"/>
    <w:rsid w:val="00B031D6"/>
    <w:rsid w:val="00B03D3D"/>
    <w:rsid w:val="00B2256E"/>
    <w:rsid w:val="00B27B5F"/>
    <w:rsid w:val="00B30A44"/>
    <w:rsid w:val="00B361C9"/>
    <w:rsid w:val="00B36626"/>
    <w:rsid w:val="00B40338"/>
    <w:rsid w:val="00B526C9"/>
    <w:rsid w:val="00B548A9"/>
    <w:rsid w:val="00B57697"/>
    <w:rsid w:val="00B6156A"/>
    <w:rsid w:val="00B6434A"/>
    <w:rsid w:val="00B87561"/>
    <w:rsid w:val="00B93267"/>
    <w:rsid w:val="00B935A6"/>
    <w:rsid w:val="00B96269"/>
    <w:rsid w:val="00BA1493"/>
    <w:rsid w:val="00BA25AB"/>
    <w:rsid w:val="00BA562A"/>
    <w:rsid w:val="00BA6F23"/>
    <w:rsid w:val="00BB7E95"/>
    <w:rsid w:val="00BF1F21"/>
    <w:rsid w:val="00C107BE"/>
    <w:rsid w:val="00C1369A"/>
    <w:rsid w:val="00C15609"/>
    <w:rsid w:val="00C15A2C"/>
    <w:rsid w:val="00C17724"/>
    <w:rsid w:val="00C21547"/>
    <w:rsid w:val="00C31F49"/>
    <w:rsid w:val="00C345A2"/>
    <w:rsid w:val="00C36185"/>
    <w:rsid w:val="00C47865"/>
    <w:rsid w:val="00C519B7"/>
    <w:rsid w:val="00C5247F"/>
    <w:rsid w:val="00C63855"/>
    <w:rsid w:val="00C6537F"/>
    <w:rsid w:val="00C656D9"/>
    <w:rsid w:val="00C675E2"/>
    <w:rsid w:val="00C67E53"/>
    <w:rsid w:val="00C70BD5"/>
    <w:rsid w:val="00C7284E"/>
    <w:rsid w:val="00C77532"/>
    <w:rsid w:val="00C929FB"/>
    <w:rsid w:val="00C96DB5"/>
    <w:rsid w:val="00CA324F"/>
    <w:rsid w:val="00CA5900"/>
    <w:rsid w:val="00CB1AD5"/>
    <w:rsid w:val="00CB79D4"/>
    <w:rsid w:val="00CD0B06"/>
    <w:rsid w:val="00CD0CB7"/>
    <w:rsid w:val="00CD1797"/>
    <w:rsid w:val="00CD2DB7"/>
    <w:rsid w:val="00CE07B2"/>
    <w:rsid w:val="00CE7400"/>
    <w:rsid w:val="00CF36BA"/>
    <w:rsid w:val="00CF4208"/>
    <w:rsid w:val="00CF517C"/>
    <w:rsid w:val="00D044D5"/>
    <w:rsid w:val="00D04805"/>
    <w:rsid w:val="00D11876"/>
    <w:rsid w:val="00D22571"/>
    <w:rsid w:val="00D300BA"/>
    <w:rsid w:val="00D34E7F"/>
    <w:rsid w:val="00D34F95"/>
    <w:rsid w:val="00D42514"/>
    <w:rsid w:val="00D433A8"/>
    <w:rsid w:val="00D44124"/>
    <w:rsid w:val="00D45EC1"/>
    <w:rsid w:val="00D56E0F"/>
    <w:rsid w:val="00D6288D"/>
    <w:rsid w:val="00D6327C"/>
    <w:rsid w:val="00D64689"/>
    <w:rsid w:val="00D66970"/>
    <w:rsid w:val="00D67DF3"/>
    <w:rsid w:val="00D719EA"/>
    <w:rsid w:val="00D851C9"/>
    <w:rsid w:val="00D90094"/>
    <w:rsid w:val="00D90179"/>
    <w:rsid w:val="00DA0C83"/>
    <w:rsid w:val="00DA5072"/>
    <w:rsid w:val="00DA71AD"/>
    <w:rsid w:val="00DB50E8"/>
    <w:rsid w:val="00DB779B"/>
    <w:rsid w:val="00DC7E4C"/>
    <w:rsid w:val="00DD0475"/>
    <w:rsid w:val="00DD0A95"/>
    <w:rsid w:val="00DD6233"/>
    <w:rsid w:val="00DE5093"/>
    <w:rsid w:val="00DF1F6C"/>
    <w:rsid w:val="00DF7E3D"/>
    <w:rsid w:val="00E066D1"/>
    <w:rsid w:val="00E10A0C"/>
    <w:rsid w:val="00E12226"/>
    <w:rsid w:val="00E21CD9"/>
    <w:rsid w:val="00E22D94"/>
    <w:rsid w:val="00E24CA1"/>
    <w:rsid w:val="00E25B8E"/>
    <w:rsid w:val="00E312E7"/>
    <w:rsid w:val="00E33BD2"/>
    <w:rsid w:val="00E3457C"/>
    <w:rsid w:val="00E34C56"/>
    <w:rsid w:val="00E4136F"/>
    <w:rsid w:val="00E43B2F"/>
    <w:rsid w:val="00E45CDD"/>
    <w:rsid w:val="00E46CC8"/>
    <w:rsid w:val="00E470AC"/>
    <w:rsid w:val="00E52482"/>
    <w:rsid w:val="00E565D7"/>
    <w:rsid w:val="00E64C59"/>
    <w:rsid w:val="00E65780"/>
    <w:rsid w:val="00E7536A"/>
    <w:rsid w:val="00E760E9"/>
    <w:rsid w:val="00E91263"/>
    <w:rsid w:val="00E9414B"/>
    <w:rsid w:val="00E94775"/>
    <w:rsid w:val="00E95532"/>
    <w:rsid w:val="00EA13E2"/>
    <w:rsid w:val="00EA3C75"/>
    <w:rsid w:val="00EC5443"/>
    <w:rsid w:val="00EE5F8E"/>
    <w:rsid w:val="00EF1943"/>
    <w:rsid w:val="00F0607E"/>
    <w:rsid w:val="00F07DC2"/>
    <w:rsid w:val="00F224BF"/>
    <w:rsid w:val="00F34003"/>
    <w:rsid w:val="00F46DF3"/>
    <w:rsid w:val="00F51B0C"/>
    <w:rsid w:val="00F5231C"/>
    <w:rsid w:val="00F5484C"/>
    <w:rsid w:val="00F740FA"/>
    <w:rsid w:val="00F80DA4"/>
    <w:rsid w:val="00F860BD"/>
    <w:rsid w:val="00F86474"/>
    <w:rsid w:val="00F86865"/>
    <w:rsid w:val="00F90208"/>
    <w:rsid w:val="00F90A10"/>
    <w:rsid w:val="00F92601"/>
    <w:rsid w:val="00F95751"/>
    <w:rsid w:val="00FA0675"/>
    <w:rsid w:val="00FA2B64"/>
    <w:rsid w:val="00FA4FF5"/>
    <w:rsid w:val="00FB09B9"/>
    <w:rsid w:val="00FB153A"/>
    <w:rsid w:val="00FB336B"/>
    <w:rsid w:val="00FB37EA"/>
    <w:rsid w:val="00FB3BB8"/>
    <w:rsid w:val="00FB7923"/>
    <w:rsid w:val="00FC4518"/>
    <w:rsid w:val="00FC54EA"/>
    <w:rsid w:val="00FD6541"/>
    <w:rsid w:val="00FE1903"/>
    <w:rsid w:val="00FF13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B8E45E5"/>
  <w14:defaultImageDpi w14:val="96"/>
  <w15:docId w15:val="{D4E9A3EF-CEBC-44F9-9A0A-13FAA77CA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HAnsi"/>
        <w:sz w:val="22"/>
        <w:szCs w:val="22"/>
        <w:lang w:val="id-ID" w:eastAsia="id-ID"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4708"/>
    <w:pPr>
      <w:spacing w:before="120" w:after="0" w:line="240" w:lineRule="auto"/>
    </w:pPr>
    <w:rPr>
      <w:rFonts w:ascii="Times New Roman" w:hAnsi="Times New Roman" w:cs="Times New Roman"/>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uiPriority w:val="99"/>
    <w:rsid w:val="00D300BA"/>
    <w:rPr>
      <w:rFonts w:cs="Times New Roman"/>
      <w:vertAlign w:val="superscript"/>
    </w:rPr>
  </w:style>
  <w:style w:type="paragraph" w:styleId="ListParagraph">
    <w:name w:val="List Paragraph"/>
    <w:basedOn w:val="Normal"/>
    <w:uiPriority w:val="34"/>
    <w:qFormat/>
    <w:rsid w:val="00D300BA"/>
    <w:pPr>
      <w:ind w:left="720"/>
      <w:contextualSpacing/>
    </w:pPr>
  </w:style>
  <w:style w:type="paragraph" w:styleId="FootnoteText">
    <w:name w:val="footnote text"/>
    <w:aliases w:val="Char1"/>
    <w:basedOn w:val="Normal"/>
    <w:link w:val="FootnoteTextChar"/>
    <w:uiPriority w:val="99"/>
    <w:unhideWhenUsed/>
    <w:rsid w:val="00D300BA"/>
    <w:rPr>
      <w:sz w:val="20"/>
      <w:szCs w:val="20"/>
    </w:rPr>
  </w:style>
  <w:style w:type="character" w:customStyle="1" w:styleId="FootnoteTextChar">
    <w:name w:val="Footnote Text Char"/>
    <w:aliases w:val="Char1 Char"/>
    <w:basedOn w:val="DefaultParagraphFont"/>
    <w:link w:val="FootnoteText"/>
    <w:uiPriority w:val="99"/>
    <w:locked/>
    <w:rsid w:val="00D300BA"/>
    <w:rPr>
      <w:rFonts w:eastAsia="Times New Roman" w:cs="Times New Roman"/>
      <w:sz w:val="20"/>
      <w:szCs w:val="20"/>
    </w:rPr>
  </w:style>
  <w:style w:type="paragraph" w:customStyle="1" w:styleId="Default">
    <w:name w:val="Default"/>
    <w:rsid w:val="00D300BA"/>
    <w:pPr>
      <w:autoSpaceDE w:val="0"/>
      <w:autoSpaceDN w:val="0"/>
      <w:adjustRightInd w:val="0"/>
      <w:spacing w:after="0" w:line="240" w:lineRule="auto"/>
    </w:pPr>
    <w:rPr>
      <w:rFonts w:ascii="Arial" w:hAnsi="Arial" w:cs="Arial"/>
      <w:color w:val="000000"/>
      <w:sz w:val="24"/>
      <w:szCs w:val="24"/>
      <w:lang w:val="en-US" w:eastAsia="en-US"/>
    </w:rPr>
  </w:style>
  <w:style w:type="character" w:styleId="Hyperlink">
    <w:name w:val="Hyperlink"/>
    <w:basedOn w:val="DefaultParagraphFont"/>
    <w:uiPriority w:val="99"/>
    <w:unhideWhenUsed/>
    <w:rsid w:val="00D300BA"/>
    <w:rPr>
      <w:rFonts w:cs="Times New Roman"/>
      <w:color w:val="0000FF" w:themeColor="hyperlink"/>
      <w:u w:val="single"/>
    </w:rPr>
  </w:style>
  <w:style w:type="paragraph" w:styleId="NormalWeb">
    <w:name w:val="Normal (Web)"/>
    <w:basedOn w:val="Normal"/>
    <w:uiPriority w:val="99"/>
    <w:unhideWhenUsed/>
    <w:rsid w:val="00D300BA"/>
    <w:pPr>
      <w:spacing w:before="100" w:beforeAutospacing="1" w:after="100" w:afterAutospacing="1"/>
    </w:pPr>
    <w:rPr>
      <w:sz w:val="24"/>
      <w:szCs w:val="24"/>
    </w:rPr>
  </w:style>
  <w:style w:type="paragraph" w:styleId="Footer">
    <w:name w:val="footer"/>
    <w:basedOn w:val="Normal"/>
    <w:link w:val="FooterChar"/>
    <w:uiPriority w:val="99"/>
    <w:unhideWhenUsed/>
    <w:rsid w:val="00D300BA"/>
    <w:pPr>
      <w:tabs>
        <w:tab w:val="center" w:pos="4680"/>
        <w:tab w:val="right" w:pos="9360"/>
      </w:tabs>
    </w:pPr>
  </w:style>
  <w:style w:type="character" w:customStyle="1" w:styleId="FooterChar">
    <w:name w:val="Footer Char"/>
    <w:basedOn w:val="DefaultParagraphFont"/>
    <w:link w:val="Footer"/>
    <w:uiPriority w:val="99"/>
    <w:locked/>
    <w:rsid w:val="00D300BA"/>
    <w:rPr>
      <w:rFonts w:eastAsia="Times New Roman" w:cs="Times New Roman"/>
    </w:rPr>
  </w:style>
  <w:style w:type="character" w:styleId="CommentReference">
    <w:name w:val="annotation reference"/>
    <w:basedOn w:val="DefaultParagraphFont"/>
    <w:uiPriority w:val="99"/>
    <w:rsid w:val="002B3BDE"/>
    <w:rPr>
      <w:sz w:val="16"/>
      <w:szCs w:val="16"/>
    </w:rPr>
  </w:style>
  <w:style w:type="paragraph" w:styleId="CommentText">
    <w:name w:val="annotation text"/>
    <w:basedOn w:val="Normal"/>
    <w:link w:val="CommentTextChar"/>
    <w:uiPriority w:val="99"/>
    <w:rsid w:val="002B3BDE"/>
    <w:rPr>
      <w:sz w:val="20"/>
      <w:szCs w:val="20"/>
    </w:rPr>
  </w:style>
  <w:style w:type="character" w:customStyle="1" w:styleId="CommentTextChar">
    <w:name w:val="Comment Text Char"/>
    <w:basedOn w:val="DefaultParagraphFont"/>
    <w:link w:val="CommentText"/>
    <w:uiPriority w:val="99"/>
    <w:rsid w:val="002B3BDE"/>
    <w:rPr>
      <w:rFonts w:cs="Times New Roman"/>
      <w:sz w:val="20"/>
      <w:szCs w:val="20"/>
      <w:lang w:val="en-US" w:eastAsia="en-US"/>
    </w:rPr>
  </w:style>
  <w:style w:type="paragraph" w:styleId="CommentSubject">
    <w:name w:val="annotation subject"/>
    <w:basedOn w:val="CommentText"/>
    <w:next w:val="CommentText"/>
    <w:link w:val="CommentSubjectChar"/>
    <w:uiPriority w:val="99"/>
    <w:rsid w:val="002B3BDE"/>
    <w:rPr>
      <w:b/>
      <w:bCs/>
    </w:rPr>
  </w:style>
  <w:style w:type="character" w:customStyle="1" w:styleId="CommentSubjectChar">
    <w:name w:val="Comment Subject Char"/>
    <w:basedOn w:val="CommentTextChar"/>
    <w:link w:val="CommentSubject"/>
    <w:uiPriority w:val="99"/>
    <w:rsid w:val="002B3BDE"/>
    <w:rPr>
      <w:rFonts w:cs="Times New Roman"/>
      <w:b/>
      <w:bCs/>
      <w:sz w:val="20"/>
      <w:szCs w:val="20"/>
      <w:lang w:val="en-US" w:eastAsia="en-US"/>
    </w:rPr>
  </w:style>
  <w:style w:type="paragraph" w:styleId="BalloonText">
    <w:name w:val="Balloon Text"/>
    <w:basedOn w:val="Normal"/>
    <w:link w:val="BalloonTextChar"/>
    <w:uiPriority w:val="99"/>
    <w:rsid w:val="002B3BDE"/>
    <w:rPr>
      <w:rFonts w:ascii="Segoe UI" w:hAnsi="Segoe UI" w:cs="Segoe UI"/>
      <w:sz w:val="18"/>
      <w:szCs w:val="18"/>
    </w:rPr>
  </w:style>
  <w:style w:type="character" w:customStyle="1" w:styleId="BalloonTextChar">
    <w:name w:val="Balloon Text Char"/>
    <w:basedOn w:val="DefaultParagraphFont"/>
    <w:link w:val="BalloonText"/>
    <w:uiPriority w:val="99"/>
    <w:rsid w:val="002B3BDE"/>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lmuhtaj.73@gmail.com" TargetMode="External"/><Relationship Id="rId13" Type="http://schemas.openxmlformats.org/officeDocument/2006/relationships/image" Target="media/image4.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jp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DF89DF-13D7-4709-A6D1-C48A975412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16</Pages>
  <Words>5700</Words>
  <Characters>32496</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DarkOS</Company>
  <LinksUpToDate>false</LinksUpToDate>
  <CharactersWithSpaces>38120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DarkUser</dc:creator>
  <cp:keywords/>
  <dc:description/>
  <cp:lastModifiedBy>Fazli Rachman</cp:lastModifiedBy>
  <cp:revision>21</cp:revision>
  <cp:lastPrinted>2020-07-29T07:37:00Z</cp:lastPrinted>
  <dcterms:created xsi:type="dcterms:W3CDTF">2020-07-29T07:03:00Z</dcterms:created>
  <dcterms:modified xsi:type="dcterms:W3CDTF">2020-07-29T08:32:00Z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http://www.zotero.org/styles/chicago-author-date</vt:lpwstr>
  </property>
  <property fmtid="{D5CDD505-2E9C-101B-9397-08002B2CF9AE}" pid="5" name="Mendeley Recent Style Name 1_1">
    <vt:lpwstr>Chicago Manual of Style 17th edition (author-date)</vt:lpwstr>
  </property>
  <property fmtid="{D5CDD505-2E9C-101B-9397-08002B2CF9AE}" pid="6" name="Mendeley Recent Style Id 2_1">
    <vt:lpwstr>http://www.zotero.org/styles/chicago-fullnote-bibliography</vt:lpwstr>
  </property>
  <property fmtid="{D5CDD505-2E9C-101B-9397-08002B2CF9AE}" pid="7" name="Mendeley Recent Style Name 2_1">
    <vt:lpwstr>Chicago Manual of Style 17th edition (full note)</vt:lpwstr>
  </property>
  <property fmtid="{D5CDD505-2E9C-101B-9397-08002B2CF9AE}" pid="8" name="Mendeley Recent Style Id 3_1">
    <vt:lpwstr>http://www.zotero.org/styles/chicago-note-bibliography</vt:lpwstr>
  </property>
  <property fmtid="{D5CDD505-2E9C-101B-9397-08002B2CF9AE}" pid="9" name="Mendeley Recent Style Name 3_1">
    <vt:lpwstr>Chicago Manual of Style 17th edition (note)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3dd89e65-06ea-36ed-9073-6cc0b4dca183</vt:lpwstr>
  </property>
  <property fmtid="{D5CDD505-2E9C-101B-9397-08002B2CF9AE}" pid="24" name="Mendeley Citation Style_1">
    <vt:lpwstr>http://www.zotero.org/styles/modern-humanities-research-association</vt:lpwstr>
  </property>
</Properties>
</file>