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1D5B5" w14:textId="77777777" w:rsidR="003F2810" w:rsidRDefault="003F2810" w:rsidP="003F2810">
      <w:pPr>
        <w:ind w:firstLine="0"/>
        <w:jc w:val="center"/>
        <w:rPr>
          <w:i/>
          <w:sz w:val="48"/>
          <w:szCs w:val="48"/>
          <w:lang w:val="id-ID"/>
        </w:rPr>
      </w:pPr>
      <w:r w:rsidRPr="00FF266D">
        <w:rPr>
          <w:i/>
          <w:sz w:val="48"/>
          <w:szCs w:val="48"/>
          <w:lang w:val="id-ID"/>
        </w:rPr>
        <w:t xml:space="preserve">Eksploitasi Data Pribadi: Bentuk Penyalahgunaan Posisi Dominan di Pasar Digital Berdasarkan Hukum </w:t>
      </w:r>
      <w:r>
        <w:rPr>
          <w:i/>
          <w:sz w:val="48"/>
          <w:szCs w:val="48"/>
          <w:lang w:val="id-ID"/>
        </w:rPr>
        <w:t>Kompetisi</w:t>
      </w:r>
      <w:r w:rsidRPr="00FF266D">
        <w:rPr>
          <w:i/>
          <w:sz w:val="48"/>
          <w:szCs w:val="48"/>
          <w:lang w:val="id-ID"/>
        </w:rPr>
        <w:t xml:space="preserve"> Indonesia</w:t>
      </w:r>
    </w:p>
    <w:p w14:paraId="26E04A09" w14:textId="77777777" w:rsidR="003F2810" w:rsidRDefault="003F2810" w:rsidP="003F2810">
      <w:pPr>
        <w:jc w:val="center"/>
        <w:rPr>
          <w:i/>
          <w:sz w:val="48"/>
          <w:szCs w:val="48"/>
          <w:lang w:val="id-ID"/>
        </w:rPr>
      </w:pPr>
    </w:p>
    <w:p w14:paraId="0585077A" w14:textId="77777777" w:rsidR="003F2810" w:rsidRPr="009C39FC" w:rsidRDefault="003F2810" w:rsidP="003F2810">
      <w:pPr>
        <w:jc w:val="center"/>
        <w:rPr>
          <w:i/>
          <w:iCs/>
          <w:sz w:val="24"/>
          <w:szCs w:val="24"/>
          <w:lang w:val="id-ID"/>
        </w:rPr>
      </w:pPr>
      <w:r>
        <w:rPr>
          <w:i/>
          <w:iCs/>
          <w:sz w:val="24"/>
          <w:szCs w:val="24"/>
          <w:lang w:val="id-ID"/>
        </w:rPr>
        <w:t>Moch. Marsa Taufiqurrohman, Helza Nova Lita, Gress Gustia Adrian Pah</w:t>
      </w:r>
    </w:p>
    <w:p w14:paraId="5B7C7C61" w14:textId="77777777" w:rsidR="003F2810" w:rsidRPr="009C39FC" w:rsidRDefault="003F2810" w:rsidP="003F2810">
      <w:pPr>
        <w:rPr>
          <w:lang w:val="id-ID"/>
        </w:rPr>
      </w:pPr>
    </w:p>
    <w:p w14:paraId="51BC83C2" w14:textId="77777777" w:rsidR="003F2810" w:rsidRDefault="003F2810" w:rsidP="003F2810">
      <w:pPr>
        <w:rPr>
          <w:lang w:val="id-ID"/>
        </w:rPr>
      </w:pPr>
    </w:p>
    <w:p w14:paraId="4817803E" w14:textId="77777777" w:rsidR="003F2810" w:rsidRPr="00C62A25" w:rsidRDefault="003F2810" w:rsidP="003F2810">
      <w:pPr>
        <w:rPr>
          <w:rFonts w:eastAsiaTheme="minorHAnsi"/>
          <w:color w:val="0563C1" w:themeColor="hyperlink"/>
          <w:szCs w:val="22"/>
          <w:u w:val="single"/>
          <w:lang w:val="id-ID"/>
        </w:rPr>
      </w:pPr>
      <w:r w:rsidRPr="00C62A25">
        <w:rPr>
          <w:lang w:val="id-ID"/>
        </w:rPr>
        <w:t xml:space="preserve">Jurnal Balitbangkumham menghormati para penulis yang telah memberikan kontribusi signifikan pada proses penelitian dan penulisan. Kontribusi penulis dalam artikel Jurnal Balitbangkumham merujuk pada peran yang dijelaskan dalam </w:t>
      </w:r>
      <w:r w:rsidRPr="001771D5">
        <w:rPr>
          <w:rFonts w:ascii="Lora" w:eastAsiaTheme="minorHAnsi" w:hAnsi="Lora"/>
          <w:color w:val="FF00FF"/>
          <w:szCs w:val="22"/>
        </w:rPr>
        <w:fldChar w:fldCharType="begin"/>
      </w:r>
      <w:r w:rsidRPr="00C62A25">
        <w:rPr>
          <w:rFonts w:ascii="Lora" w:eastAsiaTheme="minorHAnsi" w:hAnsi="Lora"/>
          <w:color w:val="FF00FF"/>
          <w:szCs w:val="22"/>
          <w:lang w:val="id-ID"/>
        </w:rPr>
        <w:instrText xml:space="preserve"> HYPERLINK "https://www.niso.org/publications/z39104-2022-credit" </w:instrText>
      </w:r>
      <w:r w:rsidRPr="001771D5">
        <w:rPr>
          <w:rFonts w:ascii="Lora" w:eastAsiaTheme="minorHAnsi" w:hAnsi="Lora"/>
          <w:color w:val="FF00FF"/>
          <w:szCs w:val="22"/>
        </w:rPr>
      </w:r>
      <w:r w:rsidRPr="001771D5">
        <w:rPr>
          <w:rFonts w:ascii="Lora" w:eastAsiaTheme="minorHAnsi" w:hAnsi="Lora"/>
          <w:color w:val="FF00FF"/>
          <w:szCs w:val="22"/>
        </w:rPr>
        <w:fldChar w:fldCharType="separate"/>
      </w:r>
      <w:r w:rsidRPr="00C62A25">
        <w:rPr>
          <w:rFonts w:ascii="Lora" w:eastAsiaTheme="minorHAnsi" w:hAnsi="Lora"/>
          <w:color w:val="0563C1" w:themeColor="hyperlink"/>
          <w:szCs w:val="22"/>
          <w:u w:val="single"/>
          <w:lang w:val="id-ID"/>
        </w:rPr>
        <w:t>CRediT (Contributor Roles Taxonomy)</w:t>
      </w:r>
    </w:p>
    <w:p w14:paraId="489FB166" w14:textId="77777777" w:rsidR="003F2810" w:rsidRPr="009C39FC" w:rsidRDefault="003F2810" w:rsidP="003F2810">
      <w:pPr>
        <w:rPr>
          <w:lang w:val="id-ID"/>
        </w:rPr>
      </w:pPr>
      <w:r w:rsidRPr="001771D5">
        <w:rPr>
          <w:rFonts w:ascii="Lora" w:eastAsiaTheme="minorHAnsi" w:hAnsi="Lora"/>
          <w:color w:val="FF00FF"/>
          <w:szCs w:val="22"/>
        </w:rPr>
        <w:fldChar w:fldCharType="end"/>
      </w:r>
    </w:p>
    <w:p w14:paraId="31657EF5" w14:textId="77777777" w:rsidR="003F2810" w:rsidRPr="007F1197" w:rsidRDefault="003F2810" w:rsidP="003F2810">
      <w:pPr>
        <w:pStyle w:val="SubJudulTemplate"/>
        <w:rPr>
          <w:lang w:val="en-US"/>
        </w:rPr>
      </w:pPr>
      <w:r w:rsidRPr="009C39FC">
        <w:t xml:space="preserve">1. </w:t>
      </w:r>
      <w:r>
        <w:t>KEPENULISAN</w:t>
      </w:r>
    </w:p>
    <w:p w14:paraId="1DC43BDF" w14:textId="77777777" w:rsidR="003F2810" w:rsidRDefault="003F2810" w:rsidP="003F2810">
      <w:pPr>
        <w:pStyle w:val="ListParagraph"/>
        <w:numPr>
          <w:ilvl w:val="0"/>
          <w:numId w:val="17"/>
        </w:numPr>
        <w:spacing w:line="276" w:lineRule="auto"/>
        <w:ind w:left="709"/>
        <w:rPr>
          <w:lang w:val="id-ID"/>
        </w:rPr>
      </w:pPr>
      <w:r w:rsidRPr="00E74827">
        <w:rPr>
          <w:lang w:val="id-ID"/>
        </w:rPr>
        <w:t xml:space="preserve">Moch. Marsa Taufiqurrohman, </w:t>
      </w:r>
      <w:r>
        <w:rPr>
          <w:lang w:val="id-ID"/>
        </w:rPr>
        <w:t>Penulis Pertama</w:t>
      </w:r>
      <w:r w:rsidRPr="00E74827">
        <w:rPr>
          <w:lang w:val="id-ID"/>
        </w:rPr>
        <w:t xml:space="preserve">, Universitas Padjadjaran, </w:t>
      </w:r>
      <w:r>
        <w:rPr>
          <w:lang w:val="id-ID"/>
        </w:rPr>
        <w:t>Sumedang</w:t>
      </w:r>
      <w:r w:rsidRPr="00E74827">
        <w:rPr>
          <w:lang w:val="id-ID"/>
        </w:rPr>
        <w:t xml:space="preserve">, Indonesia,  </w:t>
      </w:r>
      <w:hyperlink r:id="rId8" w:history="1">
        <w:r w:rsidRPr="00B1286A">
          <w:rPr>
            <w:rStyle w:val="Hyperlink"/>
            <w:lang w:val="id-ID"/>
          </w:rPr>
          <w:t>moch23009@mail.unpad.ac.id</w:t>
        </w:r>
      </w:hyperlink>
    </w:p>
    <w:p w14:paraId="0C399CB4" w14:textId="77777777" w:rsidR="003F2810" w:rsidRDefault="003F2810" w:rsidP="003F2810">
      <w:pPr>
        <w:pStyle w:val="ListParagraph"/>
        <w:numPr>
          <w:ilvl w:val="0"/>
          <w:numId w:val="17"/>
        </w:numPr>
        <w:spacing w:line="276" w:lineRule="auto"/>
        <w:ind w:left="709"/>
        <w:rPr>
          <w:lang w:val="id-ID"/>
        </w:rPr>
      </w:pPr>
      <w:r>
        <w:rPr>
          <w:lang w:val="id-ID"/>
        </w:rPr>
        <w:t xml:space="preserve">Helza Nova Lita, Penulis Kedua, Universitas Padjadjaran, Sumedang, Indonesia, </w:t>
      </w:r>
      <w:hyperlink r:id="rId9" w:history="1">
        <w:r w:rsidRPr="00B1286A">
          <w:rPr>
            <w:rStyle w:val="Hyperlink"/>
            <w:lang w:val="id-ID"/>
          </w:rPr>
          <w:t>helza.nova@unpad.ac.id</w:t>
        </w:r>
      </w:hyperlink>
    </w:p>
    <w:p w14:paraId="193D4BD5" w14:textId="77777777" w:rsidR="003F2810" w:rsidRPr="00E74827" w:rsidRDefault="003F2810" w:rsidP="003F2810">
      <w:pPr>
        <w:pStyle w:val="ListParagraph"/>
        <w:numPr>
          <w:ilvl w:val="0"/>
          <w:numId w:val="17"/>
        </w:numPr>
        <w:spacing w:line="276" w:lineRule="auto"/>
        <w:ind w:left="709"/>
        <w:rPr>
          <w:lang w:val="id-ID"/>
        </w:rPr>
      </w:pPr>
      <w:r>
        <w:rPr>
          <w:lang w:val="id-ID"/>
        </w:rPr>
        <w:t xml:space="preserve">Gress Gustia Adrian Pah, Penulis Ketiga, Universitas Airlangga, Surabaya, Indonesia, </w:t>
      </w:r>
      <w:hyperlink r:id="rId10" w:history="1">
        <w:r w:rsidRPr="003B757F">
          <w:rPr>
            <w:rStyle w:val="Hyperlink"/>
          </w:rPr>
          <w:t>gress.gustiaadrianpah@gmail.com</w:t>
        </w:r>
      </w:hyperlink>
      <w:r>
        <w:t xml:space="preserve"> </w:t>
      </w:r>
      <w:r>
        <w:rPr>
          <w:lang w:val="id-ID"/>
        </w:rPr>
        <w:t xml:space="preserve"> </w:t>
      </w:r>
    </w:p>
    <w:p w14:paraId="5F92E4D2" w14:textId="77777777" w:rsidR="003F2810" w:rsidRPr="009C39FC" w:rsidRDefault="003F2810" w:rsidP="003F2810">
      <w:pPr>
        <w:rPr>
          <w:lang w:val="id-ID"/>
        </w:rPr>
      </w:pPr>
    </w:p>
    <w:p w14:paraId="21614035" w14:textId="77777777" w:rsidR="003F2810" w:rsidRPr="007F1197" w:rsidRDefault="003F2810" w:rsidP="003F2810">
      <w:pPr>
        <w:pStyle w:val="SubJudulTemplate"/>
        <w:rPr>
          <w:lang w:val="en-US"/>
        </w:rPr>
      </w:pPr>
      <w:r w:rsidRPr="009C39FC">
        <w:t xml:space="preserve">2. </w:t>
      </w:r>
      <w:r>
        <w:t>PENGAKUAN</w:t>
      </w:r>
    </w:p>
    <w:p w14:paraId="2AE8E4A8" w14:textId="77777777" w:rsidR="003F2810" w:rsidRDefault="003F2810" w:rsidP="003F2810">
      <w:pPr>
        <w:spacing w:line="276" w:lineRule="auto"/>
        <w:rPr>
          <w:lang w:val="id-ID"/>
        </w:rPr>
      </w:pPr>
      <w:r w:rsidRPr="00C62A25">
        <w:rPr>
          <w:lang w:val="id-ID"/>
        </w:rPr>
        <w:t>Para penulis ingin mengucapkan terima kasih atas dukungan dan bimbingan dari seluruh dosen di Program Magister Berbasis Proyek, Fakultas Hukum, Universitas Padjadjaran sehingga artikel ini dapat diselesaikan dengan baik. Penulis juga bersyukur atas masukan dari rekan-rekan di Program Magister Berbasis Proyek, Fakultas Hukum, Universitas Padjadjaran, terkait artikel penelitian ini. Semoga artikel ini dapat berpengaruh signifikan pada perkembangan hukum persaingan, teknologi, dan perlindungan data.</w:t>
      </w:r>
    </w:p>
    <w:p w14:paraId="4398CBBC" w14:textId="77777777" w:rsidR="003F2810" w:rsidRPr="009C39FC" w:rsidRDefault="003F2810" w:rsidP="003F2810">
      <w:pPr>
        <w:spacing w:line="276" w:lineRule="auto"/>
        <w:rPr>
          <w:lang w:val="id-ID"/>
        </w:rPr>
      </w:pPr>
    </w:p>
    <w:p w14:paraId="57CCC8CE" w14:textId="77777777" w:rsidR="003F2810" w:rsidRPr="00C62A25" w:rsidRDefault="003F2810" w:rsidP="003F2810">
      <w:pPr>
        <w:pStyle w:val="SubJudulTemplate"/>
      </w:pPr>
      <w:r w:rsidRPr="009C39FC">
        <w:t xml:space="preserve">3. </w:t>
      </w:r>
      <w:r>
        <w:t>KONFLIK KEPENTINGAN</w:t>
      </w:r>
    </w:p>
    <w:p w14:paraId="66407B0C" w14:textId="77777777" w:rsidR="003F2810" w:rsidRDefault="003F2810" w:rsidP="003F2810">
      <w:pPr>
        <w:spacing w:line="276" w:lineRule="auto"/>
        <w:rPr>
          <w:lang w:val="id-ID"/>
        </w:rPr>
      </w:pPr>
      <w:r w:rsidRPr="00C62A25">
        <w:rPr>
          <w:lang w:val="id-ID"/>
        </w:rPr>
        <w:t>Tidak ada konflik kepentingan yang timbul dari artikel ini.</w:t>
      </w:r>
    </w:p>
    <w:p w14:paraId="52BD70FF" w14:textId="77777777" w:rsidR="003F2810" w:rsidRPr="009C39FC" w:rsidRDefault="003F2810" w:rsidP="003F2810">
      <w:pPr>
        <w:spacing w:line="276" w:lineRule="auto"/>
        <w:rPr>
          <w:lang w:val="id-ID"/>
        </w:rPr>
      </w:pPr>
    </w:p>
    <w:p w14:paraId="48A4C738" w14:textId="77777777" w:rsidR="003F2810" w:rsidRPr="00D9699E" w:rsidRDefault="003F2810" w:rsidP="003F2810">
      <w:pPr>
        <w:pStyle w:val="SubJudulTemplate"/>
        <w:rPr>
          <w:sz w:val="22"/>
          <w:szCs w:val="22"/>
          <w:lang w:val="en-US"/>
        </w:rPr>
      </w:pPr>
      <w:r w:rsidRPr="00D9699E">
        <w:rPr>
          <w:lang w:val="en-US"/>
        </w:rPr>
        <w:t xml:space="preserve">4. </w:t>
      </w:r>
      <w:r w:rsidRPr="00D9699E">
        <w:t>SPONSOR</w:t>
      </w:r>
    </w:p>
    <w:p w14:paraId="747B8E5A" w14:textId="77777777" w:rsidR="003F2810" w:rsidRPr="00D9699E" w:rsidRDefault="003F2810" w:rsidP="003F2810">
      <w:pPr>
        <w:spacing w:line="276" w:lineRule="auto"/>
        <w:rPr>
          <w:szCs w:val="22"/>
          <w:lang w:val="id-ID"/>
        </w:rPr>
      </w:pPr>
      <w:r>
        <w:rPr>
          <w:szCs w:val="22"/>
          <w:lang w:val="id-ID"/>
        </w:rPr>
        <w:t>Tidak ada.</w:t>
      </w:r>
    </w:p>
    <w:p w14:paraId="4310F8D3" w14:textId="77777777" w:rsidR="003F2810" w:rsidRPr="00D9699E" w:rsidRDefault="003F2810" w:rsidP="003F2810">
      <w:pPr>
        <w:ind w:firstLine="0"/>
        <w:jc w:val="left"/>
        <w:rPr>
          <w:b/>
          <w:bCs/>
          <w:szCs w:val="22"/>
          <w:lang w:val="id-ID"/>
        </w:rPr>
      </w:pPr>
    </w:p>
    <w:p w14:paraId="7D26804E" w14:textId="77777777" w:rsidR="003F2810" w:rsidRPr="00D9699E" w:rsidRDefault="003F2810" w:rsidP="003F2810">
      <w:pPr>
        <w:pStyle w:val="SubJudulTemplate"/>
        <w:rPr>
          <w:lang w:val="en-US"/>
        </w:rPr>
      </w:pPr>
      <w:r w:rsidRPr="00D9699E">
        <w:t xml:space="preserve">5. </w:t>
      </w:r>
      <w:r>
        <w:t>BIOGRAFI SINGKAT</w:t>
      </w:r>
    </w:p>
    <w:p w14:paraId="49151F61" w14:textId="77777777" w:rsidR="003F2810" w:rsidRPr="00D9699E" w:rsidRDefault="003F2810" w:rsidP="003F2810">
      <w:pPr>
        <w:pStyle w:val="ListParagraph"/>
        <w:numPr>
          <w:ilvl w:val="0"/>
          <w:numId w:val="18"/>
        </w:numPr>
        <w:suppressAutoHyphens w:val="0"/>
        <w:spacing w:after="0"/>
        <w:ind w:left="284" w:hanging="284"/>
        <w:jc w:val="left"/>
        <w:rPr>
          <w:b/>
          <w:bCs/>
          <w:szCs w:val="22"/>
        </w:rPr>
      </w:pPr>
      <w:r>
        <w:rPr>
          <w:b/>
          <w:bCs/>
          <w:szCs w:val="22"/>
        </w:rPr>
        <w:t>Penulis Pertama</w:t>
      </w:r>
    </w:p>
    <w:p w14:paraId="4A61AD92" w14:textId="77777777" w:rsidR="003F2810" w:rsidRPr="00D9699E" w:rsidRDefault="003F2810" w:rsidP="003F2810">
      <w:pPr>
        <w:spacing w:after="0"/>
        <w:rPr>
          <w:bCs/>
          <w:szCs w:val="22"/>
        </w:rPr>
      </w:pPr>
      <w:r w:rsidRPr="00D9699E">
        <w:rPr>
          <w:b/>
          <w:szCs w:val="22"/>
        </w:rPr>
        <w:t xml:space="preserve">Moch. Marsa Taufiqurrohman </w:t>
      </w:r>
      <w:r w:rsidRPr="00C62A25">
        <w:rPr>
          <w:bCs/>
          <w:szCs w:val="22"/>
        </w:rPr>
        <w:t xml:space="preserve">menyelesaikan gelar Sarjana Hukumnya di Fakultas Hukum, Universitas Jember, pada tahun 2020 dan saat ini sedang menempuh gelar Magister di Fakultas Hukum, </w:t>
      </w:r>
      <w:r w:rsidRPr="00C62A25">
        <w:rPr>
          <w:bCs/>
          <w:szCs w:val="22"/>
        </w:rPr>
        <w:lastRenderedPageBreak/>
        <w:t xml:space="preserve">Universitas Padjadjaran. Penulis adalah lulusan hukum dengan berbagai prestasi dan pengalaman. Penulis memiliki pengalaman sebagai asisten peneliti yang bekerja dalam penelitian hukum. Saat ini, penulis bekerja sebagai Konselor Hukum di Transsion Indonesia, sebuah perusahaan multinasional yang mengawasi merek-merek ponsel pintar seperti Infinix, Tecno, dan Itel. Selama beberapa tahun terakhir, penulis telah menyajikan beberapa makalah di konferensi internasional dan berkontribusi pada jurnal ilmiah nasional dan internasional. Beberapa karya yang ditulis oleh penulis </w:t>
      </w:r>
      <w:r>
        <w:rPr>
          <w:bCs/>
          <w:szCs w:val="22"/>
        </w:rPr>
        <w:t>antara lain</w:t>
      </w:r>
      <w:r w:rsidRPr="00C62A25">
        <w:rPr>
          <w:bCs/>
          <w:szCs w:val="22"/>
        </w:rPr>
        <w:t>:</w:t>
      </w:r>
      <w:r w:rsidRPr="00D9699E">
        <w:rPr>
          <w:bCs/>
          <w:szCs w:val="22"/>
        </w:rPr>
        <w:t xml:space="preserve"> Illicit Cigarette Trade in Indonesia: Trends and Analysis from the Recent Judgments, Sriwijaya Law Review, Vol. 8 Issue 1, January 2024 (SCOPUS Q3); The Francovich Principle as the Basis of State Responsibility for Laborer Loss Due to Company Bankruptcy, Yustisia, Vol. 12 Issue 3, December 2023 (SCOPUS); The Use of Expiry Date as a Basis for Pretrial Applications in Indonesia: Between Formal and Material, Volksgeist: Jurnal Ilmu Hukum dan Konstitusi, Vol. 2 Issue 2, December 2020 (SCOPUS); Limiting the Legality of Determining Suspects in Indonesia Pre-Trial System, Indonesia Law Review, Vol. 11 Issue 2, August 2021, Djokosoetono Research Center, </w:t>
      </w:r>
      <w:bookmarkStart w:id="0" w:name="_Hlk162870520"/>
      <w:r w:rsidRPr="00D9699E">
        <w:rPr>
          <w:bCs/>
          <w:szCs w:val="22"/>
        </w:rPr>
        <w:t xml:space="preserve">Faculty of Law University of Indonesia </w:t>
      </w:r>
      <w:bookmarkEnd w:id="0"/>
      <w:r w:rsidRPr="00D9699E">
        <w:rPr>
          <w:bCs/>
          <w:szCs w:val="22"/>
        </w:rPr>
        <w:t>(SCOPUS); Examining Recall of the House Member: How Does It Impact on Eradicating Corruption in Indonesia? Lentera Hukum Journal Vol. 7 Issue 1, April 2020, Faculty of Law University of Jember (SCOPUS).</w:t>
      </w:r>
    </w:p>
    <w:p w14:paraId="204C9202" w14:textId="77777777" w:rsidR="003F2810" w:rsidRPr="00D9699E" w:rsidRDefault="003F2810" w:rsidP="003F2810">
      <w:pPr>
        <w:spacing w:after="0"/>
        <w:rPr>
          <w:szCs w:val="22"/>
        </w:rPr>
      </w:pPr>
    </w:p>
    <w:p w14:paraId="348A13A5" w14:textId="77777777" w:rsidR="003F2810" w:rsidRPr="00D9699E" w:rsidRDefault="003F2810" w:rsidP="003F2810">
      <w:pPr>
        <w:pStyle w:val="ListParagraph"/>
        <w:numPr>
          <w:ilvl w:val="0"/>
          <w:numId w:val="18"/>
        </w:numPr>
        <w:suppressAutoHyphens w:val="0"/>
        <w:spacing w:after="0"/>
        <w:ind w:left="284" w:hanging="284"/>
        <w:jc w:val="left"/>
        <w:rPr>
          <w:b/>
          <w:bCs/>
          <w:szCs w:val="22"/>
        </w:rPr>
      </w:pPr>
      <w:r>
        <w:rPr>
          <w:b/>
          <w:bCs/>
          <w:szCs w:val="22"/>
        </w:rPr>
        <w:t>Penulis Kedua</w:t>
      </w:r>
    </w:p>
    <w:p w14:paraId="30206E45" w14:textId="77777777" w:rsidR="003F2810" w:rsidRPr="00D9699E" w:rsidRDefault="003F2810" w:rsidP="003F2810">
      <w:pPr>
        <w:spacing w:after="0"/>
        <w:rPr>
          <w:szCs w:val="22"/>
        </w:rPr>
      </w:pPr>
      <w:r w:rsidRPr="00D9699E">
        <w:rPr>
          <w:b/>
          <w:bCs/>
          <w:szCs w:val="22"/>
        </w:rPr>
        <w:t>Helza Nova Lita</w:t>
      </w:r>
      <w:r w:rsidRPr="00D9699E">
        <w:rPr>
          <w:szCs w:val="22"/>
        </w:rPr>
        <w:t xml:space="preserve">, </w:t>
      </w:r>
      <w:r w:rsidRPr="00C62A25">
        <w:rPr>
          <w:szCs w:val="22"/>
        </w:rPr>
        <w:t xml:space="preserve">adalah dosen tetap di Fakultas Hukum Universitas Padjadjaran di bidang Hukum Ekonomi, Hukum Ekonomi Syariah, Wakaf, Hukum Transfer Teknologi, dan Hukum Persaingan Usaha di Fakultas Hukum Universitas Padjadjaran. Keahliannya di bidang Hukum Ekonomi Syariah membuatnya dipercaya sebagai anggota tim ahli untuk revisi Undang-Undang Wakaf dari Badan Wakaf Indonesia tahun 2019, narasumber untuk Penyusunan Rancangan Undang-Undang Ekonomi Syariah tahun 2019, dan tim hukum Komite Nasional Ekonomi dan Keuangan Syariah (KNEKS). Helza lulus dari program sarjana dan magister di Fakultas Hukum Universitas Padjadjaran dengan predikat cum laude. Kemudian ia melanjutkan pendidikan doktoralnya di bidang Hukum di Universitas Indonesia dengan disertasi berjudul </w:t>
      </w:r>
      <w:r>
        <w:rPr>
          <w:szCs w:val="22"/>
        </w:rPr>
        <w:t>“</w:t>
      </w:r>
      <w:r w:rsidRPr="00C62A25">
        <w:rPr>
          <w:szCs w:val="22"/>
        </w:rPr>
        <w:t>Saham Syariah setelah berlakunya Undang-Undang Nomor 41 Tahun 2004 tentang Wakaf.</w:t>
      </w:r>
      <w:r>
        <w:rPr>
          <w:szCs w:val="22"/>
        </w:rPr>
        <w:t>”</w:t>
      </w:r>
      <w:r w:rsidRPr="00C62A25">
        <w:rPr>
          <w:szCs w:val="22"/>
        </w:rPr>
        <w:t xml:space="preserve"> Dia pernah menjadi Ahli di Sekretariat Jenderal Wakil Bidang Legislasi DPR RI dari tahun 2008 hingga 2009, serta staf Badan Wakaf Indonesia pada tahun 2008. Saat ini, ia secara aktif berkontribusi pada berbagai organisasi profesional, termasuk menjabat sebagai Eksekutif Pusat untuk Komunitas Ekonomi Syariah, Eksekutif Pusat Asosiasi Ekonom Indonesia (IAEI) di bidang Pengembangan Wakaf dan Zakat, Eksekutif Pusat Asosiasi Pengajaran dan Penelitian Hukum Ekonomi Islam Indonesia (APPHEISI) di bidang Publikasi Internasional.</w:t>
      </w:r>
    </w:p>
    <w:p w14:paraId="673311EC" w14:textId="77777777" w:rsidR="003F2810" w:rsidRPr="00D9699E" w:rsidRDefault="003F2810" w:rsidP="003F2810">
      <w:pPr>
        <w:spacing w:after="0"/>
        <w:rPr>
          <w:szCs w:val="22"/>
        </w:rPr>
      </w:pPr>
    </w:p>
    <w:p w14:paraId="2D43882A" w14:textId="77777777" w:rsidR="003F2810" w:rsidRPr="00D9699E" w:rsidRDefault="003F2810" w:rsidP="003F2810">
      <w:pPr>
        <w:pStyle w:val="ListParagraph"/>
        <w:numPr>
          <w:ilvl w:val="0"/>
          <w:numId w:val="18"/>
        </w:numPr>
        <w:suppressAutoHyphens w:val="0"/>
        <w:spacing w:after="0"/>
        <w:ind w:left="284" w:hanging="284"/>
        <w:jc w:val="left"/>
        <w:rPr>
          <w:b/>
          <w:bCs/>
          <w:szCs w:val="22"/>
        </w:rPr>
      </w:pPr>
      <w:r>
        <w:rPr>
          <w:b/>
          <w:bCs/>
          <w:szCs w:val="22"/>
        </w:rPr>
        <w:t>Penulis Ketiga</w:t>
      </w:r>
    </w:p>
    <w:p w14:paraId="12CB8FA6" w14:textId="77777777" w:rsidR="003F2810" w:rsidRPr="00D9699E" w:rsidRDefault="003F2810" w:rsidP="003F2810">
      <w:pPr>
        <w:spacing w:after="0"/>
        <w:rPr>
          <w:szCs w:val="22"/>
        </w:rPr>
      </w:pPr>
      <w:r w:rsidRPr="00D9699E">
        <w:rPr>
          <w:b/>
          <w:bCs/>
          <w:szCs w:val="22"/>
        </w:rPr>
        <w:t xml:space="preserve">Gress Gustia Adrian Pah, </w:t>
      </w:r>
      <w:r>
        <w:rPr>
          <w:szCs w:val="22"/>
        </w:rPr>
        <w:t>l</w:t>
      </w:r>
      <w:r w:rsidRPr="00C62A25">
        <w:rPr>
          <w:szCs w:val="22"/>
        </w:rPr>
        <w:t xml:space="preserve">ahir di Indonesia pada tanggal 26 Juni 1992. Dia menyelesaikan program sarjana di Fakultas Hukum Universitas Jember pada tahun 2014 dan memperoleh gelar magister hukum dari Fakultas Hukum Universitas Airlangga pada tahun 2016. Penulis pernah menjabat sebagai In House Lawyer di PT. Tri Putra Manunggal pada tahun 2017, Konselor Hukum di Bersatu Sukses Group pada tahun 2014, dan juga sebagai Dosen di Universitas Katolik Darma Cendika Surabaya pada tahun 2017. Saat ini, penulis sedang menempuh program doktoral di Fakultas Hukum Universitas Airlangga sambil mengemban peran sebagai Managing Partner di firma hukum "Gress Gustia and Partners". Penulis aktif terlibat dalam berbagai organisasi, seperti menjadi anggota Divisi Pertahanan Profesional Asosiasi Advokat Indonesia Surabaya (Peradi DPC Surabaya), anggota Asosiasi Konsultan Hukum Pasar Modal (HKHPM), Sekretaris Asosiasi Mahasiswa Doktoral di Universitas Airlangga, anggota Pusat Studi Hukum Bisnis di Universitas Airlangga, dan anggota Asosiasi Auditor Indonesia (ASAHI). Selain itu, penulis telah menerbitkan karyanya dalam jurnal internasional yang berjudul </w:t>
      </w:r>
      <w:r w:rsidRPr="00D9699E">
        <w:rPr>
          <w:szCs w:val="22"/>
        </w:rPr>
        <w:t>“Full Disclosure and Material Information Principle For Back Door Listing Companies” published in the Russian Law Journal Volume XI (2023) Issue 3 and “The Urgency Of Applying The Principles Of Full And Fairness Disclosure For Companies Engaging In Back Door Listing Through Merger Schemes” published in the Russian Law Journal Volume XI (2023) Issue 5.</w:t>
      </w:r>
    </w:p>
    <w:p w14:paraId="2652855C" w14:textId="77777777" w:rsidR="003F2810" w:rsidRPr="00D9699E" w:rsidRDefault="003F2810" w:rsidP="003F2810">
      <w:pPr>
        <w:ind w:firstLine="0"/>
      </w:pPr>
    </w:p>
    <w:p w14:paraId="46D2DAC9" w14:textId="77777777" w:rsidR="003F2810" w:rsidRDefault="003F2810" w:rsidP="003F2810">
      <w:pPr>
        <w:pStyle w:val="SubJudulTemplate"/>
        <w:rPr>
          <w:lang w:val="en-US"/>
        </w:rPr>
      </w:pPr>
      <w:r w:rsidRPr="009C39FC">
        <w:lastRenderedPageBreak/>
        <w:t xml:space="preserve">6. </w:t>
      </w:r>
      <w:r>
        <w:tab/>
      </w:r>
      <w:r>
        <w:rPr>
          <w:lang w:val="en-US"/>
        </w:rPr>
        <w:t>PERNYATAAN KEASLIAN</w:t>
      </w:r>
    </w:p>
    <w:p w14:paraId="22202BFC" w14:textId="77777777" w:rsidR="003F2810" w:rsidRDefault="003F2810" w:rsidP="003F2810">
      <w:pPr>
        <w:pStyle w:val="SubJudulTemplate"/>
        <w:ind w:left="0" w:firstLine="284"/>
        <w:rPr>
          <w:rFonts w:eastAsia="Calibri"/>
          <w:b w:val="0"/>
          <w:bCs w:val="0"/>
          <w:sz w:val="22"/>
          <w:szCs w:val="20"/>
          <w:lang w:val="en-US"/>
        </w:rPr>
      </w:pPr>
      <w:r w:rsidRPr="00C62A25">
        <w:rPr>
          <w:rFonts w:eastAsia="Calibri"/>
          <w:b w:val="0"/>
          <w:bCs w:val="0"/>
          <w:sz w:val="22"/>
          <w:szCs w:val="20"/>
          <w:lang w:val="en-US"/>
        </w:rPr>
        <w:t>Para penulis menyatakan bahwa artikel ini adalah karya asli penulis, artikel ini bebas dari plagiarisme, referensi telah disertakan, dan artikel ini belum pernah dipublikasikan sebelumnya. Artikel ini belum diajukan ke jurnal lain</w:t>
      </w:r>
      <w:r w:rsidRPr="00C17BC1">
        <w:rPr>
          <w:rFonts w:eastAsia="Calibri"/>
          <w:b w:val="0"/>
          <w:bCs w:val="0"/>
          <w:sz w:val="22"/>
          <w:szCs w:val="20"/>
          <w:lang w:val="en-US"/>
        </w:rPr>
        <w:t>.</w:t>
      </w:r>
    </w:p>
    <w:p w14:paraId="474429A7" w14:textId="77777777" w:rsidR="003F2810" w:rsidRPr="00096CC2" w:rsidRDefault="003F2810" w:rsidP="003F2810">
      <w:pPr>
        <w:pStyle w:val="SubJudulTemplate"/>
        <w:ind w:left="0" w:firstLine="284"/>
        <w:rPr>
          <w:lang w:val="en-US"/>
        </w:rPr>
      </w:pPr>
    </w:p>
    <w:p w14:paraId="1CFED3F8" w14:textId="77777777" w:rsidR="003F2810" w:rsidRPr="009C39FC" w:rsidRDefault="003F2810" w:rsidP="003F2810">
      <w:pPr>
        <w:pStyle w:val="SubJudulTemplate"/>
      </w:pPr>
      <w:r>
        <w:rPr>
          <w:lang w:val="en-US"/>
        </w:rPr>
        <w:t xml:space="preserve">7. </w:t>
      </w:r>
      <w:r>
        <w:rPr>
          <w:lang w:val="en-US"/>
        </w:rPr>
        <w:tab/>
      </w:r>
      <w:r>
        <w:t>LAIN-LAIN</w:t>
      </w:r>
    </w:p>
    <w:p w14:paraId="7716A4EF" w14:textId="77777777" w:rsidR="003F2810" w:rsidRPr="009C39FC" w:rsidRDefault="003F2810" w:rsidP="003F2810">
      <w:pPr>
        <w:spacing w:line="276" w:lineRule="auto"/>
        <w:rPr>
          <w:lang w:val="id-ID"/>
        </w:rPr>
      </w:pPr>
      <w:r>
        <w:rPr>
          <w:lang w:val="id-ID"/>
        </w:rPr>
        <w:t>Tidak ada.</w:t>
      </w:r>
    </w:p>
    <w:p w14:paraId="174DA3C6" w14:textId="77777777" w:rsidR="001F09ED" w:rsidRDefault="001F09ED">
      <w:pPr>
        <w:spacing w:after="0"/>
        <w:ind w:firstLine="0"/>
        <w:contextualSpacing w:val="0"/>
        <w:jc w:val="left"/>
        <w:rPr>
          <w:i/>
          <w:sz w:val="48"/>
          <w:szCs w:val="48"/>
        </w:rPr>
      </w:pPr>
      <w:r>
        <w:br w:type="page"/>
      </w:r>
    </w:p>
    <w:p w14:paraId="3D1639AD" w14:textId="77777777" w:rsidR="0053193C" w:rsidRDefault="0053193C">
      <w:pPr>
        <w:pStyle w:val="Title"/>
        <w:spacing w:beforeAutospacing="0" w:after="0" w:afterAutospacing="0" w:line="276" w:lineRule="auto"/>
        <w:rPr>
          <w:lang w:val="en-ID"/>
        </w:rPr>
        <w:sectPr w:rsidR="0053193C" w:rsidSect="0032259B">
          <w:footnotePr>
            <w:numRestart w:val="eachSect"/>
          </w:footnotePr>
          <w:type w:val="continuous"/>
          <w:pgSz w:w="11906" w:h="16838"/>
          <w:pgMar w:top="1985" w:right="1418" w:bottom="1418" w:left="1418" w:header="0" w:footer="0" w:gutter="0"/>
          <w:cols w:space="720"/>
          <w:formProt w:val="0"/>
          <w:docGrid w:linePitch="360"/>
        </w:sectPr>
      </w:pPr>
    </w:p>
    <w:p w14:paraId="7F4F585F" w14:textId="4693D8EC" w:rsidR="00FF266D" w:rsidRDefault="00FF266D" w:rsidP="00D9699E">
      <w:pPr>
        <w:ind w:firstLine="0"/>
        <w:jc w:val="center"/>
        <w:rPr>
          <w:i/>
          <w:sz w:val="48"/>
          <w:szCs w:val="48"/>
          <w:lang w:val="id-ID"/>
        </w:rPr>
      </w:pPr>
      <w:bookmarkStart w:id="1" w:name="_Hlk163221540"/>
      <w:r w:rsidRPr="00DF2A85">
        <w:rPr>
          <w:i/>
          <w:sz w:val="48"/>
          <w:szCs w:val="48"/>
          <w:lang w:val="id-ID"/>
        </w:rPr>
        <w:lastRenderedPageBreak/>
        <w:t>Eksploitasi Data Pribadi</w:t>
      </w:r>
      <w:r>
        <w:rPr>
          <w:i/>
          <w:sz w:val="48"/>
          <w:szCs w:val="48"/>
          <w:lang w:val="id-ID"/>
        </w:rPr>
        <w:t>:</w:t>
      </w:r>
      <w:r w:rsidRPr="00DF2A85">
        <w:rPr>
          <w:i/>
          <w:sz w:val="48"/>
          <w:szCs w:val="48"/>
          <w:lang w:val="id-ID"/>
        </w:rPr>
        <w:t xml:space="preserve"> Bentuk Penyalahgunaan Posisi Dominan </w:t>
      </w:r>
      <w:r>
        <w:rPr>
          <w:i/>
          <w:sz w:val="48"/>
          <w:szCs w:val="48"/>
          <w:lang w:val="id-ID"/>
        </w:rPr>
        <w:t xml:space="preserve">di Pasar Digital Berdasarkan Hukum </w:t>
      </w:r>
      <w:r w:rsidR="00F14A25">
        <w:rPr>
          <w:i/>
          <w:sz w:val="48"/>
          <w:szCs w:val="48"/>
          <w:lang w:val="id-ID"/>
        </w:rPr>
        <w:t>Kompetisi Indonesia</w:t>
      </w:r>
    </w:p>
    <w:p w14:paraId="3F5A8BE2" w14:textId="77777777" w:rsidR="00C17BC1" w:rsidRPr="00FF266D" w:rsidRDefault="00C17BC1" w:rsidP="00A07479">
      <w:pPr>
        <w:spacing w:after="0" w:line="276" w:lineRule="auto"/>
        <w:jc w:val="center"/>
        <w:rPr>
          <w:i/>
          <w:iCs/>
          <w:lang w:val="id-ID"/>
        </w:rPr>
      </w:pPr>
    </w:p>
    <w:p w14:paraId="0F7D2128" w14:textId="23DF0F4C" w:rsidR="00B849C9" w:rsidRPr="00EB65CB" w:rsidRDefault="001F09ED" w:rsidP="00A07479">
      <w:pPr>
        <w:spacing w:after="0" w:line="276" w:lineRule="auto"/>
        <w:jc w:val="center"/>
        <w:rPr>
          <w:i/>
          <w:iCs/>
          <w:lang w:val="id-ID"/>
        </w:rPr>
      </w:pPr>
      <w:r w:rsidRPr="00EB65CB">
        <w:rPr>
          <w:i/>
          <w:iCs/>
          <w:lang w:val="id-ID"/>
        </w:rPr>
        <w:t>Full Paper</w:t>
      </w:r>
    </w:p>
    <w:p w14:paraId="1EC45FE7" w14:textId="77777777" w:rsidR="00864FF8" w:rsidRPr="00EB65CB" w:rsidRDefault="00864FF8">
      <w:pPr>
        <w:spacing w:after="0" w:line="276" w:lineRule="auto"/>
        <w:rPr>
          <w:lang w:val="id-ID"/>
        </w:rPr>
      </w:pPr>
    </w:p>
    <w:p w14:paraId="1EC45FE8" w14:textId="0DDEDAFC" w:rsidR="00864FF8" w:rsidRPr="00EB65CB" w:rsidRDefault="00873C94" w:rsidP="00530E28">
      <w:pPr>
        <w:pStyle w:val="Heading1"/>
        <w:numPr>
          <w:ilvl w:val="0"/>
          <w:numId w:val="0"/>
        </w:numPr>
        <w:rPr>
          <w:lang w:val="id-ID"/>
        </w:rPr>
      </w:pPr>
      <w:r w:rsidRPr="00EB65CB">
        <w:rPr>
          <w:lang w:val="id-ID"/>
        </w:rPr>
        <w:t>Abstr</w:t>
      </w:r>
      <w:r w:rsidR="009D53CA" w:rsidRPr="00EB65CB">
        <w:rPr>
          <w:lang w:val="id-ID"/>
        </w:rPr>
        <w:t>ak</w:t>
      </w:r>
    </w:p>
    <w:p w14:paraId="40016139" w14:textId="7244A25F" w:rsidR="00D9699E" w:rsidRDefault="00D9699E">
      <w:pPr>
        <w:pStyle w:val="AbstractContent"/>
        <w:spacing w:after="0" w:line="276" w:lineRule="auto"/>
        <w:rPr>
          <w:lang w:val="en-ID"/>
        </w:rPr>
      </w:pPr>
      <w:r w:rsidRPr="00EB65CB">
        <w:rPr>
          <w:lang w:val="id-ID"/>
        </w:rPr>
        <w:t xml:space="preserve">Perkembangan pasar digital telah meningkatkan permintaan akan perlindungan hukum yang memadai bagi para pelaku ekonomi. </w:t>
      </w:r>
      <w:r w:rsidRPr="00D9699E">
        <w:rPr>
          <w:lang w:val="en-ID"/>
        </w:rPr>
        <w:t xml:space="preserve">Pasar digital yang sangat bergantung pada data telah memicu persaingan antara penyedia layanan untuk mengumpulkan dan memonetisasi data pribadi pengguna. Praktik eksploitasi data pribadi ini, terutama oleh penyedia layanan dengan posisi dominan, dapat menghasilkan keunggulan kompetitif yang tidak adil. </w:t>
      </w:r>
      <w:r w:rsidR="004E7085" w:rsidRPr="004E7085">
        <w:rPr>
          <w:lang w:val="en-ID"/>
        </w:rPr>
        <w:t xml:space="preserve">Kekuatan yang dihasilkan dari akses dan kendali </w:t>
      </w:r>
      <w:r w:rsidR="004E7085">
        <w:rPr>
          <w:lang w:val="en-ID"/>
        </w:rPr>
        <w:t>penyedia layanan</w:t>
      </w:r>
      <w:r w:rsidR="004E7085" w:rsidRPr="004E7085">
        <w:rPr>
          <w:lang w:val="en-ID"/>
        </w:rPr>
        <w:t xml:space="preserve"> terhadap </w:t>
      </w:r>
      <w:r w:rsidR="004E7085">
        <w:rPr>
          <w:lang w:val="en-ID"/>
        </w:rPr>
        <w:t>data pribadi pengguna layanan</w:t>
      </w:r>
      <w:r w:rsidR="004E7085" w:rsidRPr="004E7085">
        <w:rPr>
          <w:lang w:val="en-ID"/>
        </w:rPr>
        <w:t xml:space="preserve"> berpotensi untuk menyita pasar dari</w:t>
      </w:r>
      <w:r w:rsidR="004E7085">
        <w:rPr>
          <w:lang w:val="en-ID"/>
        </w:rPr>
        <w:t xml:space="preserve"> pesaing yang ada, dan</w:t>
      </w:r>
      <w:r w:rsidR="004E7085" w:rsidRPr="004E7085">
        <w:rPr>
          <w:lang w:val="en-ID"/>
        </w:rPr>
        <w:t xml:space="preserve"> calon pesaingserta berpotensi memberikan harga yang lebih tinggi bahkan diskriminatif kepada konsumen</w:t>
      </w:r>
      <w:r w:rsidR="004E7085">
        <w:rPr>
          <w:lang w:val="en-ID"/>
        </w:rPr>
        <w:t xml:space="preserve">. </w:t>
      </w:r>
      <w:r>
        <w:rPr>
          <w:lang w:val="en-ID"/>
        </w:rPr>
        <w:t xml:space="preserve">Dengan menggunakan penelitian yuridis normatif yang digabungkan dengan metode </w:t>
      </w:r>
      <w:r>
        <w:rPr>
          <w:i/>
          <w:iCs/>
          <w:lang w:val="en-ID"/>
        </w:rPr>
        <w:t xml:space="preserve">Reform Oriented Research, </w:t>
      </w:r>
      <w:r>
        <w:rPr>
          <w:lang w:val="en-ID"/>
        </w:rPr>
        <w:t>artikel ini berusaha menetapkan eksploitasi data pribadi sebagai bentuk penyalahgunaan posisi dominan di pasar digital berdasarkan hukum persaingan Indonesia.</w:t>
      </w:r>
      <w:r w:rsidRPr="00D9699E">
        <w:rPr>
          <w:lang w:val="en-ID"/>
        </w:rPr>
        <w:t xml:space="preserve"> </w:t>
      </w:r>
      <w:r>
        <w:rPr>
          <w:lang w:val="en-ID"/>
        </w:rPr>
        <w:t>Artikel ini menemukan bahwa praktik eksploitasi data pribadi</w:t>
      </w:r>
      <w:r w:rsidR="004E7085">
        <w:rPr>
          <w:lang w:val="en-ID"/>
        </w:rPr>
        <w:t xml:space="preserve"> oleh penyedia layanan digital telah didukung dengan kondisi pasar digital dan posisi dominannya, sehingga menyebabkan hambatan bagi pesaing untuk bersaing dan menahan pesaing potensial untuk masuk ke dalam pasar. Artikel ini menyimpulkan bahwa, secara </w:t>
      </w:r>
      <w:r w:rsidR="004E7085" w:rsidRPr="004E7085">
        <w:rPr>
          <w:i/>
          <w:iCs/>
          <w:lang w:val="en-ID"/>
        </w:rPr>
        <w:t>per se illegal</w:t>
      </w:r>
      <w:r w:rsidR="004E7085">
        <w:rPr>
          <w:lang w:val="en-ID"/>
        </w:rPr>
        <w:t xml:space="preserve"> dan teori hukum persaingan usaha yang relevan penyedia layanan digital</w:t>
      </w:r>
      <w:r>
        <w:rPr>
          <w:lang w:val="en-ID"/>
        </w:rPr>
        <w:t xml:space="preserve"> telah memenuhi unsur penyalahgunaan posisi dominan berdasarkan Pasal 25 </w:t>
      </w:r>
      <w:r w:rsidRPr="00D9699E">
        <w:rPr>
          <w:lang w:val="en-ID"/>
        </w:rPr>
        <w:t>Undang-Undang Nomor 5 Tahun 1999 tentang Larangan Praktek Monopoli dan Persaingan Usaha Tidak Sehat</w:t>
      </w:r>
      <w:r>
        <w:rPr>
          <w:lang w:val="en-ID"/>
        </w:rPr>
        <w:t xml:space="preserve">. Artikel ini menyarankan agar pembentuk undang-undang menyediakan </w:t>
      </w:r>
      <w:r w:rsidRPr="00D9699E">
        <w:rPr>
          <w:lang w:val="en-ID"/>
        </w:rPr>
        <w:t>kerangka kerja</w:t>
      </w:r>
      <w:r>
        <w:rPr>
          <w:lang w:val="en-ID"/>
        </w:rPr>
        <w:t xml:space="preserve"> dan regulasi</w:t>
      </w:r>
      <w:r w:rsidRPr="00D9699E">
        <w:rPr>
          <w:lang w:val="en-ID"/>
        </w:rPr>
        <w:t xml:space="preserve"> </w:t>
      </w:r>
      <w:r>
        <w:rPr>
          <w:lang w:val="en-ID"/>
        </w:rPr>
        <w:t xml:space="preserve">yang memadai </w:t>
      </w:r>
      <w:r w:rsidRPr="00D9699E">
        <w:rPr>
          <w:lang w:val="en-ID"/>
        </w:rPr>
        <w:t xml:space="preserve">untuk mengatasi eksploitasi data pribadi oleh pelaku usaha di pasar digital, dengan menyoroti </w:t>
      </w:r>
      <w:r>
        <w:rPr>
          <w:lang w:val="en-ID"/>
        </w:rPr>
        <w:t>relevansinya</w:t>
      </w:r>
      <w:r w:rsidRPr="00D9699E">
        <w:rPr>
          <w:lang w:val="en-ID"/>
        </w:rPr>
        <w:t xml:space="preserve"> dengan persaingan usaha yang sehat dan melindungi kepentingan </w:t>
      </w:r>
      <w:r>
        <w:rPr>
          <w:lang w:val="en-ID"/>
        </w:rPr>
        <w:t>pengguna layanan digital</w:t>
      </w:r>
      <w:r w:rsidRPr="00D9699E">
        <w:rPr>
          <w:lang w:val="en-ID"/>
        </w:rPr>
        <w:t>.</w:t>
      </w:r>
    </w:p>
    <w:p w14:paraId="1EC45FEA" w14:textId="61FB65DE" w:rsidR="00864FF8" w:rsidRPr="00E47DF7" w:rsidRDefault="00835B37">
      <w:pPr>
        <w:pStyle w:val="AbstractContent"/>
        <w:spacing w:after="0" w:line="276" w:lineRule="auto"/>
        <w:rPr>
          <w:lang w:val="en-ID"/>
        </w:rPr>
      </w:pPr>
      <w:r w:rsidRPr="00E47DF7">
        <w:rPr>
          <w:b/>
          <w:lang w:val="en-ID"/>
        </w:rPr>
        <w:t>K</w:t>
      </w:r>
      <w:r w:rsidR="009D53CA">
        <w:rPr>
          <w:b/>
          <w:lang w:val="en-ID"/>
        </w:rPr>
        <w:t>ata Kunci</w:t>
      </w:r>
      <w:r w:rsidRPr="00E47DF7">
        <w:rPr>
          <w:b/>
          <w:lang w:val="en-ID"/>
        </w:rPr>
        <w:t xml:space="preserve">: </w:t>
      </w:r>
      <w:r w:rsidR="004E7085">
        <w:rPr>
          <w:lang w:val="en-ID"/>
        </w:rPr>
        <w:t>Data Pribadi, Hukum Persaingan Usaha</w:t>
      </w:r>
      <w:r w:rsidR="00AC6ECD" w:rsidRPr="00E47DF7">
        <w:rPr>
          <w:lang w:val="en-ID"/>
        </w:rPr>
        <w:t xml:space="preserve">; </w:t>
      </w:r>
      <w:r w:rsidR="004E7085">
        <w:rPr>
          <w:lang w:val="en-ID"/>
        </w:rPr>
        <w:t>Pasar Digital; Posisi Dominan</w:t>
      </w:r>
      <w:r w:rsidR="00B9137D">
        <w:rPr>
          <w:lang w:val="en-ID"/>
        </w:rPr>
        <w:t>.</w:t>
      </w:r>
    </w:p>
    <w:p w14:paraId="1EC45FEB" w14:textId="77777777" w:rsidR="00864FF8" w:rsidRPr="00E47DF7" w:rsidRDefault="00864FF8">
      <w:pPr>
        <w:spacing w:after="0" w:line="276" w:lineRule="auto"/>
        <w:rPr>
          <w:lang w:val="en-ID"/>
        </w:rPr>
      </w:pPr>
    </w:p>
    <w:p w14:paraId="6F9A24B0" w14:textId="5D9B1D34" w:rsidR="00C17BC1" w:rsidRPr="00DA2357" w:rsidRDefault="00C53C7A" w:rsidP="00DA2357">
      <w:pPr>
        <w:pStyle w:val="Heading1"/>
        <w:ind w:left="567" w:hanging="567"/>
      </w:pPr>
      <w:r>
        <w:t>Pendahuluan</w:t>
      </w:r>
    </w:p>
    <w:p w14:paraId="6538BCB0" w14:textId="4D4C7EFD" w:rsidR="00C17BC1" w:rsidRPr="00C17BC1" w:rsidRDefault="00C17BC1" w:rsidP="00C17BC1">
      <w:pPr>
        <w:spacing w:after="0"/>
        <w:ind w:firstLine="567"/>
        <w:rPr>
          <w:szCs w:val="22"/>
        </w:rPr>
      </w:pPr>
      <w:r w:rsidRPr="00C17BC1">
        <w:rPr>
          <w:szCs w:val="22"/>
        </w:rPr>
        <w:t>Munculnya pasar digital telah meningkatkan kebutuhan hukum yang berbeda dalam memberikan tingkat perlindungan yang memadai kepada setiap pelaku ekonomi.</w:t>
      </w:r>
      <w:r w:rsidR="007C40BF">
        <w:rPr>
          <w:szCs w:val="22"/>
        </w:rPr>
        <w:t xml:space="preserve"> </w:t>
      </w:r>
      <w:r w:rsidRPr="00C17BC1">
        <w:rPr>
          <w:szCs w:val="22"/>
        </w:rPr>
        <w:t>Pasar digital tidak terlepas dari pengaruh data.</w:t>
      </w:r>
      <w:r w:rsidR="00EB65CB" w:rsidRPr="000062D3">
        <w:rPr>
          <w:rStyle w:val="FootnoteReference"/>
        </w:rPr>
        <w:footnoteReference w:id="1"/>
      </w:r>
      <w:r w:rsidRPr="00C17BC1">
        <w:rPr>
          <w:szCs w:val="22"/>
        </w:rPr>
        <w:t xml:space="preserve"> Data secara khusus telah menjadi sumber daya penting untuk memberikan layanan berkualitas baik kepada konsumen (selanjutnya disebut “Pengguna Layanan”) dalam berbagai bentuk.</w:t>
      </w:r>
      <w:r w:rsidRPr="00C17BC1">
        <w:rPr>
          <w:rStyle w:val="FootnoteReference"/>
          <w:szCs w:val="22"/>
        </w:rPr>
        <w:footnoteReference w:id="2"/>
      </w:r>
      <w:r w:rsidRPr="00C17BC1">
        <w:rPr>
          <w:szCs w:val="22"/>
        </w:rPr>
        <w:t xml:space="preserve"> </w:t>
      </w:r>
      <w:r w:rsidRPr="00C17BC1">
        <w:rPr>
          <w:szCs w:val="22"/>
        </w:rPr>
        <w:lastRenderedPageBreak/>
        <w:t>Perspektif tersebut menyimpulkan bahwa data telah menjadi sumber kekuatan pasar dan memicu penerapan aturan persaingan usaha.</w:t>
      </w:r>
      <w:r w:rsidR="00F14A25">
        <w:rPr>
          <w:rStyle w:val="FootnoteReference"/>
          <w:szCs w:val="22"/>
        </w:rPr>
        <w:footnoteReference w:id="3"/>
      </w:r>
      <w:r w:rsidRPr="00C17BC1">
        <w:rPr>
          <w:szCs w:val="22"/>
        </w:rPr>
        <w:t xml:space="preserve"> Akibatnya, data Pengguna Layanan menjadi aset yang berharga, sehingga sangat perlu diakses dan dimiliki oleh perusahaan agar dapat bersaing secara layak di pasar digital.</w:t>
      </w:r>
      <w:r w:rsidR="00F14A25">
        <w:rPr>
          <w:rStyle w:val="FootnoteReference"/>
          <w:szCs w:val="22"/>
        </w:rPr>
        <w:footnoteReference w:id="4"/>
      </w:r>
    </w:p>
    <w:p w14:paraId="4CABA5B2" w14:textId="21CC11BD" w:rsidR="00C17BC1" w:rsidRPr="00C17BC1" w:rsidRDefault="00C17BC1" w:rsidP="00C17BC1">
      <w:pPr>
        <w:spacing w:after="0"/>
        <w:ind w:firstLine="567"/>
        <w:rPr>
          <w:szCs w:val="22"/>
        </w:rPr>
      </w:pPr>
      <w:r w:rsidRPr="00C17BC1">
        <w:rPr>
          <w:szCs w:val="22"/>
        </w:rPr>
        <w:t>Di era pasar digital, penyedia layanan di pasar digital (selanjutnya disebut “Penyedia Layanan”) mengandalkan pengumpulan, penyimpanan, analisis, dan monetisasi sejumlah besar data pribadi.</w:t>
      </w:r>
      <w:r w:rsidR="00CD2D49" w:rsidRPr="00C17BC1">
        <w:rPr>
          <w:rStyle w:val="FootnoteReference"/>
          <w:szCs w:val="22"/>
        </w:rPr>
        <w:footnoteReference w:id="5"/>
      </w:r>
      <w:r w:rsidRPr="00C17BC1">
        <w:rPr>
          <w:szCs w:val="22"/>
        </w:rPr>
        <w:t xml:space="preserve"> Kemampuan untuk mengakses dan memonetisasi data pribadi Pengguna Layanan sangat penting untuk mendapatkan keunggulan kompetitif dan bersaing secara efektif dalam ekonomi digital.</w:t>
      </w:r>
      <w:r w:rsidRPr="00C17BC1">
        <w:rPr>
          <w:rStyle w:val="FootnoteReference"/>
          <w:szCs w:val="22"/>
        </w:rPr>
        <w:footnoteReference w:id="6"/>
      </w:r>
      <w:r w:rsidRPr="00C17BC1">
        <w:rPr>
          <w:szCs w:val="22"/>
        </w:rPr>
        <w:t xml:space="preserve"> Dalam konteks ini, data pribadi yang dikumpulkan digunakan untuk berbagai tujuan.</w:t>
      </w:r>
      <w:r w:rsidRPr="00C17BC1">
        <w:rPr>
          <w:rStyle w:val="FootnoteReference"/>
          <w:szCs w:val="22"/>
        </w:rPr>
        <w:t xml:space="preserve"> </w:t>
      </w:r>
      <w:r w:rsidRPr="00C17BC1">
        <w:rPr>
          <w:rStyle w:val="FootnoteReference"/>
          <w:szCs w:val="22"/>
        </w:rPr>
        <w:footnoteReference w:id="7"/>
      </w:r>
      <w:r w:rsidRPr="00C17BC1">
        <w:rPr>
          <w:szCs w:val="22"/>
        </w:rPr>
        <w:t xml:space="preserve"> Mulai dari sekadar berfungsinya </w:t>
      </w:r>
      <w:r w:rsidRPr="00C17BC1">
        <w:rPr>
          <w:i/>
          <w:iCs/>
          <w:szCs w:val="22"/>
        </w:rPr>
        <w:t>platform online</w:t>
      </w:r>
      <w:r w:rsidRPr="00C17BC1">
        <w:rPr>
          <w:szCs w:val="22"/>
        </w:rPr>
        <w:t xml:space="preserve"> dan penyampaian produk/layanan yang ditawarkan, hingga peningkatan relevansi dan kualitas layanan dan produk serta iklan bertarget.</w:t>
      </w:r>
    </w:p>
    <w:p w14:paraId="70007DDF" w14:textId="77777777" w:rsidR="00C17BC1" w:rsidRPr="00C17BC1" w:rsidRDefault="00C17BC1" w:rsidP="00C17BC1">
      <w:pPr>
        <w:spacing w:after="0"/>
        <w:ind w:firstLine="567"/>
        <w:rPr>
          <w:szCs w:val="22"/>
        </w:rPr>
      </w:pPr>
      <w:r w:rsidRPr="00C17BC1">
        <w:rPr>
          <w:szCs w:val="22"/>
        </w:rPr>
        <w:t xml:space="preserve">Data Pengguna Layanan pun menjadi </w:t>
      </w:r>
      <w:r w:rsidRPr="00C17BC1">
        <w:rPr>
          <w:i/>
          <w:iCs/>
          <w:szCs w:val="22"/>
        </w:rPr>
        <w:t>input</w:t>
      </w:r>
      <w:r w:rsidRPr="00C17BC1">
        <w:rPr>
          <w:szCs w:val="22"/>
        </w:rPr>
        <w:t xml:space="preserve"> vital bagi Penyedia Layanan dan menyebabkan persaingan antar Penyedia Layanan dalam melakukan pengumpulan data. Persaingan dalam pengumpulan data tersebut memantik Penyedia Layanan untuk melakukan segala hal untuk dapat menggali data pengguna dan mempergunakannya untuk kepentingan bisnis mereka, termasuk bentuk eksploitasi data pribadi. Eksploitasi data pribadi dilakukan melalui pengumpulan data geolokasi, alamat IP, sensor, atau pun </w:t>
      </w:r>
      <w:r w:rsidRPr="00C17BC1">
        <w:rPr>
          <w:i/>
          <w:iCs/>
          <w:szCs w:val="22"/>
        </w:rPr>
        <w:t>cookie.</w:t>
      </w:r>
      <w:r w:rsidRPr="00C17BC1">
        <w:rPr>
          <w:szCs w:val="22"/>
        </w:rPr>
        <w:t xml:space="preserve"> Penyedia Layanan tidak hanya mampu untuk mengumpulkan data konvensional konsumen seperti jenis kelamin, usia, tingkat pendidikan, tetapi juga berbagai informasi lainnya, seperti riwayat penelusurannya, kunjungan situs web, pembelian sebelumnya, interaksi di jejaring sosial. </w:t>
      </w:r>
    </w:p>
    <w:p w14:paraId="5DE9B68A" w14:textId="52AD9EA7" w:rsidR="00C17BC1" w:rsidRPr="00C17BC1" w:rsidRDefault="00C17BC1" w:rsidP="00C17BC1">
      <w:pPr>
        <w:spacing w:after="0"/>
        <w:ind w:firstLine="567"/>
        <w:rPr>
          <w:szCs w:val="22"/>
        </w:rPr>
      </w:pPr>
      <w:r w:rsidRPr="00C17BC1">
        <w:rPr>
          <w:szCs w:val="22"/>
        </w:rPr>
        <w:lastRenderedPageBreak/>
        <w:t>Setelah dieksploitasi, data pribadi Pengguna Layanan digabungkan melalui analisis data,</w:t>
      </w:r>
      <w:r w:rsidR="00F14A25">
        <w:rPr>
          <w:rStyle w:val="FootnoteReference"/>
          <w:szCs w:val="22"/>
        </w:rPr>
        <w:footnoteReference w:id="8"/>
      </w:r>
      <w:r w:rsidRPr="00C17BC1">
        <w:rPr>
          <w:szCs w:val="22"/>
        </w:rPr>
        <w:t xml:space="preserve"> untuk menyempurnakan profil pelanggan guna menawarkan produk baru yang tepat waktu, dipersonalisasi, dan diberi harga yang sesuai.</w:t>
      </w:r>
      <w:r w:rsidR="007C40BF" w:rsidRPr="007C40BF">
        <w:rPr>
          <w:rStyle w:val="FootnoteReference"/>
          <w:sz w:val="24"/>
          <w:szCs w:val="24"/>
        </w:rPr>
        <w:footnoteReference w:id="9"/>
      </w:r>
      <w:r w:rsidRPr="00C17BC1">
        <w:rPr>
          <w:szCs w:val="22"/>
        </w:rPr>
        <w:t xml:space="preserve"> Proses eksploitasi data pribadi Pengguna Layanan kemudian diubah menjadi nilai dalam bentuk iklan bertarget atau rekomendasi yang dipersonalisasi</w:t>
      </w:r>
      <w:r w:rsidR="007C40BF">
        <w:rPr>
          <w:szCs w:val="22"/>
        </w:rPr>
        <w:t>,</w:t>
      </w:r>
      <w:r w:rsidRPr="00C17BC1">
        <w:rPr>
          <w:szCs w:val="22"/>
        </w:rPr>
        <w:t xml:space="preserve"> yang dikenal sebagai </w:t>
      </w:r>
      <w:r w:rsidR="002961BD" w:rsidRPr="002961BD">
        <w:rPr>
          <w:i/>
          <w:iCs/>
          <w:szCs w:val="22"/>
        </w:rPr>
        <w:t>Big data</w:t>
      </w:r>
      <w:r w:rsidRPr="00C17BC1">
        <w:rPr>
          <w:szCs w:val="22"/>
        </w:rPr>
        <w:t>.</w:t>
      </w:r>
      <w:r w:rsidRPr="00C17BC1">
        <w:rPr>
          <w:rStyle w:val="FootnoteReference"/>
          <w:szCs w:val="22"/>
        </w:rPr>
        <w:footnoteReference w:id="10"/>
      </w:r>
      <w:r w:rsidRPr="00C17BC1">
        <w:rPr>
          <w:szCs w:val="22"/>
        </w:rPr>
        <w:t xml:space="preserve"> Pada akhirnya serangkaian proses ini dilakukan untuk membujuk Pengguna Layanan agar melakukan pembelian terhadap produk layanan.</w:t>
      </w:r>
    </w:p>
    <w:p w14:paraId="6A0CC6F0" w14:textId="05A9736A" w:rsidR="00C17BC1" w:rsidRPr="00C17BC1" w:rsidRDefault="00C17BC1" w:rsidP="00C17BC1">
      <w:pPr>
        <w:spacing w:after="0"/>
        <w:ind w:firstLine="567"/>
        <w:rPr>
          <w:szCs w:val="22"/>
        </w:rPr>
      </w:pPr>
      <w:r w:rsidRPr="00C17BC1">
        <w:rPr>
          <w:szCs w:val="22"/>
        </w:rPr>
        <w:t>Praktik eksploitasi data pribadi Pengguna Layanan rupanya lebih masif dilakukan oleh Penyedia Layanan yang telah memiliki posisi dominan di dalam pasar digital. Akibatnya, selera Pengguna Layanan secara mudah diketahui melalui pemrosesan data pribadi. Kemampuan Penyedia untuk mengumpulkan data pribadi</w:t>
      </w:r>
      <w:r w:rsidR="00DA2357">
        <w:rPr>
          <w:szCs w:val="22"/>
        </w:rPr>
        <w:t xml:space="preserve"> secara eksploitatif</w:t>
      </w:r>
      <w:r w:rsidRPr="00C17BC1">
        <w:rPr>
          <w:szCs w:val="22"/>
        </w:rPr>
        <w:t xml:space="preserve"> memunculkan bias perilaku Pengguna.</w:t>
      </w:r>
      <w:r w:rsidRPr="00C17BC1">
        <w:rPr>
          <w:rStyle w:val="FootnoteReference"/>
          <w:szCs w:val="22"/>
        </w:rPr>
        <w:footnoteReference w:id="11"/>
      </w:r>
      <w:r w:rsidRPr="00C17BC1">
        <w:rPr>
          <w:szCs w:val="22"/>
        </w:rPr>
        <w:t xml:space="preserve"> Akibatnya, selera Pengguna yang telah diketahui melalui pemrosesan data pribadi. Pada akhirnya kontrol individu atas tersedianya pilihan produk dalam pasar menjadi ilusi.</w:t>
      </w:r>
      <w:r w:rsidRPr="00C17BC1">
        <w:rPr>
          <w:rStyle w:val="FootnoteReference"/>
          <w:szCs w:val="22"/>
        </w:rPr>
        <w:footnoteReference w:id="12"/>
      </w:r>
      <w:r w:rsidRPr="00C17BC1">
        <w:rPr>
          <w:szCs w:val="22"/>
        </w:rPr>
        <w:t xml:space="preserve"> </w:t>
      </w:r>
    </w:p>
    <w:p w14:paraId="2B18B245" w14:textId="77777777" w:rsidR="00C17BC1" w:rsidRPr="00C17BC1" w:rsidRDefault="00C17BC1" w:rsidP="00C17BC1">
      <w:pPr>
        <w:spacing w:after="0"/>
        <w:ind w:firstLine="567"/>
        <w:rPr>
          <w:szCs w:val="22"/>
        </w:rPr>
      </w:pPr>
      <w:r w:rsidRPr="00C17BC1">
        <w:rPr>
          <w:szCs w:val="22"/>
        </w:rPr>
        <w:t>Eksploitasi data pribadi oleh Penyedia Layanan bukannya tanpa konsekuensi. Eksploitasi data pribadi mampu meningkatkan kekuatan pasar Pengguna Layanan.</w:t>
      </w:r>
      <w:r w:rsidRPr="00C17BC1">
        <w:rPr>
          <w:rStyle w:val="FootnoteReference"/>
          <w:szCs w:val="22"/>
        </w:rPr>
        <w:footnoteReference w:id="13"/>
      </w:r>
      <w:r w:rsidRPr="00C17BC1">
        <w:rPr>
          <w:szCs w:val="22"/>
        </w:rPr>
        <w:t xml:space="preserve"> Puncaknya, Penyedia Layanan mendapatkan kemampuan untuk secara sepihak menaikkan harga di atas tingkat persaingan, menyediakan produk atau layanan dengan kualitas yang lebih rendah, menerapkan iklan dalam jumlah besar atau bahkan mengumpulkan, menganalisis, atau menjual data berlebihan dari Penyedia Layanan.</w:t>
      </w:r>
      <w:r w:rsidRPr="00C17BC1">
        <w:rPr>
          <w:rStyle w:val="FootnoteReference"/>
          <w:szCs w:val="22"/>
        </w:rPr>
        <w:footnoteReference w:id="14"/>
      </w:r>
    </w:p>
    <w:p w14:paraId="6D7BDAAE" w14:textId="50BD696C" w:rsidR="00C17BC1" w:rsidRPr="00C17BC1" w:rsidRDefault="00C17BC1" w:rsidP="00C17BC1">
      <w:pPr>
        <w:spacing w:after="0"/>
        <w:ind w:firstLine="567"/>
        <w:rPr>
          <w:szCs w:val="22"/>
        </w:rPr>
      </w:pPr>
      <w:r w:rsidRPr="00C17BC1">
        <w:rPr>
          <w:szCs w:val="22"/>
        </w:rPr>
        <w:t>Setidaknya terdapat tiga keunggulan kompetitif yang didapatkan dari tindakan eksploitasi data pribadi oleh Penyedia Layanan dengan posisi dominan. Pertama, Penyedia Layanan akan mendapatkan kapasitas tambahan melalui produk dan layanan. Dalam hal ini produk dan layanan yang mereka tawarkan mampu menghasilkan “efek jaringan.”</w:t>
      </w:r>
      <w:r w:rsidRPr="00C17BC1">
        <w:rPr>
          <w:rStyle w:val="FootnoteReference"/>
          <w:szCs w:val="22"/>
        </w:rPr>
        <w:footnoteReference w:id="15"/>
      </w:r>
      <w:r w:rsidR="00DA2357">
        <w:rPr>
          <w:szCs w:val="22"/>
        </w:rPr>
        <w:t xml:space="preserve"> </w:t>
      </w:r>
      <w:r w:rsidRPr="00C17BC1">
        <w:rPr>
          <w:szCs w:val="22"/>
        </w:rPr>
        <w:t xml:space="preserve">Misalnya, semakin tinggi jumlah pelanggan yang menggunakan Gojek atau Grab, semakin bernilai platform tersebut bagi pengemudi, dan sebaliknya. </w:t>
      </w:r>
    </w:p>
    <w:p w14:paraId="43812857" w14:textId="6081C721" w:rsidR="00C17BC1" w:rsidRPr="00C17BC1" w:rsidRDefault="00C17BC1" w:rsidP="00C17BC1">
      <w:pPr>
        <w:spacing w:after="0"/>
        <w:ind w:firstLine="567"/>
        <w:rPr>
          <w:szCs w:val="22"/>
        </w:rPr>
      </w:pPr>
      <w:r w:rsidRPr="00C17BC1">
        <w:rPr>
          <w:szCs w:val="22"/>
        </w:rPr>
        <w:t>Kedua, kemampuan Penyedia Layanan untuk melakukan eksploitasi data pribadi berskala besar, mampu “melatih” algoritma mereka untuk meningkatkan kualitas layanan mereka. Sehingga Penyedia Layanan dapat melakukan kinerja dan efisiensinya dengan biaya rendah.</w:t>
      </w:r>
      <w:r w:rsidR="00EB65CB">
        <w:rPr>
          <w:rStyle w:val="FootnoteReference"/>
          <w:szCs w:val="22"/>
        </w:rPr>
        <w:footnoteReference w:id="16"/>
      </w:r>
      <w:r w:rsidRPr="00C17BC1">
        <w:rPr>
          <w:szCs w:val="22"/>
        </w:rPr>
        <w:t xml:space="preserve"> Ketiga, melalui data pribadi yang dieksploitasi, Penyedia Layanan mampu meningkatkan kapasitas mereka untuk menginvestasikan sejumlah uang pada daya komputasi skala besar, pusat data yang luas, perangkat lunak analisis data, dan </w:t>
      </w:r>
      <w:r w:rsidRPr="00C17BC1">
        <w:rPr>
          <w:szCs w:val="22"/>
        </w:rPr>
        <w:lastRenderedPageBreak/>
        <w:t>sumber daya manusia yang mahal.</w:t>
      </w:r>
      <w:r w:rsidR="00C51D67">
        <w:rPr>
          <w:rStyle w:val="FootnoteReference"/>
          <w:szCs w:val="22"/>
        </w:rPr>
        <w:footnoteReference w:id="17"/>
      </w:r>
      <w:r w:rsidRPr="00C17BC1">
        <w:rPr>
          <w:szCs w:val="22"/>
        </w:rPr>
        <w:t xml:space="preserve"> Puncaknya, Penyedia Layanan dengan posisi dominan sekaligus berperan sebagai “</w:t>
      </w:r>
      <w:r w:rsidRPr="00C17BC1">
        <w:rPr>
          <w:i/>
          <w:iCs/>
          <w:szCs w:val="22"/>
        </w:rPr>
        <w:t>Gatekeepers</w:t>
      </w:r>
      <w:r w:rsidRPr="00C17BC1">
        <w:rPr>
          <w:szCs w:val="22"/>
        </w:rPr>
        <w:t>”,</w:t>
      </w:r>
      <w:r w:rsidRPr="00C17BC1">
        <w:rPr>
          <w:rStyle w:val="FootnoteReference"/>
          <w:szCs w:val="22"/>
        </w:rPr>
        <w:footnoteReference w:id="18"/>
      </w:r>
      <w:r w:rsidRPr="00C17BC1">
        <w:rPr>
          <w:szCs w:val="22"/>
        </w:rPr>
        <w:t xml:space="preserve"> semakin mampu untuk memperkuat posisi dominan mereka di pasar digital. Secara permanen, pada akhirnya Penyedia Layanan dengan posisi dominan semakin mengungguli pesaing-pesaing yang lebih kecil, yang tidak memiliki infrastruktur mahal dan akses untuk dapat mengeksploitasi data pribadi yang mampu mendukung mereka untuk menjadi pesaing yang layak.</w:t>
      </w:r>
      <w:r w:rsidRPr="00C17BC1">
        <w:rPr>
          <w:rStyle w:val="FootnoteReference"/>
          <w:szCs w:val="22"/>
        </w:rPr>
        <w:footnoteReference w:id="19"/>
      </w:r>
    </w:p>
    <w:p w14:paraId="4CF5776F" w14:textId="10DA7DBF" w:rsidR="00C17BC1" w:rsidRPr="00C17BC1" w:rsidRDefault="00C17BC1" w:rsidP="00C17BC1">
      <w:pPr>
        <w:spacing w:after="0"/>
        <w:ind w:firstLine="567"/>
        <w:rPr>
          <w:szCs w:val="22"/>
        </w:rPr>
      </w:pPr>
      <w:r w:rsidRPr="00C17BC1">
        <w:rPr>
          <w:szCs w:val="22"/>
        </w:rPr>
        <w:t>Pengumpulan dan pengendalian data dalam jumlah secara eksploitatis memang tidak serta merta secara langsung menimbulkan kerugian persaingan, hal ini dikarenakan peningkatan efisiensi dan inovasi yang dicapai oleh Penyedia Layanan mungkin saja bermanfaat bagi Pengguna Layanan.</w:t>
      </w:r>
      <w:r w:rsidRPr="00C17BC1">
        <w:rPr>
          <w:rStyle w:val="FootnoteReference"/>
          <w:szCs w:val="22"/>
        </w:rPr>
        <w:footnoteReference w:id="20"/>
      </w:r>
      <w:r w:rsidRPr="00C17BC1">
        <w:rPr>
          <w:szCs w:val="22"/>
        </w:rPr>
        <w:t xml:space="preserve"> Namun terdapat potensi bagi Penyedia Layanan dapat memanfaatkan peningkatan pasar mereka serta menyalahgunakan posisi dominannya.</w:t>
      </w:r>
      <w:r w:rsidRPr="00C17BC1">
        <w:rPr>
          <w:rStyle w:val="FootnoteReference"/>
          <w:szCs w:val="22"/>
        </w:rPr>
        <w:footnoteReference w:id="21"/>
      </w:r>
      <w:r w:rsidRPr="00C17BC1">
        <w:rPr>
          <w:szCs w:val="22"/>
        </w:rPr>
        <w:t xml:space="preserve"> Kekuatan yang dihasilkan dari akses dan kendali mereka terhadap </w:t>
      </w:r>
      <w:r w:rsidR="002961BD" w:rsidRPr="002961BD">
        <w:rPr>
          <w:i/>
          <w:iCs/>
          <w:szCs w:val="22"/>
        </w:rPr>
        <w:t>Big data</w:t>
      </w:r>
      <w:r w:rsidRPr="00C17BC1">
        <w:rPr>
          <w:szCs w:val="22"/>
        </w:rPr>
        <w:t xml:space="preserve"> berpotensi untuk menyita pasar dari calon pesaing, serta berpotensi memberikan harga yang lebih tinggi bahkan diskriminatif kepada konsumen. Jika terbukti, praktik-praktik tersebut merupakan penyalahgunaan dominasi sebagaimana dimaksud dalam Pasal 25 Undang-Undang Nomor 5 Tahun 1999 tentang Larangan Praktek Monopoli dan Persaingan Usaha Tidak Sehat (UU 5/1999). </w:t>
      </w:r>
    </w:p>
    <w:p w14:paraId="7FF3B164" w14:textId="77777777" w:rsidR="00C17BC1" w:rsidRPr="00C17BC1" w:rsidRDefault="00C17BC1" w:rsidP="00C17BC1">
      <w:pPr>
        <w:spacing w:after="0"/>
        <w:ind w:firstLine="567"/>
        <w:rPr>
          <w:szCs w:val="22"/>
        </w:rPr>
      </w:pPr>
      <w:r w:rsidRPr="00C17BC1">
        <w:rPr>
          <w:szCs w:val="22"/>
        </w:rPr>
        <w:t>Meskipun perlindungan, pengelolaan, dan pemrosesan data pribadi telah dilindungi oleh ketentuan Undang-Undang Republik Indonesia Nomor 27 Tahun 2022 Tentang Pelindungan data pribadi (UU 27/2022), namun UU 27/2022 pada intinya hanya menentukan bahwa sepanjang penggunaan data pribadi disetujui oleh Subjek data pribadi,</w:t>
      </w:r>
      <w:r w:rsidRPr="00C17BC1">
        <w:rPr>
          <w:rStyle w:val="FootnoteReference"/>
          <w:szCs w:val="22"/>
        </w:rPr>
        <w:footnoteReference w:id="22"/>
      </w:r>
      <w:r w:rsidRPr="00C17BC1">
        <w:rPr>
          <w:szCs w:val="22"/>
        </w:rPr>
        <w:t xml:space="preserve"> maka Pengelola data pribadi dapat melakukan pengelolaan data pribadi, termasuk pemrosesan data pribadi oleh Prosesor data pribadi.</w:t>
      </w:r>
      <w:r w:rsidRPr="00C17BC1">
        <w:rPr>
          <w:rStyle w:val="FootnoteReference"/>
          <w:szCs w:val="22"/>
        </w:rPr>
        <w:footnoteReference w:id="23"/>
      </w:r>
      <w:r w:rsidRPr="00C17BC1">
        <w:rPr>
          <w:szCs w:val="22"/>
        </w:rPr>
        <w:t xml:space="preserve"> Di sisi lain, UU 27/2022 tidak memberikan larangan secara eksplisit mengenai eksploitasi data pribadi, sepanjang pengelolaan dan pemrosesan data pribadi disetujui oleh Subjek data pribadi.</w:t>
      </w:r>
      <w:r w:rsidRPr="00C17BC1">
        <w:rPr>
          <w:rStyle w:val="FootnoteReference"/>
          <w:szCs w:val="22"/>
        </w:rPr>
        <w:footnoteReference w:id="24"/>
      </w:r>
      <w:r w:rsidRPr="00C17BC1">
        <w:rPr>
          <w:szCs w:val="22"/>
        </w:rPr>
        <w:t xml:space="preserve"> Fakta tersebut, </w:t>
      </w:r>
      <w:r w:rsidRPr="00C17BC1">
        <w:rPr>
          <w:szCs w:val="22"/>
        </w:rPr>
        <w:lastRenderedPageBreak/>
        <w:t xml:space="preserve">menunjukkan bahwa rezim hukum perlindungan data pribadi hanya berfokus pada kepentingan pengguna sebagai subjek data, sementara hukum persaingan usaha memiliki penekanan yang berbeda. Meskipun pada akhirnya Hukum Persaingan Usaha juga melayani kepentingan konsumen, namun fokus Hukum Persaingan Usaha ada pada hal lain, yaitu memastikan adanya persaingan yang setara di pasar dengan menghilangkan hambatan masuk untuk memungkinkan persaingan yang bebas dan efektif. </w:t>
      </w:r>
    </w:p>
    <w:p w14:paraId="42E941E3" w14:textId="77777777" w:rsidR="00C17BC1" w:rsidRPr="00C17BC1" w:rsidRDefault="00C17BC1" w:rsidP="00C17BC1">
      <w:pPr>
        <w:spacing w:after="0"/>
        <w:ind w:firstLine="567"/>
        <w:rPr>
          <w:szCs w:val="22"/>
        </w:rPr>
      </w:pPr>
      <w:bookmarkStart w:id="2" w:name="_Hlk153809636"/>
      <w:r w:rsidRPr="00C17BC1">
        <w:rPr>
          <w:szCs w:val="22"/>
        </w:rPr>
        <w:t>Cara di mana pengumpulan data yang berlebihan dengan melakukan eksploitasi dapat ditangani secara efektif merupakan bagian dari diskusi yang jelas dan lebih luas mengenai interaksi hukum perlindungan data dan persaingan usaha. Penelitian ini mencoba mendukung penanganan eksploitasi data yang berlebihan di bawah gagasan penyalahgunaan dominasi yang eksploitatif berdasarkan Pasal 25 UU 5/1999.</w:t>
      </w:r>
      <w:r w:rsidRPr="00C17BC1">
        <w:rPr>
          <w:rStyle w:val="FootnoteReference"/>
          <w:szCs w:val="22"/>
        </w:rPr>
        <w:footnoteReference w:id="25"/>
      </w:r>
    </w:p>
    <w:p w14:paraId="1734F21B" w14:textId="705477EA" w:rsidR="00C17BC1" w:rsidRPr="00A902A4" w:rsidRDefault="00C17BC1" w:rsidP="00A902A4">
      <w:pPr>
        <w:spacing w:after="0"/>
        <w:ind w:firstLine="567"/>
        <w:rPr>
          <w:szCs w:val="22"/>
        </w:rPr>
      </w:pPr>
      <w:r w:rsidRPr="00C17BC1">
        <w:rPr>
          <w:szCs w:val="22"/>
        </w:rPr>
        <w:t xml:space="preserve">Penelitian ini berusaha untuk mengatasi masalah pengumpulan data yang berlebihan dari perspektif kondisi yang dipaksakan oleh Penyedia Layanan pasar digital. Secara khusus, penelitian ini mencoba </w:t>
      </w:r>
      <w:r w:rsidRPr="00A902A4">
        <w:rPr>
          <w:szCs w:val="22"/>
        </w:rPr>
        <w:t>menjawab sejauh mana eksploitasi data pribadi dapat dikualifikasikan sebagai penyalahgunaan posisi dominan secara eksploitatif berdasarkan Pasal 25 UU 5/1999.</w:t>
      </w:r>
      <w:r w:rsidR="007C40BF" w:rsidRPr="00A902A4">
        <w:rPr>
          <w:szCs w:val="22"/>
        </w:rPr>
        <w:t xml:space="preserve"> Penelitian ini berusaha menjawab tiga pertanyaan. Pertama, bagaimana keterkaitan antara eksploitasi data pribadi dan hukum persaingan? Kedua, bagaimana eksploitasi data pribadi dapat ditetapkan sebagai penyalahgunaan posisi dominan? Bagaimana saran kebijakan dalam menanghadapi perilaku eksploitasi data pribadi oleh pelaku usaha di pasar digital?</w:t>
      </w:r>
      <w:bookmarkEnd w:id="2"/>
    </w:p>
    <w:p w14:paraId="76E98DC3" w14:textId="5D9C4D04" w:rsidR="00A902A4" w:rsidRPr="007C40BF" w:rsidRDefault="00A902A4" w:rsidP="00A902A4">
      <w:pPr>
        <w:spacing w:after="0"/>
        <w:ind w:firstLine="567"/>
        <w:rPr>
          <w:szCs w:val="22"/>
        </w:rPr>
      </w:pPr>
      <w:r w:rsidRPr="00A902A4">
        <w:rPr>
          <w:szCs w:val="22"/>
        </w:rPr>
        <w:t xml:space="preserve">Dalam perkembangannya, terdapat banyak penelitian yang menawarkan gagasan serupa </w:t>
      </w:r>
      <w:r>
        <w:rPr>
          <w:szCs w:val="22"/>
        </w:rPr>
        <w:t>dengan artikel ini</w:t>
      </w:r>
      <w:r w:rsidRPr="00A902A4">
        <w:rPr>
          <w:szCs w:val="22"/>
        </w:rPr>
        <w:t xml:space="preserve">. Di antaranya telaah mengenai interaksi persaingan usaha dan perlindungan data pada kasus </w:t>
      </w:r>
      <w:r w:rsidRPr="00A902A4">
        <w:rPr>
          <w:i/>
          <w:iCs/>
          <w:szCs w:val="22"/>
        </w:rPr>
        <w:t xml:space="preserve">Bundeskartellamt </w:t>
      </w:r>
      <w:r w:rsidRPr="00A902A4">
        <w:rPr>
          <w:szCs w:val="22"/>
        </w:rPr>
        <w:t>melawan Facebook</w:t>
      </w:r>
      <w:r>
        <w:rPr>
          <w:szCs w:val="22"/>
        </w:rPr>
        <w:t>,</w:t>
      </w:r>
      <w:r>
        <w:rPr>
          <w:rStyle w:val="FootnoteReference"/>
          <w:szCs w:val="22"/>
        </w:rPr>
        <w:footnoteReference w:id="26"/>
      </w:r>
      <w:r>
        <w:rPr>
          <w:szCs w:val="22"/>
        </w:rPr>
        <w:t xml:space="preserve"> analisis mengenai </w:t>
      </w:r>
      <w:r w:rsidRPr="00A902A4">
        <w:rPr>
          <w:szCs w:val="22"/>
        </w:rPr>
        <w:t>penyalahgunaan posisi dominan oleh pelaku usaha</w:t>
      </w:r>
      <w:r>
        <w:rPr>
          <w:szCs w:val="22"/>
        </w:rPr>
        <w:t xml:space="preserve"> </w:t>
      </w:r>
      <w:r w:rsidRPr="00A902A4">
        <w:rPr>
          <w:szCs w:val="22"/>
        </w:rPr>
        <w:t>dominan melalui penggunaan algoritma harga</w:t>
      </w:r>
      <w:r>
        <w:rPr>
          <w:szCs w:val="22"/>
        </w:rPr>
        <w:t>,</w:t>
      </w:r>
      <w:r>
        <w:rPr>
          <w:rStyle w:val="FootnoteReference"/>
          <w:szCs w:val="22"/>
        </w:rPr>
        <w:footnoteReference w:id="27"/>
      </w:r>
      <w:r>
        <w:rPr>
          <w:szCs w:val="22"/>
        </w:rPr>
        <w:t xml:space="preserve"> dan kajian mengenai </w:t>
      </w:r>
      <w:r w:rsidRPr="00A902A4">
        <w:rPr>
          <w:szCs w:val="22"/>
        </w:rPr>
        <w:t>pelindungan data pribadi dalam analisis penyalahgunaan</w:t>
      </w:r>
      <w:r>
        <w:rPr>
          <w:szCs w:val="22"/>
        </w:rPr>
        <w:t xml:space="preserve"> </w:t>
      </w:r>
      <w:r w:rsidRPr="00A902A4">
        <w:rPr>
          <w:szCs w:val="22"/>
        </w:rPr>
        <w:t>posisi dominan berdasarkan hukum persaingan usaha</w:t>
      </w:r>
      <w:r>
        <w:rPr>
          <w:szCs w:val="22"/>
        </w:rPr>
        <w:t>.</w:t>
      </w:r>
      <w:r>
        <w:rPr>
          <w:rStyle w:val="FootnoteReference"/>
          <w:szCs w:val="22"/>
        </w:rPr>
        <w:footnoteReference w:id="28"/>
      </w:r>
      <w:r>
        <w:rPr>
          <w:szCs w:val="22"/>
        </w:rPr>
        <w:t xml:space="preserve"> </w:t>
      </w:r>
      <w:r w:rsidRPr="00A902A4">
        <w:rPr>
          <w:szCs w:val="22"/>
        </w:rPr>
        <w:t xml:space="preserve">Meskipun demikian, belum terdapat penelitian yang cukup untuk menawarkan gagasan dalam </w:t>
      </w:r>
      <w:r>
        <w:rPr>
          <w:szCs w:val="22"/>
        </w:rPr>
        <w:t xml:space="preserve">menetapkan </w:t>
      </w:r>
      <w:r w:rsidRPr="00A902A4">
        <w:rPr>
          <w:szCs w:val="22"/>
        </w:rPr>
        <w:t>perilaku eksploitasi data pribadi sebagai bentuk penyalahgunaan posisi dominan di pasar digital</w:t>
      </w:r>
      <w:r>
        <w:rPr>
          <w:szCs w:val="22"/>
        </w:rPr>
        <w:t xml:space="preserve"> dalam kerangka hukum persaingan usaha</w:t>
      </w:r>
      <w:r w:rsidRPr="00A902A4">
        <w:rPr>
          <w:szCs w:val="22"/>
        </w:rPr>
        <w:t>.</w:t>
      </w:r>
    </w:p>
    <w:p w14:paraId="1EC45FF1" w14:textId="76D1DCFD" w:rsidR="00864FF8" w:rsidRPr="00A902A4" w:rsidRDefault="00864FF8" w:rsidP="006318A2">
      <w:pPr>
        <w:pStyle w:val="Level1Content"/>
        <w:rPr>
          <w:lang w:val="en-US"/>
        </w:rPr>
      </w:pPr>
    </w:p>
    <w:p w14:paraId="1EC45FF2" w14:textId="35A5E1CB" w:rsidR="00864FF8" w:rsidRPr="00E47DF7" w:rsidRDefault="00530E28" w:rsidP="007C40BF">
      <w:pPr>
        <w:pStyle w:val="Heading1"/>
        <w:ind w:left="567" w:hanging="567"/>
      </w:pPr>
      <w:r w:rsidRPr="00E47DF7">
        <w:t>Me</w:t>
      </w:r>
      <w:r w:rsidR="00C53C7A">
        <w:t>tode Penelitian</w:t>
      </w:r>
    </w:p>
    <w:p w14:paraId="48AD7E6A" w14:textId="42BB0830" w:rsidR="009D53CA" w:rsidRPr="00715C10" w:rsidRDefault="009D53CA" w:rsidP="00D9699E">
      <w:pPr>
        <w:ind w:firstLine="567"/>
        <w:rPr>
          <w:color w:val="000000" w:themeColor="text1"/>
          <w:spacing w:val="-6"/>
          <w:szCs w:val="22"/>
          <w:lang w:eastAsia="id-ID"/>
        </w:rPr>
      </w:pPr>
      <w:bookmarkStart w:id="3" w:name="_Hlk163246166"/>
      <w:r w:rsidRPr="00715C10">
        <w:rPr>
          <w:color w:val="000000" w:themeColor="text1"/>
          <w:spacing w:val="-6"/>
          <w:szCs w:val="22"/>
          <w:lang w:eastAsia="id-ID"/>
        </w:rPr>
        <w:t xml:space="preserve">Penelitian ini menggunakan penelitian hukum normatif doktrinal yang dikolaborasikan dengan metode </w:t>
      </w:r>
      <w:r w:rsidRPr="00715C10">
        <w:rPr>
          <w:i/>
          <w:iCs/>
          <w:color w:val="000000" w:themeColor="text1"/>
          <w:spacing w:val="-6"/>
          <w:szCs w:val="22"/>
          <w:lang w:eastAsia="id-ID"/>
        </w:rPr>
        <w:t>Reform Oriented Research</w:t>
      </w:r>
      <w:r w:rsidRPr="00715C10">
        <w:rPr>
          <w:color w:val="000000" w:themeColor="text1"/>
          <w:spacing w:val="-6"/>
          <w:szCs w:val="22"/>
          <w:lang w:eastAsia="id-ID"/>
        </w:rPr>
        <w:t xml:space="preserve"> (Penelitian Berorientasi Pembaruan). Penelitian hukum normatif mencakup penelitian terhadap produk-produk hukum, asas-asas hukum, sistematika hukum, sinkronisasi hukum, baik vertikal maupun horizontal, perbandingan hukum termasuk melihat sejarah hukum yang ada.</w:t>
      </w:r>
      <w:r w:rsidR="00715C10" w:rsidRPr="00715C10">
        <w:rPr>
          <w:rFonts w:eastAsia="Bookman Old Style"/>
          <w:vertAlign w:val="superscript"/>
          <w:lang w:val="sv-SE"/>
        </w:rPr>
        <w:footnoteReference w:id="29"/>
      </w:r>
      <w:r w:rsidRPr="00715C10">
        <w:rPr>
          <w:color w:val="000000" w:themeColor="text1"/>
          <w:spacing w:val="-6"/>
          <w:szCs w:val="22"/>
          <w:lang w:eastAsia="id-ID"/>
        </w:rPr>
        <w:t xml:space="preserve"> Penelitian doktrinal dilakukan untuk memeriksa kebijakan mengenai prosedur penegakan hukum penyalahgunaan posisi dominan berdasarkan hukum persaingan usaha di Indonesia.</w:t>
      </w:r>
      <w:r w:rsidR="00715C10" w:rsidRPr="00715C10">
        <w:rPr>
          <w:rFonts w:eastAsia="Bookman Old Style"/>
          <w:vertAlign w:val="superscript"/>
          <w:lang w:val="sv-SE"/>
        </w:rPr>
        <w:footnoteReference w:id="30"/>
      </w:r>
      <w:r w:rsidRPr="00715C10">
        <w:rPr>
          <w:color w:val="000000" w:themeColor="text1"/>
          <w:spacing w:val="-6"/>
          <w:szCs w:val="22"/>
          <w:lang w:eastAsia="id-ID"/>
        </w:rPr>
        <w:t xml:space="preserve"> Penelitian ini dimulai dengan melihat hukum </w:t>
      </w:r>
      <w:r w:rsidRPr="00715C10">
        <w:rPr>
          <w:color w:val="000000" w:themeColor="text1"/>
          <w:spacing w:val="-6"/>
          <w:szCs w:val="22"/>
          <w:lang w:eastAsia="id-ID"/>
        </w:rPr>
        <w:lastRenderedPageBreak/>
        <w:t>yang ada (doktrinal), kemudian diikuti dengan pertimbangan masalah yang memengaruhi hukum, serta politik hukum yang mendasarinya.</w:t>
      </w:r>
      <w:r w:rsidR="00715C10" w:rsidRPr="00715C10">
        <w:rPr>
          <w:rFonts w:eastAsia="Bookman Old Style"/>
          <w:vertAlign w:val="superscript"/>
          <w:lang w:val="sv-SE"/>
        </w:rPr>
        <w:footnoteReference w:id="31"/>
      </w:r>
      <w:r w:rsidRPr="00715C10">
        <w:rPr>
          <w:color w:val="000000" w:themeColor="text1"/>
          <w:spacing w:val="-6"/>
          <w:szCs w:val="22"/>
          <w:lang w:eastAsia="id-ID"/>
        </w:rPr>
        <w:t xml:space="preserve">  </w:t>
      </w:r>
    </w:p>
    <w:p w14:paraId="42D78A37" w14:textId="3894A078" w:rsidR="009D53CA" w:rsidRPr="00715C10" w:rsidRDefault="009D53CA" w:rsidP="009D53CA">
      <w:pPr>
        <w:ind w:firstLine="567"/>
        <w:rPr>
          <w:color w:val="000000" w:themeColor="text1"/>
          <w:spacing w:val="-6"/>
          <w:szCs w:val="22"/>
          <w:lang w:eastAsia="id-ID"/>
        </w:rPr>
      </w:pPr>
      <w:r w:rsidRPr="00715C10">
        <w:rPr>
          <w:color w:val="000000" w:themeColor="text1"/>
          <w:spacing w:val="-6"/>
          <w:szCs w:val="22"/>
          <w:lang w:eastAsia="id-ID"/>
        </w:rPr>
        <w:t>Penelitian ini juga menggabungkan metode</w:t>
      </w:r>
      <w:r w:rsidRPr="00715C10">
        <w:rPr>
          <w:i/>
          <w:iCs/>
          <w:color w:val="000000" w:themeColor="text1"/>
          <w:spacing w:val="-6"/>
          <w:szCs w:val="22"/>
          <w:lang w:eastAsia="id-ID"/>
        </w:rPr>
        <w:t xml:space="preserve"> Reform Oriented Research</w:t>
      </w:r>
      <w:r w:rsidRPr="00715C10">
        <w:rPr>
          <w:color w:val="000000" w:themeColor="text1"/>
          <w:spacing w:val="-6"/>
          <w:szCs w:val="22"/>
          <w:lang w:eastAsia="id-ID"/>
        </w:rPr>
        <w:t xml:space="preserve"> (Penelitian Berorientasi Pembaruan). Sebagaimana metode ini dilakukan untuk mengevaluasi kelayakan aturan yang ada dan yang merekomendasikan perubahan terhadap aturan yang dianggap perlu.</w:t>
      </w:r>
      <w:r w:rsidR="00715C10" w:rsidRPr="00715C10">
        <w:rPr>
          <w:rFonts w:eastAsia="Bookman Old Style"/>
          <w:vertAlign w:val="superscript"/>
          <w:lang w:val="sv-SE"/>
        </w:rPr>
        <w:footnoteReference w:id="32"/>
      </w:r>
      <w:r w:rsidRPr="00715C10">
        <w:rPr>
          <w:color w:val="000000" w:themeColor="text1"/>
          <w:spacing w:val="-6"/>
          <w:szCs w:val="22"/>
          <w:lang w:eastAsia="id-ID"/>
        </w:rPr>
        <w:t xml:space="preserve"> Model ini didasarkan pada metodologi riset reformasi hukum untuk memberikan saran tentang perubahan hukum yang ada.  Puncaknya, model ini mengarahkan peneliti untuk mengusulkan konsepsi alas hukum dalam proses penegakan hukum.</w:t>
      </w:r>
      <w:r w:rsidR="00715C10" w:rsidRPr="00715C10">
        <w:rPr>
          <w:rFonts w:eastAsia="Bookman Old Style"/>
          <w:vertAlign w:val="superscript"/>
          <w:lang w:val="sv-SE"/>
        </w:rPr>
        <w:footnoteReference w:id="33"/>
      </w:r>
    </w:p>
    <w:bookmarkEnd w:id="3"/>
    <w:p w14:paraId="5B474D89" w14:textId="77777777" w:rsidR="00715C10" w:rsidRPr="009D53CA" w:rsidRDefault="00715C10" w:rsidP="0078506B">
      <w:pPr>
        <w:pStyle w:val="ListParagraph"/>
        <w:spacing w:after="0"/>
        <w:rPr>
          <w:szCs w:val="22"/>
        </w:rPr>
      </w:pPr>
    </w:p>
    <w:p w14:paraId="1EC45FFA" w14:textId="1FC87927" w:rsidR="00864FF8" w:rsidRPr="0078506B" w:rsidRDefault="00C53C7A" w:rsidP="0078506B">
      <w:pPr>
        <w:pStyle w:val="Heading1"/>
        <w:spacing w:line="240" w:lineRule="auto"/>
        <w:ind w:left="567" w:hanging="567"/>
        <w:rPr>
          <w:sz w:val="22"/>
          <w:szCs w:val="22"/>
        </w:rPr>
      </w:pPr>
      <w:r w:rsidRPr="0078506B">
        <w:rPr>
          <w:sz w:val="22"/>
          <w:szCs w:val="22"/>
        </w:rPr>
        <w:t>Temuan dan Diskusi</w:t>
      </w:r>
    </w:p>
    <w:p w14:paraId="7E560256" w14:textId="62BCFB62" w:rsidR="00010522" w:rsidRPr="0078506B" w:rsidRDefault="00C53C7A" w:rsidP="0078506B">
      <w:pPr>
        <w:pStyle w:val="Heading2"/>
        <w:spacing w:line="240" w:lineRule="auto"/>
        <w:rPr>
          <w:sz w:val="22"/>
          <w:szCs w:val="22"/>
          <w:lang w:val="fr-FR"/>
        </w:rPr>
      </w:pPr>
      <w:bookmarkStart w:id="4" w:name="_Hlk163246263"/>
      <w:r w:rsidRPr="0078506B">
        <w:rPr>
          <w:sz w:val="22"/>
          <w:szCs w:val="22"/>
          <w:lang w:val="fr-FR"/>
        </w:rPr>
        <w:t>Keterkaitan Eksploitasi Data Pribadi dan Hukum Persaingan Usaha</w:t>
      </w:r>
    </w:p>
    <w:bookmarkEnd w:id="4"/>
    <w:p w14:paraId="4B0C178E" w14:textId="2E3C9330" w:rsidR="00010522" w:rsidRPr="007C40BF" w:rsidRDefault="0078506B" w:rsidP="007C40BF">
      <w:pPr>
        <w:pStyle w:val="ListParagraph"/>
        <w:spacing w:after="0"/>
        <w:ind w:left="0" w:firstLine="567"/>
        <w:rPr>
          <w:color w:val="000000" w:themeColor="text1"/>
          <w:szCs w:val="22"/>
          <w:lang w:val="fr-FR"/>
        </w:rPr>
      </w:pPr>
      <w:r w:rsidRPr="0078506B">
        <w:rPr>
          <w:i/>
          <w:iCs/>
          <w:color w:val="000000" w:themeColor="text1"/>
          <w:szCs w:val="22"/>
          <w:lang w:val="fr-FR"/>
        </w:rPr>
        <w:t>Ad Recte docendum oportet primum inquirere nomina, quia rerum cognitio a nominimbus rerum dependet,</w:t>
      </w:r>
      <w:r w:rsidRPr="0078506B">
        <w:rPr>
          <w:rStyle w:val="FootnoteReference"/>
          <w:color w:val="000000" w:themeColor="text1"/>
          <w:szCs w:val="22"/>
        </w:rPr>
        <w:footnoteReference w:id="34"/>
      </w:r>
      <w:r w:rsidRPr="0078506B">
        <w:rPr>
          <w:i/>
          <w:iCs/>
          <w:color w:val="000000" w:themeColor="text1"/>
          <w:szCs w:val="22"/>
          <w:lang w:val="fr-FR"/>
        </w:rPr>
        <w:t xml:space="preserve"> </w:t>
      </w:r>
      <w:r w:rsidRPr="0078506B">
        <w:rPr>
          <w:color w:val="000000" w:themeColor="text1"/>
          <w:szCs w:val="22"/>
          <w:lang w:val="fr-FR"/>
        </w:rPr>
        <w:t>suatu postulat hukum klasik yang memiliki kedalaman makna bahwa untuk memahami suatu konsep hukum harus diawali dengan definisi.</w:t>
      </w:r>
      <w:r w:rsidRPr="0078506B">
        <w:rPr>
          <w:rStyle w:val="FootnoteReference"/>
          <w:color w:val="000000" w:themeColor="text1"/>
          <w:szCs w:val="22"/>
        </w:rPr>
        <w:footnoteReference w:id="35"/>
      </w:r>
      <w:r w:rsidRPr="0078506B">
        <w:rPr>
          <w:color w:val="000000" w:themeColor="text1"/>
          <w:szCs w:val="22"/>
          <w:lang w:val="fr-FR"/>
        </w:rPr>
        <w:t xml:space="preserve"> Oleh karena itu, penting untuk mengawali penelitian dengan pengertian yang jelas mengenai </w:t>
      </w:r>
      <w:r>
        <w:rPr>
          <w:color w:val="000000" w:themeColor="text1"/>
          <w:szCs w:val="22"/>
          <w:lang w:val="fr-FR"/>
        </w:rPr>
        <w:t>korelasi dan keterkaitan eksploitasi data pribadi dan hukum persaingan usaha.</w:t>
      </w:r>
      <w:r w:rsidRPr="0078506B">
        <w:rPr>
          <w:color w:val="000000" w:themeColor="text1"/>
          <w:szCs w:val="22"/>
          <w:lang w:val="fr-FR"/>
        </w:rPr>
        <w:t xml:space="preserve"> </w:t>
      </w:r>
      <w:r w:rsidR="00010522" w:rsidRPr="0078506B">
        <w:rPr>
          <w:szCs w:val="22"/>
          <w:lang w:val="fr-FR"/>
        </w:rPr>
        <w:t>Berdasarkan definisi posisi dominan dalam UU 5/1999,</w:t>
      </w:r>
      <w:r w:rsidR="007C40BF">
        <w:rPr>
          <w:rStyle w:val="FootnoteReference"/>
          <w:szCs w:val="22"/>
          <w:lang w:val="fr-FR"/>
        </w:rPr>
        <w:footnoteReference w:id="36"/>
      </w:r>
      <w:r w:rsidR="00010522" w:rsidRPr="0078506B">
        <w:rPr>
          <w:szCs w:val="22"/>
          <w:lang w:val="fr-FR"/>
        </w:rPr>
        <w:t xml:space="preserve"> tidak ada hubungan langsung yang terbentuk antara posisi</w:t>
      </w:r>
      <w:r w:rsidR="00010522" w:rsidRPr="00010522">
        <w:rPr>
          <w:lang w:val="fr-FR"/>
        </w:rPr>
        <w:t xml:space="preserve"> dominan dan eksploitasi data pribadi. Namun, hubungan antara posisi dominan dan eksploitasi data pribadi baru mulai terbentuk dalam kriteria posisi dominan yang lebih modern, di mana terdapat empat kriteria yang biasanya digunakan, yaitu pangsa pasar, hambatan masuk, kekuatan pembeli, dan inovasi teknologi</w:t>
      </w:r>
      <w:r w:rsidR="001E12FD">
        <w:rPr>
          <w:lang w:val="fr-FR"/>
        </w:rPr>
        <w:t>.</w:t>
      </w:r>
      <w:r w:rsidR="001E12FD">
        <w:rPr>
          <w:rStyle w:val="FootnoteReference"/>
          <w:lang w:val="fr-FR"/>
        </w:rPr>
        <w:footnoteReference w:id="37"/>
      </w:r>
    </w:p>
    <w:p w14:paraId="29F090BB" w14:textId="6A3747AD" w:rsidR="00010522" w:rsidRPr="00010522" w:rsidRDefault="00010522" w:rsidP="00010522">
      <w:pPr>
        <w:ind w:firstLine="567"/>
        <w:rPr>
          <w:lang w:val="fr-FR"/>
        </w:rPr>
      </w:pPr>
      <w:r w:rsidRPr="00010522">
        <w:rPr>
          <w:lang w:val="fr-FR"/>
        </w:rPr>
        <w:t xml:space="preserve">Penguasaan data </w:t>
      </w:r>
      <w:r w:rsidR="007C40BF">
        <w:rPr>
          <w:lang w:val="fr-FR"/>
        </w:rPr>
        <w:t xml:space="preserve">pribadi yang kemudian diolah menjadi </w:t>
      </w:r>
      <w:r w:rsidR="002961BD" w:rsidRPr="002961BD">
        <w:rPr>
          <w:i/>
          <w:iCs/>
          <w:lang w:val="fr-FR"/>
        </w:rPr>
        <w:t>Big data</w:t>
      </w:r>
      <w:r w:rsidRPr="00010522">
        <w:rPr>
          <w:lang w:val="fr-FR"/>
        </w:rPr>
        <w:t xml:space="preserve"> dapat menjadi faktor kunci dalam kriteria teknologi dan inovasi, serta dapat menjadi hambatan bagi pelaku baru untuk memasuki pasar, sehingga kedua aspek ini dapat memperkuat dugaan terhadap keberadaan posisi dominan oleh perusahaan tertentu. Ada beberapa kemungkinan bagaimana eksploitasi data pribadi dapat memengaruhi posisi dominan perusahaan, terutama dalam konteks kriteria posisi dominan. Menurut Lubyova, penguasaan dan pengolahan data dapat menjadi pemicu bagi munculnya posisi dominan, terutama ketika akses terhadap data menjadi faktor strategis dalam persaingan pasar.</w:t>
      </w:r>
      <w:r w:rsidR="008D3440">
        <w:rPr>
          <w:rStyle w:val="FootnoteReference"/>
          <w:lang w:val="fr-FR"/>
        </w:rPr>
        <w:footnoteReference w:id="38"/>
      </w:r>
    </w:p>
    <w:p w14:paraId="0CED303A" w14:textId="1A7C8BFF" w:rsidR="00010522" w:rsidRPr="00010522" w:rsidRDefault="00010522" w:rsidP="00010522">
      <w:pPr>
        <w:ind w:firstLine="567"/>
        <w:rPr>
          <w:lang w:val="fr-FR"/>
        </w:rPr>
      </w:pPr>
      <w:r w:rsidRPr="00010522">
        <w:rPr>
          <w:lang w:val="fr-FR"/>
        </w:rPr>
        <w:t>Salah satu kemungkinan lain adalah bahwa eksploitasi data pribadi dapat menjadi hambatan bagi pelaku</w:t>
      </w:r>
      <w:r w:rsidR="008D3440">
        <w:rPr>
          <w:lang w:val="fr-FR"/>
        </w:rPr>
        <w:t xml:space="preserve"> usaha</w:t>
      </w:r>
      <w:r w:rsidRPr="00010522">
        <w:rPr>
          <w:lang w:val="fr-FR"/>
        </w:rPr>
        <w:t xml:space="preserve"> baru yang tidak mampu mengakses atau menguasai data yang sama. Dengan kata lain, kemungkinan terbentuknya posisi dominan akan meningkat ketika akses dan penguasaan data menjadi hal yang vital bagi perusahaan untuk dapat memasuki dan bersaing dalam pasar. Di sisi lain, efek jaringan dan skala ekonomi dari penguasaan data juga dapat memperkuat posisi dominan suatu perusahaan.</w:t>
      </w:r>
    </w:p>
    <w:p w14:paraId="6AFFF28D" w14:textId="6F67B671" w:rsidR="00EC16CB" w:rsidRDefault="00010522" w:rsidP="00CD2D49">
      <w:pPr>
        <w:ind w:firstLine="567"/>
        <w:rPr>
          <w:lang w:val="fr-FR"/>
        </w:rPr>
      </w:pPr>
      <w:r w:rsidRPr="00010522">
        <w:rPr>
          <w:lang w:val="fr-FR"/>
        </w:rPr>
        <w:lastRenderedPageBreak/>
        <w:t xml:space="preserve">Proses peralihan dari eksploitasi data pribadi menuju posisi dominan mungkin dapat dijelaskan melalui fenomena yang dikenal sebagai </w:t>
      </w:r>
      <w:r w:rsidRPr="001E12FD">
        <w:rPr>
          <w:i/>
          <w:iCs/>
          <w:lang w:val="fr-FR"/>
        </w:rPr>
        <w:t>feedback loops</w:t>
      </w:r>
      <w:r w:rsidRPr="00010522">
        <w:rPr>
          <w:lang w:val="fr-FR"/>
        </w:rPr>
        <w:t>.</w:t>
      </w:r>
      <w:r w:rsidR="001E12FD">
        <w:rPr>
          <w:rStyle w:val="FootnoteReference"/>
          <w:lang w:val="fr-FR"/>
        </w:rPr>
        <w:footnoteReference w:id="39"/>
      </w:r>
      <w:r w:rsidRPr="00010522">
        <w:rPr>
          <w:lang w:val="fr-FR"/>
        </w:rPr>
        <w:t xml:space="preserve"> Hal ini menunjukkan bahwa ada keterkaitan yang erat antara penggunaan data dan peningkatan posisi dominan, seperti yang ditunjukkan dalam contoh skema </w:t>
      </w:r>
      <w:r w:rsidRPr="00EC16CB">
        <w:rPr>
          <w:i/>
          <w:iCs/>
          <w:lang w:val="fr-FR"/>
        </w:rPr>
        <w:t>feedback loops</w:t>
      </w:r>
      <w:r w:rsidRPr="00010522">
        <w:rPr>
          <w:lang w:val="fr-FR"/>
        </w:rPr>
        <w:t xml:space="preserve"> berikut:</w:t>
      </w:r>
    </w:p>
    <w:p w14:paraId="09C0F7B2" w14:textId="77777777" w:rsidR="00EC16CB" w:rsidRDefault="00EC16CB" w:rsidP="00010522">
      <w:pPr>
        <w:ind w:firstLine="567"/>
        <w:rPr>
          <w:lang w:val="fr-FR"/>
        </w:rPr>
      </w:pPr>
      <w:bookmarkStart w:id="5" w:name="_Hlk163246535"/>
    </w:p>
    <w:p w14:paraId="3A1AF321" w14:textId="4C2FEDD2" w:rsidR="00EC16CB" w:rsidRDefault="00F44D39" w:rsidP="00010522">
      <w:pPr>
        <w:ind w:firstLine="567"/>
        <w:rPr>
          <w:lang w:val="fr-FR"/>
        </w:rPr>
      </w:pPr>
      <w:r>
        <w:rPr>
          <w:noProof/>
        </w:rPr>
        <mc:AlternateContent>
          <mc:Choice Requires="wps">
            <w:drawing>
              <wp:anchor distT="0" distB="0" distL="114300" distR="114300" simplePos="0" relativeHeight="251677696" behindDoc="0" locked="0" layoutInCell="1" allowOverlap="1" wp14:anchorId="448BC711" wp14:editId="4D708153">
                <wp:simplePos x="0" y="0"/>
                <wp:positionH relativeFrom="column">
                  <wp:posOffset>725170</wp:posOffset>
                </wp:positionH>
                <wp:positionV relativeFrom="paragraph">
                  <wp:posOffset>-28575</wp:posOffset>
                </wp:positionV>
                <wp:extent cx="4578350" cy="234950"/>
                <wp:effectExtent l="0" t="0" r="0" b="0"/>
                <wp:wrapNone/>
                <wp:docPr id="552599820" name="Text Box 1"/>
                <wp:cNvGraphicFramePr/>
                <a:graphic xmlns:a="http://schemas.openxmlformats.org/drawingml/2006/main">
                  <a:graphicData uri="http://schemas.microsoft.com/office/word/2010/wordprocessingShape">
                    <wps:wsp>
                      <wps:cNvSpPr txBox="1"/>
                      <wps:spPr>
                        <a:xfrm>
                          <a:off x="0" y="0"/>
                          <a:ext cx="4578350" cy="234950"/>
                        </a:xfrm>
                        <a:prstGeom prst="rect">
                          <a:avLst/>
                        </a:prstGeom>
                        <a:solidFill>
                          <a:prstClr val="white"/>
                        </a:solidFill>
                        <a:ln>
                          <a:noFill/>
                        </a:ln>
                      </wps:spPr>
                      <wps:txbx>
                        <w:txbxContent>
                          <w:p w14:paraId="30775E8C" w14:textId="247CE2C2" w:rsidR="00F44D39" w:rsidRPr="00F44D39" w:rsidRDefault="00F44D39" w:rsidP="00F44D39">
                            <w:pPr>
                              <w:pStyle w:val="Caption"/>
                              <w:spacing w:before="0" w:after="0"/>
                              <w:contextualSpacing/>
                              <w:rPr>
                                <w:rFonts w:cs="Times New Roman"/>
                                <w:i w:val="0"/>
                                <w:iCs w:val="0"/>
                                <w:noProof/>
                                <w:sz w:val="22"/>
                                <w:szCs w:val="20"/>
                                <w:lang w:val="fr-FR"/>
                              </w:rPr>
                            </w:pPr>
                            <w:r w:rsidRPr="00F44D39">
                              <w:rPr>
                                <w:i w:val="0"/>
                                <w:iCs w:val="0"/>
                              </w:rPr>
                              <w:t xml:space="preserve">Gambar 1. Skema </w:t>
                            </w:r>
                            <w:r w:rsidRPr="00CD2D49">
                              <w:t>Feedback Loops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48BC711" id="_x0000_t202" coordsize="21600,21600" o:spt="202" path="m,l,21600r21600,l21600,xe">
                <v:stroke joinstyle="miter"/>
                <v:path gradientshapeok="t" o:connecttype="rect"/>
              </v:shapetype>
              <v:shape id="Text Box 1" o:spid="_x0000_s1026" type="#_x0000_t202" style="position:absolute;left:0;text-align:left;margin-left:57.1pt;margin-top:-2.25pt;width:360.5pt;height:18.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" stroked="f">
                <v:textbox inset="0,0,0,0">
                  <w:txbxContent>
                    <w:p w14:paraId="30775E8C" w14:textId="247CE2C2" w:rsidR="00F44D39" w:rsidRPr="00F44D39" w:rsidRDefault="00F44D39" w:rsidP="00F44D39">
                      <w:pPr>
                        <w:pStyle w:val="Caption"/>
                        <w:spacing w:before="0" w:after="0"/>
                        <w:contextualSpacing/>
                        <w:rPr>
                          <w:rFonts w:cs="Times New Roman"/>
                          <w:i w:val="0"/>
                          <w:iCs w:val="0"/>
                          <w:noProof/>
                          <w:sz w:val="22"/>
                          <w:szCs w:val="20"/>
                          <w:lang w:val="fr-FR"/>
                        </w:rPr>
                      </w:pPr>
                      <w:r w:rsidRPr="00F44D39">
                        <w:rPr>
                          <w:i w:val="0"/>
                          <w:iCs w:val="0"/>
                        </w:rPr>
                        <w:t xml:space="preserve">Gambar 1. Skema </w:t>
                      </w:r>
                      <w:r w:rsidRPr="00CD2D49">
                        <w:t>Feedback Loops</w:t>
                      </w:r>
                    </w:p>
                  </w:txbxContent>
                </v:textbox>
              </v:shape>
            </w:pict>
          </mc:Fallback>
        </mc:AlternateContent>
      </w:r>
    </w:p>
    <w:p w14:paraId="30F0DEDE" w14:textId="35A6D8FA" w:rsidR="00EC16CB" w:rsidRDefault="00EC16CB" w:rsidP="00010522">
      <w:pPr>
        <w:ind w:firstLine="567"/>
        <w:rPr>
          <w:lang w:val="fr-FR"/>
        </w:rPr>
      </w:pPr>
    </w:p>
    <w:p w14:paraId="32876D0E" w14:textId="28EAA104" w:rsidR="00EC16CB" w:rsidRDefault="00EC16CB" w:rsidP="00010522">
      <w:pPr>
        <w:ind w:firstLine="567"/>
        <w:rPr>
          <w:lang w:val="fr-FR"/>
        </w:rPr>
      </w:pPr>
      <w:r>
        <w:rPr>
          <w:noProof/>
          <w:lang w:val="fr-FR"/>
        </w:rPr>
        <mc:AlternateContent>
          <mc:Choice Requires="wpg">
            <w:drawing>
              <wp:anchor distT="0" distB="0" distL="114300" distR="114300" simplePos="0" relativeHeight="251675648" behindDoc="0" locked="0" layoutInCell="1" allowOverlap="1" wp14:anchorId="05E5E403" wp14:editId="0A10089E">
                <wp:simplePos x="0" y="0"/>
                <wp:positionH relativeFrom="column">
                  <wp:posOffset>725170</wp:posOffset>
                </wp:positionH>
                <wp:positionV relativeFrom="paragraph">
                  <wp:posOffset>107315</wp:posOffset>
                </wp:positionV>
                <wp:extent cx="4578350" cy="1593850"/>
                <wp:effectExtent l="0" t="0" r="12700" b="25400"/>
                <wp:wrapNone/>
                <wp:docPr id="1900184802" name="Group 5"/>
                <wp:cNvGraphicFramePr/>
                <a:graphic xmlns:a="http://schemas.openxmlformats.org/drawingml/2006/main">
                  <a:graphicData uri="http://schemas.microsoft.com/office/word/2010/wordprocessingGroup">
                    <wpg:wgp>
                      <wpg:cNvGrpSpPr/>
                      <wpg:grpSpPr>
                        <a:xfrm>
                          <a:off x="0" y="0"/>
                          <a:ext cx="4578350" cy="1593850"/>
                          <a:chOff x="0" y="0"/>
                          <a:chExt cx="4578350" cy="1593850"/>
                        </a:xfrm>
                      </wpg:grpSpPr>
                      <wps:wsp>
                        <wps:cNvPr id="777520705" name="Rectangle 1"/>
                        <wps:cNvSpPr/>
                        <wps:spPr>
                          <a:xfrm>
                            <a:off x="0" y="0"/>
                            <a:ext cx="1028700" cy="508000"/>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1BE7C9" w14:textId="10E97B9B" w:rsidR="00EC16CB" w:rsidRPr="00EC16CB" w:rsidRDefault="00EC16CB" w:rsidP="00EC16CB">
                              <w:pPr>
                                <w:ind w:firstLine="0"/>
                                <w:jc w:val="center"/>
                                <w:rPr>
                                  <w:b/>
                                  <w:bCs/>
                                  <w:color w:val="000000" w:themeColor="text1"/>
                                </w:rPr>
                              </w:pPr>
                              <w:r w:rsidRPr="00EC16CB">
                                <w:rPr>
                                  <w:b/>
                                  <w:bCs/>
                                  <w:color w:val="000000" w:themeColor="text1"/>
                                </w:rPr>
                                <w:t>USER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4515668" name="Rectangle 1"/>
                        <wps:cNvSpPr/>
                        <wps:spPr>
                          <a:xfrm>
                            <a:off x="1720850" y="0"/>
                            <a:ext cx="1028700" cy="508000"/>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CCB682" w14:textId="51BA9EA6" w:rsidR="00EC16CB" w:rsidRPr="00EC16CB" w:rsidRDefault="00EC16CB" w:rsidP="00EC16CB">
                              <w:pPr>
                                <w:ind w:firstLine="0"/>
                                <w:jc w:val="center"/>
                                <w:rPr>
                                  <w:b/>
                                  <w:bCs/>
                                  <w:color w:val="000000" w:themeColor="text1"/>
                                </w:rPr>
                              </w:pPr>
                              <w:r>
                                <w:rPr>
                                  <w:b/>
                                  <w:bCs/>
                                  <w:color w:val="000000" w:themeColor="text1"/>
                                </w:rPr>
                                <w:t>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474016" name="Rectangle 1"/>
                        <wps:cNvSpPr/>
                        <wps:spPr>
                          <a:xfrm>
                            <a:off x="3549650" y="0"/>
                            <a:ext cx="1028700" cy="508000"/>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F26BFB" w14:textId="61F4301E" w:rsidR="00EC16CB" w:rsidRPr="00EC16CB" w:rsidRDefault="00EC16CB" w:rsidP="00EC16CB">
                              <w:pPr>
                                <w:ind w:firstLine="0"/>
                                <w:jc w:val="center"/>
                                <w:rPr>
                                  <w:b/>
                                  <w:bCs/>
                                  <w:color w:val="000000" w:themeColor="text1"/>
                                  <w:sz w:val="20"/>
                                  <w:szCs w:val="18"/>
                                </w:rPr>
                              </w:pPr>
                              <w:r w:rsidRPr="00EC16CB">
                                <w:rPr>
                                  <w:b/>
                                  <w:bCs/>
                                  <w:color w:val="000000" w:themeColor="text1"/>
                                  <w:sz w:val="20"/>
                                  <w:szCs w:val="18"/>
                                </w:rPr>
                                <w:t>AD</w:t>
                              </w:r>
                              <w:r w:rsidR="003C4F3F">
                                <w:rPr>
                                  <w:b/>
                                  <w:bCs/>
                                  <w:color w:val="000000" w:themeColor="text1"/>
                                  <w:sz w:val="20"/>
                                  <w:szCs w:val="18"/>
                                </w:rPr>
                                <w:t>S</w:t>
                              </w:r>
                              <w:r w:rsidRPr="00EC16CB">
                                <w:rPr>
                                  <w:b/>
                                  <w:bCs/>
                                  <w:color w:val="000000" w:themeColor="text1"/>
                                  <w:sz w:val="20"/>
                                  <w:szCs w:val="18"/>
                                </w:rPr>
                                <w:t xml:space="preserve"> TARGETING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8509263" name="Rectangle 1"/>
                        <wps:cNvSpPr/>
                        <wps:spPr>
                          <a:xfrm>
                            <a:off x="3549650" y="1079500"/>
                            <a:ext cx="1028700" cy="508000"/>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E1A5E3" w14:textId="47677F3D" w:rsidR="00EC16CB" w:rsidRPr="00EC16CB" w:rsidRDefault="00EC16CB" w:rsidP="00EC16CB">
                              <w:pPr>
                                <w:ind w:firstLine="0"/>
                                <w:jc w:val="center"/>
                                <w:rPr>
                                  <w:b/>
                                  <w:bCs/>
                                  <w:color w:val="000000" w:themeColor="text1"/>
                                  <w:sz w:val="18"/>
                                  <w:szCs w:val="16"/>
                                </w:rPr>
                              </w:pPr>
                              <w:r w:rsidRPr="00EC16CB">
                                <w:rPr>
                                  <w:b/>
                                  <w:bCs/>
                                  <w:color w:val="000000" w:themeColor="text1"/>
                                  <w:sz w:val="18"/>
                                  <w:szCs w:val="16"/>
                                </w:rPr>
                                <w:t>INVESTMENT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3613400" name="Rectangle 1"/>
                        <wps:cNvSpPr/>
                        <wps:spPr>
                          <a:xfrm>
                            <a:off x="1720850" y="1085850"/>
                            <a:ext cx="1028700" cy="508000"/>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BA4234" w14:textId="36C71602" w:rsidR="00EC16CB" w:rsidRPr="00EC16CB" w:rsidRDefault="00EC16CB" w:rsidP="00EC16CB">
                              <w:pPr>
                                <w:ind w:firstLine="0"/>
                                <w:jc w:val="center"/>
                                <w:rPr>
                                  <w:b/>
                                  <w:bCs/>
                                  <w:color w:val="000000" w:themeColor="text1"/>
                                </w:rPr>
                              </w:pPr>
                              <w:r>
                                <w:rPr>
                                  <w:b/>
                                  <w:bCs/>
                                  <w:color w:val="000000" w:themeColor="text1"/>
                                </w:rPr>
                                <w:t>SERVICE 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3765941" name="Arrow: Right 2"/>
                        <wps:cNvSpPr/>
                        <wps:spPr>
                          <a:xfrm>
                            <a:off x="1250950" y="165100"/>
                            <a:ext cx="273050" cy="16510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3915488" name="Arrow: Right 2"/>
                        <wps:cNvSpPr/>
                        <wps:spPr>
                          <a:xfrm>
                            <a:off x="3041650" y="165100"/>
                            <a:ext cx="273050" cy="16510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4585545" name="Arrow: Right 2"/>
                        <wps:cNvSpPr/>
                        <wps:spPr>
                          <a:xfrm rot="5400000">
                            <a:off x="3916363" y="709612"/>
                            <a:ext cx="273050" cy="16510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6748676" name="Arrow: Right 2"/>
                        <wps:cNvSpPr/>
                        <wps:spPr>
                          <a:xfrm rot="10800000">
                            <a:off x="3003550" y="1282700"/>
                            <a:ext cx="273050" cy="16510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2605189" name="Arrow: Bent 4"/>
                        <wps:cNvSpPr/>
                        <wps:spPr>
                          <a:xfrm rot="16200000">
                            <a:off x="514032" y="431483"/>
                            <a:ext cx="786131" cy="1237615"/>
                          </a:xfrm>
                          <a:prstGeom prst="ben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5E5E403" id="Group 5" o:spid="_x0000_s1027" style="position:absolute;left:0;text-align:left;margin-left:57.1pt;margin-top:8.45pt;width:360.5pt;height:125.5pt;z-index:251675648" coordsize="45783,15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">
                <v:rect id="Rectangle 1" o:spid="_x0000_s1028" style="position:absolute;width:10287;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" filled="f" strokecolor="black [3213]" strokeweight="1.5pt">
                  <v:textbox>
                    <w:txbxContent>
                      <w:p w14:paraId="3A1BE7C9" w14:textId="10E97B9B" w:rsidR="00EC16CB" w:rsidRPr="00EC16CB" w:rsidRDefault="00EC16CB" w:rsidP="00EC16CB">
                        <w:pPr>
                          <w:ind w:firstLine="0"/>
                          <w:jc w:val="center"/>
                          <w:rPr>
                            <w:b/>
                            <w:bCs/>
                            <w:color w:val="000000" w:themeColor="text1"/>
                          </w:rPr>
                        </w:pPr>
                        <w:r w:rsidRPr="00EC16CB">
                          <w:rPr>
                            <w:b/>
                            <w:bCs/>
                            <w:color w:val="000000" w:themeColor="text1"/>
                          </w:rPr>
                          <w:t>USER</w:t>
                        </w:r>
                      </w:p>
                    </w:txbxContent>
                  </v:textbox>
                </v:rect>
                <v:rect id="Rectangle 1" o:spid="_x0000_s1029" style="position:absolute;left:17208;width:10287;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" filled="f" strokecolor="black [3213]" strokeweight="1.5pt">
                  <v:textbox>
                    <w:txbxContent>
                      <w:p w14:paraId="08CCB682" w14:textId="51BA9EA6" w:rsidR="00EC16CB" w:rsidRPr="00EC16CB" w:rsidRDefault="00EC16CB" w:rsidP="00EC16CB">
                        <w:pPr>
                          <w:ind w:firstLine="0"/>
                          <w:jc w:val="center"/>
                          <w:rPr>
                            <w:b/>
                            <w:bCs/>
                            <w:color w:val="000000" w:themeColor="text1"/>
                          </w:rPr>
                        </w:pPr>
                        <w:r>
                          <w:rPr>
                            <w:b/>
                            <w:bCs/>
                            <w:color w:val="000000" w:themeColor="text1"/>
                          </w:rPr>
                          <w:t>DATA</w:t>
                        </w:r>
                      </w:p>
                    </w:txbxContent>
                  </v:textbox>
                </v:rect>
                <v:rect id="Rectangle 1" o:spid="_x0000_s1030" style="position:absolute;left:35496;width:10287;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" filled="f" strokecolor="black [3213]" strokeweight="1.5pt">
                  <v:textbox>
                    <w:txbxContent>
                      <w:p w14:paraId="24F26BFB" w14:textId="61F4301E" w:rsidR="00EC16CB" w:rsidRPr="00EC16CB" w:rsidRDefault="00EC16CB" w:rsidP="00EC16CB">
                        <w:pPr>
                          <w:ind w:firstLine="0"/>
                          <w:jc w:val="center"/>
                          <w:rPr>
                            <w:b/>
                            <w:bCs/>
                            <w:color w:val="000000" w:themeColor="text1"/>
                            <w:sz w:val="20"/>
                            <w:szCs w:val="18"/>
                          </w:rPr>
                        </w:pPr>
                        <w:r w:rsidRPr="00EC16CB">
                          <w:rPr>
                            <w:b/>
                            <w:bCs/>
                            <w:color w:val="000000" w:themeColor="text1"/>
                            <w:sz w:val="20"/>
                            <w:szCs w:val="18"/>
                          </w:rPr>
                          <w:t>AD</w:t>
                        </w:r>
                        <w:r w:rsidR="003C4F3F">
                          <w:rPr>
                            <w:b/>
                            <w:bCs/>
                            <w:color w:val="000000" w:themeColor="text1"/>
                            <w:sz w:val="20"/>
                            <w:szCs w:val="18"/>
                          </w:rPr>
                          <w:t>S</w:t>
                        </w:r>
                        <w:r w:rsidRPr="00EC16CB">
                          <w:rPr>
                            <w:b/>
                            <w:bCs/>
                            <w:color w:val="000000" w:themeColor="text1"/>
                            <w:sz w:val="20"/>
                            <w:szCs w:val="18"/>
                          </w:rPr>
                          <w:t xml:space="preserve"> TARGETING</w:t>
                        </w:r>
                      </w:p>
                    </w:txbxContent>
                  </v:textbox>
                </v:rect>
                <v:rect id="Rectangle 1" o:spid="_x0000_s1031" style="position:absolute;left:35496;top:10795;width:10287;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" filled="f" strokecolor="black [3213]" strokeweight="1.5pt">
                  <v:textbox>
                    <w:txbxContent>
                      <w:p w14:paraId="4EE1A5E3" w14:textId="47677F3D" w:rsidR="00EC16CB" w:rsidRPr="00EC16CB" w:rsidRDefault="00EC16CB" w:rsidP="00EC16CB">
                        <w:pPr>
                          <w:ind w:firstLine="0"/>
                          <w:jc w:val="center"/>
                          <w:rPr>
                            <w:b/>
                            <w:bCs/>
                            <w:color w:val="000000" w:themeColor="text1"/>
                            <w:sz w:val="18"/>
                            <w:szCs w:val="16"/>
                          </w:rPr>
                        </w:pPr>
                        <w:r w:rsidRPr="00EC16CB">
                          <w:rPr>
                            <w:b/>
                            <w:bCs/>
                            <w:color w:val="000000" w:themeColor="text1"/>
                            <w:sz w:val="18"/>
                            <w:szCs w:val="16"/>
                          </w:rPr>
                          <w:t>INVESTMENT</w:t>
                        </w:r>
                      </w:p>
                    </w:txbxContent>
                  </v:textbox>
                </v:rect>
                <v:rect id="Rectangle 1" o:spid="_x0000_s1032" style="position:absolute;left:17208;top:10858;width:10287;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" filled="f" strokecolor="black [3213]" strokeweight="1.5pt">
                  <v:textbox>
                    <w:txbxContent>
                      <w:p w14:paraId="24BA4234" w14:textId="36C71602" w:rsidR="00EC16CB" w:rsidRPr="00EC16CB" w:rsidRDefault="00EC16CB" w:rsidP="00EC16CB">
                        <w:pPr>
                          <w:ind w:firstLine="0"/>
                          <w:jc w:val="center"/>
                          <w:rPr>
                            <w:b/>
                            <w:bCs/>
                            <w:color w:val="000000" w:themeColor="text1"/>
                          </w:rPr>
                        </w:pPr>
                        <w:r>
                          <w:rPr>
                            <w:b/>
                            <w:bCs/>
                            <w:color w:val="000000" w:themeColor="text1"/>
                          </w:rPr>
                          <w:t>SERVICE QUALITY</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33" type="#_x0000_t13" style="position:absolute;left:12509;top:1651;width:2731;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" adj="15070" filled="f" strokecolor="black [3213]" strokeweight="1pt"/>
                <v:shape id="Arrow: Right 2" o:spid="_x0000_s1034" type="#_x0000_t13" style="position:absolute;left:30416;top:1651;width:2731;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" adj="15070" filled="f" strokecolor="black [3213]" strokeweight="1pt"/>
                <v:shape id="Arrow: Right 2" o:spid="_x0000_s1035" type="#_x0000_t13" style="position:absolute;left:39164;top:7095;width:2730;height:16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" adj="15070" filled="f" strokecolor="black [3213]" strokeweight="1pt"/>
                <v:shape id="Arrow: Right 2" o:spid="_x0000_s1036" type="#_x0000_t13" style="position:absolute;left:30035;top:12827;width:2731;height:165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" adj="15070" filled="f" strokecolor="black [3213]" strokeweight="1pt"/>
                <v:shape id="Arrow: Bent 4" o:spid="_x0000_s1037" style="position:absolute;left:5140;top:4314;width:7861;height:12377;rotation:-90;visibility:visible;mso-wrap-style:square;v-text-anchor:middle" coordsize="786131,123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" path="m,1237615l,442199c,252251,153984,98267,343932,98267r245666,-1l589598,,786131,196533,589598,393066r,-98267l343932,294799v-81407,,-147400,65993,-147400,147400c196532,707338,196533,972476,196533,1237615l,1237615xe" filled="f" strokecolor="black [3213]" strokeweight="1pt">
                  <v:stroke joinstyle="miter"/>
                  <v:path arrowok="t" o:connecttype="custom" o:connectlocs="0,1237615;0,442199;343932,98267;589598,98266;589598,0;786131,196533;589598,393066;589598,294799;343932,294799;196532,442199;196533,1237615;0,1237615" o:connectangles="0,0,0,0,0,0,0,0,0,0,0,0"/>
                </v:shape>
              </v:group>
            </w:pict>
          </mc:Fallback>
        </mc:AlternateContent>
      </w:r>
    </w:p>
    <w:p w14:paraId="13A0F48D" w14:textId="2CED327E" w:rsidR="00EC16CB" w:rsidRDefault="00EC16CB" w:rsidP="00EC16CB">
      <w:pPr>
        <w:tabs>
          <w:tab w:val="left" w:pos="1220"/>
        </w:tabs>
        <w:ind w:firstLine="0"/>
        <w:jc w:val="center"/>
        <w:rPr>
          <w:lang w:val="fr-FR"/>
        </w:rPr>
      </w:pPr>
    </w:p>
    <w:p w14:paraId="1F89351A" w14:textId="3CD23E1B" w:rsidR="00EC16CB" w:rsidRDefault="00EC16CB" w:rsidP="00010522">
      <w:pPr>
        <w:ind w:firstLine="567"/>
        <w:rPr>
          <w:lang w:val="fr-FR"/>
        </w:rPr>
      </w:pPr>
    </w:p>
    <w:p w14:paraId="057CCC8B" w14:textId="728133F4" w:rsidR="00EC16CB" w:rsidRPr="00010522" w:rsidRDefault="00EC16CB" w:rsidP="00010522">
      <w:pPr>
        <w:ind w:firstLine="567"/>
        <w:rPr>
          <w:lang w:val="fr-FR"/>
        </w:rPr>
      </w:pPr>
    </w:p>
    <w:p w14:paraId="5498F312" w14:textId="5595E5BE" w:rsidR="00EC16CB" w:rsidRDefault="00EC16CB" w:rsidP="00010522">
      <w:pPr>
        <w:ind w:firstLine="567"/>
        <w:rPr>
          <w:lang w:val="fr-FR"/>
        </w:rPr>
      </w:pPr>
    </w:p>
    <w:p w14:paraId="63A51ACC" w14:textId="429052B0" w:rsidR="00EC16CB" w:rsidRDefault="00EC16CB" w:rsidP="00010522">
      <w:pPr>
        <w:ind w:firstLine="567"/>
        <w:rPr>
          <w:lang w:val="fr-FR"/>
        </w:rPr>
      </w:pPr>
    </w:p>
    <w:p w14:paraId="73225FA5" w14:textId="6AFB49FC" w:rsidR="00EC16CB" w:rsidRDefault="00EC16CB" w:rsidP="00010522">
      <w:pPr>
        <w:ind w:firstLine="567"/>
        <w:rPr>
          <w:lang w:val="fr-FR"/>
        </w:rPr>
      </w:pPr>
    </w:p>
    <w:p w14:paraId="5B398C66" w14:textId="07694996" w:rsidR="00EC16CB" w:rsidRDefault="00EC16CB" w:rsidP="00010522">
      <w:pPr>
        <w:ind w:firstLine="567"/>
        <w:rPr>
          <w:lang w:val="fr-FR"/>
        </w:rPr>
      </w:pPr>
    </w:p>
    <w:p w14:paraId="32DBBEE8" w14:textId="0206DE09" w:rsidR="00EC16CB" w:rsidRDefault="00EC16CB" w:rsidP="00010522">
      <w:pPr>
        <w:ind w:firstLine="567"/>
        <w:rPr>
          <w:lang w:val="fr-FR"/>
        </w:rPr>
      </w:pPr>
    </w:p>
    <w:p w14:paraId="76FF3DAF" w14:textId="77777777" w:rsidR="00EC16CB" w:rsidRDefault="00EC16CB" w:rsidP="00010522">
      <w:pPr>
        <w:ind w:firstLine="567"/>
        <w:rPr>
          <w:lang w:val="fr-FR"/>
        </w:rPr>
      </w:pPr>
    </w:p>
    <w:p w14:paraId="29CF3ACE" w14:textId="77777777" w:rsidR="00EC16CB" w:rsidRDefault="00EC16CB" w:rsidP="00010522">
      <w:pPr>
        <w:ind w:firstLine="567"/>
        <w:rPr>
          <w:lang w:val="fr-FR"/>
        </w:rPr>
      </w:pPr>
    </w:p>
    <w:p w14:paraId="0E8BC446" w14:textId="6B32F36A" w:rsidR="00EC16CB" w:rsidRPr="00773C33" w:rsidRDefault="00167FB7" w:rsidP="001E12FD">
      <w:pPr>
        <w:ind w:left="1418" w:firstLine="0"/>
        <w:rPr>
          <w:i/>
          <w:iCs/>
          <w:lang w:val="en-ID"/>
        </w:rPr>
      </w:pPr>
      <w:r>
        <w:rPr>
          <w:lang w:val="fr-FR"/>
        </w:rPr>
        <w:tab/>
      </w:r>
      <w:r w:rsidRPr="00773C33">
        <w:rPr>
          <w:i/>
          <w:iCs/>
          <w:lang w:val="en-ID"/>
        </w:rPr>
        <w:t xml:space="preserve">Sumber: </w:t>
      </w:r>
      <w:r w:rsidR="001E12FD" w:rsidRPr="00773C33">
        <w:rPr>
          <w:i/>
          <w:iCs/>
          <w:lang w:val="en-ID"/>
        </w:rPr>
        <w:t xml:space="preserve">Organisation for Economic Co-operation and Development, Exploring Data-Driven Innovation as a New Source of Growth: Mapping the Policy Issues Raised by" </w:t>
      </w:r>
      <w:r w:rsidR="002961BD" w:rsidRPr="00773C33">
        <w:rPr>
          <w:i/>
          <w:iCs/>
          <w:lang w:val="en-ID"/>
        </w:rPr>
        <w:t>Big data</w:t>
      </w:r>
      <w:r w:rsidR="001E12FD" w:rsidRPr="00773C33">
        <w:rPr>
          <w:i/>
          <w:iCs/>
          <w:lang w:val="en-ID"/>
        </w:rPr>
        <w:t>" (OECD Publishing, 2013).</w:t>
      </w:r>
    </w:p>
    <w:bookmarkEnd w:id="5"/>
    <w:p w14:paraId="75D20EE0" w14:textId="77777777" w:rsidR="00EC16CB" w:rsidRPr="001E12FD" w:rsidRDefault="00EC16CB" w:rsidP="001E12FD">
      <w:pPr>
        <w:ind w:firstLine="0"/>
        <w:rPr>
          <w:lang w:val="en-ID"/>
        </w:rPr>
      </w:pPr>
    </w:p>
    <w:p w14:paraId="30B4B8AE" w14:textId="285B92A6" w:rsidR="00010522" w:rsidRPr="00FC31FF" w:rsidRDefault="00010522" w:rsidP="00F44D39">
      <w:pPr>
        <w:ind w:firstLine="567"/>
        <w:rPr>
          <w:lang w:val="en-ID"/>
        </w:rPr>
      </w:pPr>
      <w:r w:rsidRPr="001E12FD">
        <w:rPr>
          <w:lang w:val="en-ID"/>
        </w:rPr>
        <w:t xml:space="preserve">Pengguna Layanan yang memiliki akses dan mengeksploitasi data memiliki potensi untuk memanfaatkannya melalui transaksi dengan penyedia iklan personal. </w:t>
      </w:r>
      <w:r w:rsidRPr="00FC31FF">
        <w:rPr>
          <w:lang w:val="en-ID"/>
        </w:rPr>
        <w:t xml:space="preserve">Pendapatan yang dihasilkan dari transaksi semacam itu dapat digunakan oleh perusahaan untuk menginvestasikan layanan dan inovasi yang diperlukan. Peningkatan dalam layanan dan inovasi tersebut menjadi faktor yang mendorong pengguna layanan untuk kembali bertransaksi dengan perusahaan yang bersangkutan (retensi pengguna), yang kemudian membentuk siklus berulang yang dikenal sebagai </w:t>
      </w:r>
      <w:r w:rsidRPr="00FC31FF">
        <w:rPr>
          <w:i/>
          <w:iCs/>
          <w:lang w:val="en-ID"/>
        </w:rPr>
        <w:t>feedback loop</w:t>
      </w:r>
      <w:r w:rsidRPr="00FC31FF">
        <w:rPr>
          <w:lang w:val="en-ID"/>
        </w:rPr>
        <w:t>.</w:t>
      </w:r>
    </w:p>
    <w:p w14:paraId="201DBBB0" w14:textId="77777777" w:rsidR="00010522" w:rsidRDefault="00010522" w:rsidP="00010522">
      <w:pPr>
        <w:ind w:firstLine="567"/>
      </w:pPr>
      <w:r w:rsidRPr="00FC31FF">
        <w:rPr>
          <w:lang w:val="en-ID"/>
        </w:rPr>
        <w:t xml:space="preserve">Siklus </w:t>
      </w:r>
      <w:r w:rsidRPr="00FC31FF">
        <w:rPr>
          <w:i/>
          <w:iCs/>
          <w:lang w:val="en-ID"/>
        </w:rPr>
        <w:t>feedback loop</w:t>
      </w:r>
      <w:r w:rsidRPr="00FC31FF">
        <w:rPr>
          <w:lang w:val="en-ID"/>
        </w:rPr>
        <w:t xml:space="preserve"> ini dapat terganggu jika pengguna beralih ke perusahaan lain (efek substitusi), yang mungkin terjadi jika data yang disediakan tidak eksklusif dan dapat ditiru oleh pesaing. </w:t>
      </w:r>
      <w:r>
        <w:t>Oleh karena itu, pentingnya peran perusahaan penyedia dan pengelola data yang independen atau tidak berafiliasi dengan perusahaan teknologi tertentu. Meskipun ada alternatif pihak ketiga untuk menyediakan data, pertanyaan tetap mengemuka sejauh mana informasi tersebut dapat dimanfaatkan oleh banyak perusahaan, mengingat data pribadi umumnya bersifat spesifik untuk keperluan tertentu.</w:t>
      </w:r>
    </w:p>
    <w:p w14:paraId="7872A10B" w14:textId="4126AEDB" w:rsidR="00010522" w:rsidRDefault="00010522" w:rsidP="00010522">
      <w:pPr>
        <w:ind w:firstLine="567"/>
      </w:pPr>
      <w:r>
        <w:t>Penyedia Layanan yang sudah memiliki infrastruktur yang dibutuhkan untuk mengolah data, termasuk proses pengolahan yang otomatis, praktis tidak menambahkan biaya yang signifikan kepada konsumen. Fokus utama perusahaan adalah mempertahankan pelanggan atau mendapatkan pembelian berulang dari target konsumen, bukan untuk mendapatkan pendapatan tambahan dari pengolahan data tersebut. Kondisi semacam ini banyak terjadi, terutama dalam pasar produk jaringan sosial dan mesin pencari yang umumnya memiliki struktur pasar yang sangat terkonsentrasi.</w:t>
      </w:r>
    </w:p>
    <w:p w14:paraId="78E2DF79" w14:textId="270EBF02" w:rsidR="00010522" w:rsidRDefault="00010522" w:rsidP="008D3440">
      <w:pPr>
        <w:ind w:firstLine="567"/>
      </w:pPr>
      <w:r>
        <w:t xml:space="preserve">Eksploitasi data pribadi oleh penyedia layanan dapat dianggap meningkatkan kekuatan pasar yang sudah cukup tinggi. Kondisi ini kemudian mendorong penguatan posisi dominan oleh pelaku bisnis yang bersangkutan, seperti yang dijelaskan oleh Ciuriak sebagai </w:t>
      </w:r>
      <w:r w:rsidR="00167FB7">
        <w:t>“</w:t>
      </w:r>
      <w:r w:rsidRPr="00167FB7">
        <w:rPr>
          <w:i/>
          <w:iCs/>
        </w:rPr>
        <w:t>winner takes the most</w:t>
      </w:r>
      <w:r w:rsidR="00167FB7">
        <w:t>.”</w:t>
      </w:r>
      <w:r w:rsidR="00167FB7">
        <w:rPr>
          <w:rStyle w:val="FootnoteReference"/>
        </w:rPr>
        <w:footnoteReference w:id="40"/>
      </w:r>
      <w:r w:rsidR="008D3440">
        <w:t xml:space="preserve"> </w:t>
      </w:r>
      <w:r>
        <w:t>Persaingan di pasar akan terganggu jika akses terhadap data dibatasi, terutama oleh perusahaan dominan yang menguasai layanan atau proses tersebut.</w:t>
      </w:r>
      <w:r w:rsidR="008D3440">
        <w:t xml:space="preserve"> </w:t>
      </w:r>
      <w:r>
        <w:t xml:space="preserve">Praktik penolakan akses bagi pesaing akan sangat merugikan </w:t>
      </w:r>
      <w:r>
        <w:lastRenderedPageBreak/>
        <w:t xml:space="preserve">terutama jika data tersebut dianggap sebagai fasilitas penting bagi perusahaan yang bersangkutan. Selain penolakan akses, bentuk lain yang dapat menghambat persaingan adalah diskriminasi, terutama oleh perusahaan yang terintegrasi secara vertikal atau perusahaan inti dengan layanan </w:t>
      </w:r>
      <w:r w:rsidRPr="00167FB7">
        <w:rPr>
          <w:i/>
          <w:iCs/>
        </w:rPr>
        <w:t>Over the Top</w:t>
      </w:r>
      <w:r>
        <w:t xml:space="preserve"> (OTT) yang terafiliasi dengan yang tidak terafiliasi. Pengguna layanan yang memanfaatkan data pribadi secara ritel dapat mengolah data untuk mengetahui perilaku konsumen dan melakukan estimasi permintaan secara akurat. Informasi tersebut dapat memberikan keuntungan bagi pengguna layanan tersebut, sementara pesaing dari perusahaan yang sama tidak memiliki akses ke informasi serupa.</w:t>
      </w:r>
    </w:p>
    <w:p w14:paraId="79531D61" w14:textId="77777777" w:rsidR="00010522" w:rsidRPr="00010522" w:rsidRDefault="00010522" w:rsidP="00010522">
      <w:pPr>
        <w:ind w:firstLine="567"/>
      </w:pPr>
    </w:p>
    <w:p w14:paraId="6B128B2D" w14:textId="18DBD7FC" w:rsidR="00010522" w:rsidRPr="00550CCD" w:rsidRDefault="00C53C7A" w:rsidP="00550CCD">
      <w:pPr>
        <w:pStyle w:val="Heading2"/>
        <w:rPr>
          <w:lang w:val="en-US"/>
        </w:rPr>
      </w:pPr>
      <w:bookmarkStart w:id="6" w:name="_Hlk163246708"/>
      <w:r w:rsidRPr="00010522">
        <w:rPr>
          <w:lang w:val="en-US"/>
        </w:rPr>
        <w:t>Penetapan Eksploitasi Data Pribadi sebagai Bentuk Penyalahgunaan Posisi Dominan di dalam Pasar Digital</w:t>
      </w:r>
    </w:p>
    <w:p w14:paraId="1EC45FFE" w14:textId="3724EFB2" w:rsidR="00864FF8" w:rsidRPr="006318A2" w:rsidRDefault="00C53C7A" w:rsidP="00167FB7">
      <w:pPr>
        <w:pStyle w:val="Heading3"/>
        <w:ind w:left="567" w:hanging="567"/>
      </w:pPr>
      <w:r>
        <w:t>Pendefinisian Pasar</w:t>
      </w:r>
    </w:p>
    <w:bookmarkEnd w:id="6"/>
    <w:p w14:paraId="2601DDA7" w14:textId="47449359" w:rsidR="00485DFB" w:rsidRPr="00485DFB" w:rsidRDefault="00485DFB" w:rsidP="00485DFB">
      <w:pPr>
        <w:spacing w:after="0"/>
        <w:ind w:firstLine="567"/>
        <w:contextualSpacing w:val="0"/>
        <w:rPr>
          <w:szCs w:val="22"/>
          <w:lang w:val="en-ID"/>
        </w:rPr>
      </w:pPr>
      <w:r w:rsidRPr="00485DFB">
        <w:rPr>
          <w:szCs w:val="22"/>
          <w:lang w:val="en-ID"/>
        </w:rPr>
        <w:t xml:space="preserve">Pasal </w:t>
      </w:r>
      <w:r>
        <w:rPr>
          <w:szCs w:val="22"/>
          <w:lang w:val="en-ID"/>
        </w:rPr>
        <w:t>25 ayat (2) UU 5/1999 menentukan  bahwa p</w:t>
      </w:r>
      <w:r w:rsidRPr="00485DFB">
        <w:rPr>
          <w:szCs w:val="22"/>
          <w:lang w:val="en-ID"/>
        </w:rPr>
        <w:t>elaku usaha dikatakan memiliki posisi dominan jika memenuhi syarat-syarat penguasaan pangsa pasar pasar dalam persentase tertentu.</w:t>
      </w:r>
      <w:r>
        <w:rPr>
          <w:szCs w:val="22"/>
          <w:lang w:val="en-ID"/>
        </w:rPr>
        <w:t xml:space="preserve"> </w:t>
      </w:r>
      <w:r w:rsidRPr="00485DFB">
        <w:rPr>
          <w:szCs w:val="22"/>
          <w:lang w:val="en-ID"/>
        </w:rPr>
        <w:t xml:space="preserve">Poin 4.3 Halaman 20 Lampiran </w:t>
      </w:r>
      <w:r w:rsidR="00167FB7" w:rsidRPr="00485DFB">
        <w:rPr>
          <w:szCs w:val="22"/>
          <w:lang w:val="en-ID"/>
        </w:rPr>
        <w:t>Peraturan Komisi Pengawas Persaingan Usaha Nomor 6 Tahun 2010 Tentang Pedoman Pelaksanaan Pasal 25 Tentang Penyalahgunaan Posisi Dominan Berdasarkan Undang-Undang Nomor 5 Tahun 1999 tentang Larangan Praktek Monopoli Dan Persaingan Usaha Tidak Sehat</w:t>
      </w:r>
      <w:r>
        <w:rPr>
          <w:szCs w:val="22"/>
          <w:lang w:val="en-ID"/>
        </w:rPr>
        <w:t xml:space="preserve"> (</w:t>
      </w:r>
      <w:r w:rsidR="00BD2BEA">
        <w:rPr>
          <w:szCs w:val="22"/>
          <w:lang w:val="en-ID"/>
        </w:rPr>
        <w:t>PKPPU</w:t>
      </w:r>
      <w:r>
        <w:rPr>
          <w:szCs w:val="22"/>
          <w:lang w:val="en-ID"/>
        </w:rPr>
        <w:t xml:space="preserve"> 5/2010)</w:t>
      </w:r>
      <w:r w:rsidRPr="00485DFB">
        <w:rPr>
          <w:szCs w:val="22"/>
          <w:lang w:val="en-ID"/>
        </w:rPr>
        <w:t>, menentukan bahwa pembuktian penyalahgunaan posisi dominan secara normatif melibatkan pendekatan yang dapat dibagi ke dalam tiga tahap proses yang tersusun secara sistematis. Tahap pertama melibatkan pendefinisian pasar yang relevan dengan kasus yang sedang diteliti. Dalam tahap ini, penting untuk mengidentifikasi dengan jelas parameter dan karakteristik pasar yang terlibat, termasuk produk atau layanan yang ditawarkan, wilayah geografisnya, serta pelaku utama di dalamnya.</w:t>
      </w:r>
    </w:p>
    <w:p w14:paraId="2E0760E3" w14:textId="17C17086" w:rsidR="00010522" w:rsidRPr="00167FB7" w:rsidRDefault="00010522" w:rsidP="000E5538">
      <w:pPr>
        <w:spacing w:after="0"/>
        <w:ind w:firstLine="567"/>
        <w:contextualSpacing w:val="0"/>
        <w:rPr>
          <w:szCs w:val="22"/>
          <w:lang w:val="en-ID"/>
        </w:rPr>
      </w:pPr>
      <w:r w:rsidRPr="00010522">
        <w:rPr>
          <w:szCs w:val="22"/>
          <w:lang w:val="en-ID"/>
        </w:rPr>
        <w:t xml:space="preserve">Pendefinisian pasar di mana </w:t>
      </w:r>
      <w:r w:rsidR="002961BD" w:rsidRPr="002961BD">
        <w:rPr>
          <w:i/>
          <w:iCs/>
          <w:szCs w:val="22"/>
          <w:lang w:val="en-ID"/>
        </w:rPr>
        <w:t>Big data</w:t>
      </w:r>
      <w:r w:rsidRPr="00010522">
        <w:rPr>
          <w:szCs w:val="22"/>
          <w:lang w:val="en-ID"/>
        </w:rPr>
        <w:t xml:space="preserve"> memainkan peran penting adalah salah satu tantangan besar yang dihadapi oleh hukum persaingan. Karena </w:t>
      </w:r>
      <w:r w:rsidR="000E5538">
        <w:rPr>
          <w:szCs w:val="22"/>
          <w:lang w:val="en-ID"/>
        </w:rPr>
        <w:t xml:space="preserve">UU 5/1999 dan PKPPU 5/2010 memberikan panduan untuk memetakan </w:t>
      </w:r>
      <w:r w:rsidRPr="00010522">
        <w:rPr>
          <w:szCs w:val="22"/>
          <w:lang w:val="en-ID"/>
        </w:rPr>
        <w:t xml:space="preserve">pasar produk dan geografis yang relevan. </w:t>
      </w:r>
      <w:r w:rsidRPr="00010522">
        <w:rPr>
          <w:szCs w:val="22"/>
        </w:rPr>
        <w:t>Salah satu tantangan dalam pendefinisian pasar adalah bahwa perilaku eksploitasi data pribadi dilakukan tidak hanya dalam satu jenis pasar berdasarkan produk dan geografis. Dengan demikian, perilaku eksploitasi data pribadi melintasi berbagai dimensi pasar yang relevan (</w:t>
      </w:r>
      <w:r w:rsidRPr="00167FB7">
        <w:rPr>
          <w:i/>
          <w:iCs/>
          <w:szCs w:val="22"/>
        </w:rPr>
        <w:t>Multi-Side Market</w:t>
      </w:r>
      <w:r w:rsidRPr="00010522">
        <w:rPr>
          <w:szCs w:val="22"/>
        </w:rPr>
        <w:t>), dan mengumpulkan data pribadi Pengguna Layanan yang sama di setiap pasar tersebut.</w:t>
      </w:r>
      <w:r w:rsidR="00603A3B">
        <w:rPr>
          <w:rStyle w:val="FootnoteReference"/>
          <w:szCs w:val="22"/>
        </w:rPr>
        <w:footnoteReference w:id="41"/>
      </w:r>
      <w:r w:rsidRPr="00010522">
        <w:rPr>
          <w:szCs w:val="22"/>
        </w:rPr>
        <w:t xml:space="preserve"> </w:t>
      </w:r>
    </w:p>
    <w:p w14:paraId="213CDBDF" w14:textId="0AAF57EE" w:rsidR="00010522" w:rsidRPr="00010522" w:rsidRDefault="00010522" w:rsidP="00167FB7">
      <w:pPr>
        <w:spacing w:after="0"/>
        <w:ind w:firstLine="567"/>
        <w:contextualSpacing w:val="0"/>
        <w:rPr>
          <w:szCs w:val="22"/>
        </w:rPr>
      </w:pPr>
      <w:r w:rsidRPr="00010522">
        <w:rPr>
          <w:szCs w:val="22"/>
        </w:rPr>
        <w:t>Pengumpulan dan analisis data pribadi di pasar digital pada akhirnya menghasilkan kekuatan pasar. Kekuatan pasar di ranah digital dapat memungkinkan perusahaan dominan untuk menyediakan produk atau layanan dengan kualitas yang lebih rendah, untuk memberlakukan jumlah iklan yang besar atau bahkan untuk mengumpulkan, menganalisis, atau menjual data yang berlebihan dari konsumen.</w:t>
      </w:r>
      <w:r w:rsidR="00603A3B">
        <w:rPr>
          <w:rStyle w:val="FootnoteReference"/>
          <w:szCs w:val="22"/>
        </w:rPr>
        <w:footnoteReference w:id="42"/>
      </w:r>
      <w:r w:rsidRPr="00010522">
        <w:rPr>
          <w:szCs w:val="22"/>
        </w:rPr>
        <w:t xml:space="preserve"> Kekuatan pasar dalam ekonomi digital tidak dapat dijelaskan secara akurat oleh metode yang tradisional digunakan oleh hukum persaingan. Pangsa pasar mungkin tidak mencerminkan kekuatan pasar di pasar inovatif dengan siklus produk yang pendek dan entri pasar yang teratur. Pada saat yang sama, sekali perusahaan telah memperoleh kekuatan pasar, kemungkinan besar tidak akan terguling dari posisinya dalam waktu yang singkat.</w:t>
      </w:r>
      <w:r w:rsidR="00603A3B">
        <w:rPr>
          <w:rStyle w:val="FootnoteReference"/>
          <w:szCs w:val="22"/>
        </w:rPr>
        <w:footnoteReference w:id="43"/>
      </w:r>
      <w:r w:rsidRPr="00010522">
        <w:rPr>
          <w:szCs w:val="22"/>
        </w:rPr>
        <w:t xml:space="preserve"> </w:t>
      </w:r>
    </w:p>
    <w:p w14:paraId="04FA00F9" w14:textId="093C962C" w:rsidR="00010522" w:rsidRPr="00010522" w:rsidRDefault="00010522" w:rsidP="00010522">
      <w:pPr>
        <w:spacing w:after="0"/>
        <w:ind w:firstLine="567"/>
        <w:contextualSpacing w:val="0"/>
        <w:rPr>
          <w:szCs w:val="22"/>
        </w:rPr>
      </w:pPr>
      <w:r w:rsidRPr="00010522">
        <w:rPr>
          <w:szCs w:val="22"/>
        </w:rPr>
        <w:t xml:space="preserve">Setiap hari, Pengguna Layanan sering berinteraksi dengan produk yang ditawarkan tanpa biaya. Model bisnis ini bukanlah hal baru; kita mengenalnya dari aktivitas sehari-hari seperti menonton televisi, membaca surat kabar, atau mendengarkan radio, di mana layanan tersebut tersedia tanpa biaya bagi konsumen dan didanai melalui pendapatan iklan. Di dalam </w:t>
      </w:r>
      <w:r w:rsidRPr="00626FB9">
        <w:rPr>
          <w:i/>
          <w:iCs/>
          <w:szCs w:val="22"/>
        </w:rPr>
        <w:t>Multi-Sided Market</w:t>
      </w:r>
      <w:r w:rsidRPr="00010522">
        <w:rPr>
          <w:szCs w:val="22"/>
        </w:rPr>
        <w:t xml:space="preserve">, pasar dengan harga nol juga telah diterapkan dalam konteks seperti kartu kredit dan pusat perbelanjaan. Namun, di era </w:t>
      </w:r>
      <w:r w:rsidRPr="00010522">
        <w:rPr>
          <w:szCs w:val="22"/>
        </w:rPr>
        <w:lastRenderedPageBreak/>
        <w:t>ekonomi digital yang berkembang pesat, pasar dengan harga nol semakin umum dengan karakteristik yang beragam dan cakupan yang luas.</w:t>
      </w:r>
      <w:r w:rsidR="00603A3B">
        <w:rPr>
          <w:rStyle w:val="FootnoteReference"/>
          <w:szCs w:val="22"/>
        </w:rPr>
        <w:footnoteReference w:id="44"/>
      </w:r>
    </w:p>
    <w:p w14:paraId="0603F95F" w14:textId="3E5A5B27" w:rsidR="00010522" w:rsidRPr="00010522" w:rsidRDefault="00010522" w:rsidP="00010522">
      <w:pPr>
        <w:spacing w:after="0"/>
        <w:ind w:firstLine="567"/>
        <w:contextualSpacing w:val="0"/>
        <w:rPr>
          <w:szCs w:val="22"/>
        </w:rPr>
      </w:pPr>
      <w:r w:rsidRPr="00010522">
        <w:rPr>
          <w:szCs w:val="22"/>
        </w:rPr>
        <w:t>Konsep pasar dengan harga nol dalam ekonomi digital mengajukan pertanyaan tentang bagaimana pelaku usaha dapat memberikan produk tanpa meminta pembayaran langsung dari konsumen, yang pada akhirnya dapat memengaruhi kualitas produk tersebut.</w:t>
      </w:r>
      <w:r w:rsidR="00603A3B">
        <w:rPr>
          <w:rStyle w:val="FootnoteReference"/>
          <w:szCs w:val="22"/>
        </w:rPr>
        <w:footnoteReference w:id="45"/>
      </w:r>
      <w:r w:rsidRPr="00010522">
        <w:rPr>
          <w:szCs w:val="22"/>
        </w:rPr>
        <w:t xml:space="preserve"> Tantangan utama lainnya dalam menetapkan pasar di pasar digital adalah kesulitan dalam menentukan pasar yang relevan ketika platform terlibat dalam transaksi dengan harga nol sebagai pertukaran data. Sebagai contoh, sebuah platform tradisional seperti surat kabar beroperasi di pasar berita dan pasar iklan dengan menetapkan harga baik kepada pembaca maupun pengiklan.</w:t>
      </w:r>
      <w:r w:rsidR="00603A3B">
        <w:rPr>
          <w:rStyle w:val="FootnoteReference"/>
          <w:szCs w:val="22"/>
        </w:rPr>
        <w:footnoteReference w:id="46"/>
      </w:r>
      <w:r w:rsidRPr="00010522">
        <w:rPr>
          <w:szCs w:val="22"/>
        </w:rPr>
        <w:t xml:space="preserve"> Namun, dalam kondisi pasar dengan harga nol, harga bukanlah satu-satunya faktor yang penting; dimensi persaingan dan posisi di pasar menjadi lebih krusial.</w:t>
      </w:r>
    </w:p>
    <w:p w14:paraId="40187765" w14:textId="3B6947EC" w:rsidR="00010522" w:rsidRDefault="00010522" w:rsidP="00010522">
      <w:pPr>
        <w:spacing w:after="0"/>
        <w:ind w:firstLine="567"/>
        <w:contextualSpacing w:val="0"/>
        <w:rPr>
          <w:szCs w:val="22"/>
        </w:rPr>
      </w:pPr>
      <w:r w:rsidRPr="00010522">
        <w:rPr>
          <w:szCs w:val="22"/>
        </w:rPr>
        <w:t>Banyak Penyedia Layanan menawarkan berbagai layanan gratis seperti pencarian, terjemahan, navigasi, pengunggahan video, dan akses ke jaringan sosial. Namun, layanan-layanan tersebut sebenarnya tidak sepenuhnya “gratis”; Pengguna Layanan membayar layanan-layanan tersebut dengan data pribadi mereka tanpa disadari. Selanjutnya, Penyedia Layanan menggunakan data pribadi tersebut untuk memperkuat posisinya di pasar.</w:t>
      </w:r>
      <w:r w:rsidR="00603A3B">
        <w:rPr>
          <w:rStyle w:val="FootnoteReference"/>
          <w:szCs w:val="22"/>
        </w:rPr>
        <w:footnoteReference w:id="47"/>
      </w:r>
    </w:p>
    <w:p w14:paraId="3BD70F8C" w14:textId="77777777" w:rsidR="00010522" w:rsidRDefault="00010522" w:rsidP="00010522">
      <w:pPr>
        <w:spacing w:after="0"/>
        <w:ind w:firstLine="0"/>
        <w:contextualSpacing w:val="0"/>
        <w:rPr>
          <w:b/>
          <w:bCs/>
          <w:szCs w:val="22"/>
          <w:lang w:val="en-ID"/>
        </w:rPr>
      </w:pPr>
    </w:p>
    <w:p w14:paraId="17813D74" w14:textId="1CC15EE3" w:rsidR="00010522" w:rsidRDefault="00010522" w:rsidP="00231380">
      <w:pPr>
        <w:pStyle w:val="Heading3"/>
        <w:ind w:left="567" w:hanging="567"/>
      </w:pPr>
      <w:bookmarkStart w:id="7" w:name="_Hlk163246857"/>
      <w:r>
        <w:t>Pembuktian Posisi Dominan Penyedia Layanan</w:t>
      </w:r>
    </w:p>
    <w:bookmarkEnd w:id="7"/>
    <w:p w14:paraId="028262F7" w14:textId="17F2F1B9" w:rsidR="00231380" w:rsidRDefault="00231380" w:rsidP="00231380">
      <w:pPr>
        <w:ind w:firstLine="567"/>
      </w:pPr>
      <w:r w:rsidRPr="00485DFB">
        <w:rPr>
          <w:szCs w:val="22"/>
          <w:lang w:val="en-ID"/>
        </w:rPr>
        <w:t>Halaman 20 Lampiran</w:t>
      </w:r>
      <w:r>
        <w:t xml:space="preserve"> </w:t>
      </w:r>
      <w:r w:rsidR="00BD2BEA">
        <w:t>PKPPU</w:t>
      </w:r>
      <w:r>
        <w:t xml:space="preserve"> 5/2010 menentukan bahwa tahap kedua adalah membuktikan keberadaan posisi dominan pelaku usaha.</w:t>
      </w:r>
      <w:r w:rsidRPr="00231380">
        <w:t xml:space="preserve"> Hal ini melibatkan analisis menyeluruh terhadap pangsa pasar, kekuatan relatif, kontrol atas pasokan, akses ke distribusi, serta faktor-faktor lain yang menentukan keunggulan pasar dari pelaku usaha tertentu. Dalam konteks ini, penting untuk menggunakan metodologi yang tepat dan data yang akurat untuk menilai secara obyektif dominasi pasar yang mungkin dimiliki oleh pelaku usaha</w:t>
      </w:r>
      <w:r>
        <w:t xml:space="preserve">. </w:t>
      </w:r>
    </w:p>
    <w:p w14:paraId="002B82DE" w14:textId="7B8FB8BC" w:rsidR="00231380" w:rsidRDefault="00231380" w:rsidP="00231380">
      <w:pPr>
        <w:ind w:firstLine="567"/>
      </w:pPr>
      <w:r w:rsidRPr="00231380">
        <w:rPr>
          <w:lang w:val="fr-FR"/>
        </w:rPr>
        <w:t xml:space="preserve">Pembuktian posisi dominan tidak terlepas dari kekuatan pasar. </w:t>
      </w:r>
      <w:r w:rsidR="00010522">
        <w:t>Kekuatan pasar adalah kemampuan untuk membuat keputusan secara independen dari pesaing, pelanggan, dan konsumen akhir. Penyedia Layanan dengan kekuatan yang signifikan mungkin memiliki kemampuan untuk secara sepihak meningkatkan harga di atas tingkat persaingan, memasok produk atau layanan dengan kualitas yang berkurang, memberlakukan sejumlah besar iklan, atau bahkan mengumpulkan, menganalisis, atau menjual data Pengguna Layanan yang berlebihan. Kekuatan pasar Penyedia Layanan juga dapat diukur melalui indikator langsung berdasarkan penilaian substisusi dan indikator tidak langsung seperti hambatan masuk bagi pesaing potensial di pasar yang relevan.</w:t>
      </w:r>
    </w:p>
    <w:p w14:paraId="22075BA7" w14:textId="11944EDC" w:rsidR="00231380" w:rsidRPr="000F5B20" w:rsidRDefault="00010522" w:rsidP="00231380">
      <w:pPr>
        <w:ind w:firstLine="567"/>
        <w:rPr>
          <w:lang w:val="fr-FR"/>
        </w:rPr>
      </w:pPr>
      <w:r w:rsidRPr="00010522">
        <w:rPr>
          <w:lang w:val="fr-FR"/>
        </w:rPr>
        <w:t xml:space="preserve">Kekuatan pasar juga dapat timbul dari kurangnya alternatif yang sesuai di pasar. Ini terjadi ketika Pengguna Layanan tidak memiliki akses ke pengganti produk Penyedia Layanan, dan tidak ada pesaing potensial dengan kemampuan untuk masuk ke pasar dengan cepat untuk membatasi Penyedia Layanan dengan dominan. </w:t>
      </w:r>
      <w:r w:rsidRPr="000F5B20">
        <w:rPr>
          <w:lang w:val="fr-FR"/>
        </w:rPr>
        <w:t>Fakta bahwa Penyedia Layaan memiliki kekuatan pasar juga terlihat pada dampak perubahan di dalam pasar digital yang diakibatkan oleh modifikasi dalam algoritma pencarian yang ditimbulkan dari perilaku eksploitasi data pribadi.</w:t>
      </w:r>
    </w:p>
    <w:p w14:paraId="3A8836EF" w14:textId="77777777" w:rsidR="00231380" w:rsidRPr="00D9699E" w:rsidRDefault="00010522" w:rsidP="00231380">
      <w:pPr>
        <w:ind w:firstLine="567"/>
        <w:rPr>
          <w:lang w:val="fr-FR"/>
        </w:rPr>
      </w:pPr>
      <w:r w:rsidRPr="00231380">
        <w:rPr>
          <w:lang w:val="fr-FR"/>
        </w:rPr>
        <w:t xml:space="preserve">Posisi dominan dari Penyedia Layanan juga bisa dihasilkan dari adanya hambatan masuk di pasar. </w:t>
      </w:r>
      <w:r w:rsidRPr="00010522">
        <w:rPr>
          <w:lang w:val="fr-FR"/>
        </w:rPr>
        <w:t xml:space="preserve">Terutama, Penyedia Layanan dengan posisi dominan mungkin dilindungi dari tekanan persaingan karena hambatan masuk menghalangi pesaing untuk bersaing dengannya. Ada beberapa jenis hambatan dalam pasar digital yang mempengaruhi masuk. Jenis pertama adalah efek jaringan, di mana kegunaan dari teknologi atau layanan meningkat seiring dengan bertambahnya jumlah pengguna. Kekuatan efek-efek ini, serta sejauh mana mereka mencegah masuk, akan tergantung pada pasar yang bersangkutan. Misalnya, jika Pengguna Layanan tidak dapat dengan mudah beralih dari Penyedia Layanan yang sudah sering digunakan, karena biaya beralih yang tinggi, portabilitas data yang terbatas, kebiasaan, atau </w:t>
      </w:r>
      <w:r w:rsidRPr="00010522">
        <w:rPr>
          <w:lang w:val="fr-FR"/>
        </w:rPr>
        <w:lastRenderedPageBreak/>
        <w:t xml:space="preserve">kebutuhan untuk belajar sistem baru. Oleh karenanya efek jaringan dapat menjadi hambatan masuk yang signifikan. </w:t>
      </w:r>
    </w:p>
    <w:p w14:paraId="32356A42" w14:textId="488447EA" w:rsidR="00010522" w:rsidRPr="00603A3B" w:rsidRDefault="00010522" w:rsidP="00FC31FF">
      <w:pPr>
        <w:ind w:firstLine="567"/>
        <w:rPr>
          <w:lang w:val="fr-FR"/>
        </w:rPr>
      </w:pPr>
      <w:r w:rsidRPr="00D9699E">
        <w:rPr>
          <w:lang w:val="fr-FR"/>
        </w:rPr>
        <w:t xml:space="preserve">Faktor lain yang memberikan keunggulan kepada Penyedia Layanan dengan posisi dominan yang sudah ada adalah biaya yang tinggi untuk menyimpan dan memproses data. </w:t>
      </w:r>
      <w:r w:rsidRPr="00010522">
        <w:rPr>
          <w:lang w:val="fr-FR"/>
        </w:rPr>
        <w:t xml:space="preserve">Operasi semacam itu memerlukan investasi besar dalam perangkat keras komputasi, pusat data besar, perangkat lunak analitik data, dan sumber daya manusia mahal seperti ilmuwan komputer dan </w:t>
      </w:r>
      <w:r w:rsidRPr="00FC31FF">
        <w:rPr>
          <w:i/>
          <w:iCs/>
          <w:lang w:val="fr-FR"/>
        </w:rPr>
        <w:t>programmer</w:t>
      </w:r>
      <w:r w:rsidRPr="00010522">
        <w:rPr>
          <w:lang w:val="fr-FR"/>
        </w:rPr>
        <w:t>.</w:t>
      </w:r>
      <w:r w:rsidR="00603A3B">
        <w:rPr>
          <w:rStyle w:val="FootnoteReference"/>
          <w:lang w:val="fr-FR"/>
        </w:rPr>
        <w:footnoteReference w:id="48"/>
      </w:r>
      <w:r w:rsidRPr="00010522">
        <w:rPr>
          <w:lang w:val="fr-FR"/>
        </w:rPr>
        <w:t xml:space="preserve"> </w:t>
      </w:r>
      <w:r w:rsidRPr="00FC31FF">
        <w:rPr>
          <w:lang w:val="fr-FR"/>
        </w:rPr>
        <w:t xml:space="preserve">Faktor </w:t>
      </w:r>
      <w:r w:rsidR="000F5B20" w:rsidRPr="00FC31FF">
        <w:rPr>
          <w:lang w:val="fr-FR"/>
        </w:rPr>
        <w:t>selanjutnya</w:t>
      </w:r>
      <w:r w:rsidRPr="00FC31FF">
        <w:rPr>
          <w:lang w:val="fr-FR"/>
        </w:rPr>
        <w:t xml:space="preserve"> yang mungkin memberikan keunggulan kompetitif kepada Penyedia Layanan dengan posisi dominan adalah kemampuan mereka untuk mengeksploitasi data pribadi yang kemudian diolah menjadi </w:t>
      </w:r>
      <w:r w:rsidR="002961BD" w:rsidRPr="00FC31FF">
        <w:rPr>
          <w:i/>
          <w:iCs/>
          <w:lang w:val="fr-FR"/>
        </w:rPr>
        <w:t>Big data</w:t>
      </w:r>
      <w:r w:rsidRPr="00FC31FF">
        <w:rPr>
          <w:lang w:val="fr-FR"/>
        </w:rPr>
        <w:t xml:space="preserve"> menggunakan algoritma yang semakin canggih. </w:t>
      </w:r>
      <w:r w:rsidRPr="00603A3B">
        <w:rPr>
          <w:lang w:val="fr-FR"/>
        </w:rPr>
        <w:t>Meskipun eksploitasi data pribadi yang substansial tidak selalu mengimplikasikan kerugian persaingan, perilaku ini mampu mempertahankan posisi dominan mereka di dalam pasar digital.</w:t>
      </w:r>
      <w:r w:rsidR="00603A3B">
        <w:rPr>
          <w:rStyle w:val="FootnoteReference"/>
          <w:lang w:val="fr-FR"/>
        </w:rPr>
        <w:footnoteReference w:id="49"/>
      </w:r>
    </w:p>
    <w:p w14:paraId="373E9242" w14:textId="77777777" w:rsidR="00010522" w:rsidRPr="00603A3B" w:rsidRDefault="00010522" w:rsidP="00010522">
      <w:pPr>
        <w:rPr>
          <w:lang w:val="fr-FR"/>
        </w:rPr>
      </w:pPr>
    </w:p>
    <w:p w14:paraId="6723751D" w14:textId="7F6B4113" w:rsidR="00010522" w:rsidRPr="00010522" w:rsidRDefault="00C53C7A" w:rsidP="00231380">
      <w:pPr>
        <w:pStyle w:val="Heading3"/>
        <w:ind w:left="567" w:hanging="567"/>
        <w:rPr>
          <w:lang w:val="fr-FR"/>
        </w:rPr>
      </w:pPr>
      <w:bookmarkStart w:id="8" w:name="_Hlk163247017"/>
      <w:r w:rsidRPr="00010522">
        <w:rPr>
          <w:lang w:val="fr-FR"/>
        </w:rPr>
        <w:t xml:space="preserve">Pembuktian </w:t>
      </w:r>
      <w:r w:rsidR="00010522" w:rsidRPr="00010522">
        <w:rPr>
          <w:lang w:val="fr-FR"/>
        </w:rPr>
        <w:t>Perilaku Penyalahgunaan Posisi Dominan</w:t>
      </w:r>
    </w:p>
    <w:p w14:paraId="26C0A08D" w14:textId="709BEAFA" w:rsidR="00231380" w:rsidRDefault="00231380" w:rsidP="00231380">
      <w:pPr>
        <w:spacing w:after="0"/>
        <w:ind w:firstLine="567"/>
        <w:rPr>
          <w:szCs w:val="22"/>
          <w:lang w:val="fr-FR"/>
        </w:rPr>
      </w:pPr>
      <w:r w:rsidRPr="00231380">
        <w:rPr>
          <w:szCs w:val="22"/>
          <w:lang w:val="fr-FR"/>
        </w:rPr>
        <w:t>Halaman 20 Lampiran</w:t>
      </w:r>
      <w:r w:rsidRPr="00231380">
        <w:rPr>
          <w:lang w:val="fr-FR"/>
        </w:rPr>
        <w:t xml:space="preserve"> </w:t>
      </w:r>
      <w:r w:rsidR="00BD2BEA">
        <w:rPr>
          <w:lang w:val="fr-FR"/>
        </w:rPr>
        <w:t>PKPPU</w:t>
      </w:r>
      <w:r w:rsidRPr="00231380">
        <w:rPr>
          <w:lang w:val="fr-FR"/>
        </w:rPr>
        <w:t xml:space="preserve"> 5/2010 menentukan bahwa tahap keti</w:t>
      </w:r>
      <w:r>
        <w:rPr>
          <w:lang w:val="fr-FR"/>
        </w:rPr>
        <w:t>ga</w:t>
      </w:r>
      <w:r w:rsidRPr="00231380">
        <w:rPr>
          <w:lang w:val="fr-FR"/>
        </w:rPr>
        <w:t xml:space="preserve"> adalah</w:t>
      </w:r>
      <w:r>
        <w:rPr>
          <w:lang w:val="fr-FR"/>
        </w:rPr>
        <w:t xml:space="preserve"> membuktikan perilaku penyalahgunaan posisi dominan oleh pelaku usaha. </w:t>
      </w:r>
      <w:r w:rsidRPr="00231380">
        <w:rPr>
          <w:lang w:val="fr-FR"/>
        </w:rPr>
        <w:t xml:space="preserve">Tahap ketiga </w:t>
      </w:r>
      <w:r>
        <w:rPr>
          <w:lang w:val="fr-FR"/>
        </w:rPr>
        <w:t xml:space="preserve">ini </w:t>
      </w:r>
      <w:r w:rsidRPr="00231380">
        <w:rPr>
          <w:lang w:val="fr-FR"/>
        </w:rPr>
        <w:t xml:space="preserve">melibatkan </w:t>
      </w:r>
      <w:r w:rsidRPr="00231380">
        <w:rPr>
          <w:szCs w:val="22"/>
          <w:lang w:val="fr-FR"/>
        </w:rPr>
        <w:t>pembuktian apakah pelaku usaha yang memiliki posisi dominan telah melakukan penyalahgunaan posisi dominan tersebut. Dalam tahap ini, fokus diberikan pada perilaku konkret dari pelaku usaha tersebut yang dapat dianggap sebagai penyalahgunaan, seperti praktik diskriminatif, penetapan harga yang tidak wajar, pembatasan akses pasar, atau tindakan lain yang merugikan pesaing atau konsumen. Penting untuk menggunakan kerangka hukum yang relevan dan kriteria yang jelas dalam menentukan apakah tindakan yang dilakukan memenuhi standar penyalahgunaan posisi dominan yang ditetapkan. Dengan demikian, proses pembuktian penyalahgunaan posisi dominan dapat dilakukan secara terstruktur dan obyektif untuk memastikan keadilan dalam penegakan hukum persaingan usaha.</w:t>
      </w:r>
    </w:p>
    <w:p w14:paraId="16C4ED34" w14:textId="77777777" w:rsidR="00FF266D" w:rsidRPr="00FF266D" w:rsidRDefault="00FF266D" w:rsidP="00FF266D">
      <w:pPr>
        <w:spacing w:after="0"/>
        <w:ind w:firstLine="0"/>
        <w:rPr>
          <w:color w:val="000000" w:themeColor="text1"/>
          <w:szCs w:val="22"/>
          <w:lang w:val="fr-FR"/>
        </w:rPr>
      </w:pPr>
    </w:p>
    <w:p w14:paraId="13B7F8BC" w14:textId="124EE0E1" w:rsidR="00FF266D" w:rsidRPr="00FF266D" w:rsidRDefault="00FF266D" w:rsidP="00FF266D">
      <w:pPr>
        <w:pStyle w:val="Heading4"/>
        <w:ind w:left="567" w:hanging="567"/>
        <w:rPr>
          <w:rFonts w:ascii="Times New Roman" w:hAnsi="Times New Roman" w:cs="Times New Roman"/>
          <w:b/>
          <w:bCs/>
          <w:i w:val="0"/>
          <w:iCs w:val="0"/>
          <w:color w:val="000000" w:themeColor="text1"/>
          <w:lang w:val="fr-FR"/>
        </w:rPr>
      </w:pPr>
      <w:r>
        <w:rPr>
          <w:rFonts w:ascii="Times New Roman" w:hAnsi="Times New Roman" w:cs="Times New Roman"/>
          <w:b/>
          <w:bCs/>
          <w:i w:val="0"/>
          <w:iCs w:val="0"/>
          <w:color w:val="000000" w:themeColor="text1"/>
          <w:lang w:val="fr-FR"/>
        </w:rPr>
        <w:t>Penetapan Syarat Perdagangan</w:t>
      </w:r>
    </w:p>
    <w:bookmarkEnd w:id="8"/>
    <w:p w14:paraId="2CF4DDDD" w14:textId="6394E8E1" w:rsidR="00010522" w:rsidRPr="00603A3B" w:rsidRDefault="00231380" w:rsidP="00603A3B">
      <w:pPr>
        <w:spacing w:after="0"/>
        <w:ind w:firstLine="567"/>
        <w:rPr>
          <w:szCs w:val="22"/>
        </w:rPr>
      </w:pPr>
      <w:r w:rsidRPr="00FF266D">
        <w:rPr>
          <w:color w:val="000000" w:themeColor="text1"/>
          <w:szCs w:val="22"/>
          <w:lang w:val="fr-FR"/>
        </w:rPr>
        <w:t xml:space="preserve">Pasal 25 ayat (1) huruf a UU 5/1999 mendefinisikan salah satu bentuk perilaku penyalahgunaan posisi dominan adalah menetapkan syarat-syarat perdagangan dengan tujuan untuk mencegah dan atau menghalangi konsumen </w:t>
      </w:r>
      <w:r w:rsidRPr="00231380">
        <w:rPr>
          <w:szCs w:val="22"/>
          <w:lang w:val="fr-FR"/>
        </w:rPr>
        <w:t xml:space="preserve">memperoleh barang dan atau jasa yang bersaing, baik dari segi harga maupun kualitas. Syarat-syarat perdagangan yang dilakukan oleh Penyedia Layanan dalam kaitannya dengan eksploitasi data pribadi salah satunya dilakukan melalui penerapak Kebijakan Privasi dan Preferensi Pengguna yang dibuat secara memaksa, serta </w:t>
      </w:r>
      <w:r w:rsidRPr="00231380">
        <w:rPr>
          <w:i/>
          <w:iCs/>
          <w:szCs w:val="22"/>
          <w:lang w:val="fr-FR"/>
        </w:rPr>
        <w:t>non-negotiable</w:t>
      </w:r>
      <w:r w:rsidRPr="00231380">
        <w:rPr>
          <w:szCs w:val="22"/>
          <w:lang w:val="fr-FR"/>
        </w:rPr>
        <w:t>.</w:t>
      </w:r>
      <w:r w:rsidRPr="00231380">
        <w:rPr>
          <w:rStyle w:val="FootnoteReference"/>
          <w:szCs w:val="22"/>
        </w:rPr>
        <w:footnoteReference w:id="50"/>
      </w:r>
      <w:r w:rsidR="00FF266D">
        <w:rPr>
          <w:szCs w:val="22"/>
          <w:lang w:val="fr-FR"/>
        </w:rPr>
        <w:t xml:space="preserve"> </w:t>
      </w:r>
      <w:r w:rsidRPr="00FF266D">
        <w:rPr>
          <w:szCs w:val="22"/>
          <w:lang w:val="fr-FR"/>
        </w:rPr>
        <w:t>Di Indonesia, kasus tersebut muncul ketika beberapa akademisi mempersoalkan penggunaan data pribadi melalui persetujuan terhadap Perjanjian Baku mengenai Kebijakan Privasi yang dilakukan oleh Tokopedia.</w:t>
      </w:r>
      <w:r w:rsidRPr="00231380">
        <w:rPr>
          <w:rStyle w:val="FootnoteReference"/>
          <w:szCs w:val="22"/>
        </w:rPr>
        <w:footnoteReference w:id="51"/>
      </w:r>
      <w:r w:rsidRPr="00FF266D">
        <w:rPr>
          <w:szCs w:val="22"/>
          <w:lang w:val="fr-FR"/>
        </w:rPr>
        <w:t xml:space="preserve"> </w:t>
      </w:r>
      <w:r w:rsidRPr="00D9699E">
        <w:rPr>
          <w:szCs w:val="22"/>
          <w:lang w:val="fr-FR"/>
        </w:rPr>
        <w:t>Tokopedia memaksa pengguna untuk menyetujui Kebijakan Privasi melalui Perjanjian Baku. Salah satunya Tokopedia diberi wewenang untuk dapat mengatur portabilitas data pribadi pengguna dengan mengungkapkannya kepada anak perusahaan dan afiliasinya termasuk pihak ketiga untuk ikut mengolah data.</w:t>
      </w:r>
      <w:r w:rsidRPr="00231380">
        <w:rPr>
          <w:rStyle w:val="FootnoteReference"/>
          <w:szCs w:val="22"/>
        </w:rPr>
        <w:footnoteReference w:id="52"/>
      </w:r>
      <w:r w:rsidRPr="00D9699E">
        <w:rPr>
          <w:szCs w:val="22"/>
          <w:lang w:val="fr-FR"/>
        </w:rPr>
        <w:t xml:space="preserve"> </w:t>
      </w:r>
      <w:r w:rsidRPr="00231380">
        <w:rPr>
          <w:szCs w:val="22"/>
        </w:rPr>
        <w:t xml:space="preserve">Kasus serupa dilakukan </w:t>
      </w:r>
      <w:r w:rsidRPr="00603A3B">
        <w:rPr>
          <w:szCs w:val="22"/>
        </w:rPr>
        <w:t xml:space="preserve">oleh Facebook. Facebook menerapkan Kebijakan Privasi melalui instrumen Perjanjian </w:t>
      </w:r>
      <w:r w:rsidRPr="00603A3B">
        <w:rPr>
          <w:szCs w:val="22"/>
        </w:rPr>
        <w:lastRenderedPageBreak/>
        <w:t>Baku.</w:t>
      </w:r>
      <w:r w:rsidRPr="00603A3B">
        <w:rPr>
          <w:rStyle w:val="FootnoteReference"/>
          <w:szCs w:val="22"/>
        </w:rPr>
        <w:footnoteReference w:id="53"/>
      </w:r>
      <w:r w:rsidRPr="00603A3B">
        <w:rPr>
          <w:szCs w:val="22"/>
        </w:rPr>
        <w:t xml:space="preserve"> Facebook memaksa Pengguna Layanan untuk dapat memberikan wewenang kepadanya dalam melakukan perpindahan, transfer, dan pengolahan data kepada perusahaan afiliasi Facebook, seperti Whatsapp dan Instagram.</w:t>
      </w:r>
      <w:r w:rsidRPr="00603A3B">
        <w:rPr>
          <w:rStyle w:val="FootnoteReference"/>
          <w:szCs w:val="22"/>
        </w:rPr>
        <w:footnoteReference w:id="54"/>
      </w:r>
    </w:p>
    <w:p w14:paraId="4386F3C1" w14:textId="48AE7310" w:rsidR="00603A3B" w:rsidRPr="00603A3B" w:rsidRDefault="00603A3B" w:rsidP="00603A3B">
      <w:pPr>
        <w:spacing w:after="0"/>
        <w:ind w:firstLine="567"/>
        <w:rPr>
          <w:szCs w:val="22"/>
        </w:rPr>
      </w:pPr>
      <w:r w:rsidRPr="00603A3B">
        <w:rPr>
          <w:szCs w:val="22"/>
        </w:rPr>
        <w:t xml:space="preserve">Kemampuan Penyedia untuk mengumpulkan data pribadi dengan memaksa Pengguna menyetujui perjanjian atau persetujuan yang </w:t>
      </w:r>
      <w:r w:rsidRPr="00603A3B">
        <w:rPr>
          <w:i/>
          <w:iCs/>
          <w:szCs w:val="22"/>
        </w:rPr>
        <w:t>non-negotiable</w:t>
      </w:r>
      <w:r w:rsidRPr="00603A3B">
        <w:rPr>
          <w:szCs w:val="22"/>
        </w:rPr>
        <w:t xml:space="preserve"> tentang Kebijakan Privasi dalam jumlah besar, membuat Penyedia mampu mengeksploitasi data pribadi yang memunculkan bias perilaku Pengguna. Akibatnya, selera Pengguna yang telah diketahui melalui pemrosesan data pribadi. Fakta ini membuat Pengguna Layanan hanya dihadapkan pada dua pilihan, yakni menerima perjanjian atau persetujuan yang </w:t>
      </w:r>
      <w:r w:rsidRPr="00603A3B">
        <w:rPr>
          <w:i/>
          <w:iCs/>
          <w:szCs w:val="22"/>
        </w:rPr>
        <w:t>non-negotiable</w:t>
      </w:r>
      <w:r w:rsidRPr="00603A3B">
        <w:rPr>
          <w:szCs w:val="22"/>
        </w:rPr>
        <w:t xml:space="preserve"> tentang Kebijakan Privasi yang disediakan oleh Penyedia Layaan, atau meninggalkannya dan menggunakan layanan yang kurang disukai.</w:t>
      </w:r>
      <w:r w:rsidRPr="00603A3B">
        <w:rPr>
          <w:rStyle w:val="FootnoteReference"/>
          <w:szCs w:val="22"/>
        </w:rPr>
        <w:footnoteReference w:id="55"/>
      </w:r>
      <w:r w:rsidRPr="00603A3B">
        <w:rPr>
          <w:szCs w:val="22"/>
        </w:rPr>
        <w:t xml:space="preserve"> Pada akhirnya kontrol individu atas tersedianya pilihan produk dalam pasar menjadi ilusi.</w:t>
      </w:r>
      <w:r w:rsidRPr="00603A3B">
        <w:rPr>
          <w:rStyle w:val="FootnoteReference"/>
          <w:szCs w:val="22"/>
        </w:rPr>
        <w:footnoteReference w:id="56"/>
      </w:r>
      <w:r w:rsidRPr="00603A3B">
        <w:rPr>
          <w:szCs w:val="22"/>
        </w:rPr>
        <w:t xml:space="preserve"> </w:t>
      </w:r>
    </w:p>
    <w:p w14:paraId="4095619D" w14:textId="50E06262" w:rsidR="00010522" w:rsidRPr="00010522" w:rsidRDefault="00010522" w:rsidP="00603A3B">
      <w:pPr>
        <w:spacing w:after="0"/>
        <w:ind w:firstLine="567"/>
        <w:rPr>
          <w:lang w:val="en-ID"/>
        </w:rPr>
      </w:pPr>
      <w:r w:rsidRPr="00603A3B">
        <w:rPr>
          <w:szCs w:val="22"/>
          <w:lang w:val="en-ID"/>
        </w:rPr>
        <w:t>Selain itu, asimetri informasi dan kekuasaan yang melekat dalam hubungan pemrosesan data diperparah oleh kurangnya</w:t>
      </w:r>
      <w:r w:rsidRPr="00010522">
        <w:rPr>
          <w:lang w:val="en-ID"/>
        </w:rPr>
        <w:t xml:space="preserve"> transparansi dalam kebijakan privasi tentang pengumpulan dan penggunaan data pribadi yang tidak memungkinkan konsumen untuk membuat keputusan yang berdasar informasi yang baik.</w:t>
      </w:r>
      <w:r w:rsidR="00603A3B">
        <w:rPr>
          <w:rStyle w:val="FootnoteReference"/>
          <w:lang w:val="en-ID"/>
        </w:rPr>
        <w:footnoteReference w:id="57"/>
      </w:r>
      <w:r w:rsidRPr="00010522">
        <w:rPr>
          <w:lang w:val="en-ID"/>
        </w:rPr>
        <w:t xml:space="preserve"> Kedua kegagalan ini didukung oleh apa yang disebut “paradoks privasi”, yaitu situasi yang bertentangan di mana konsumen sangat peduli tentang perlindungan privasi mereka, tetapi perilaku mereka dalam pasar sebenarnya tidak sesuai dengan preferensi privasi mereka yang sebenarnya. Kebijakan Privasi dan Preferensi Pengguna yang dibuat secara memaksa, serta non-negotiable tersebut merupakan bagian dari syarat dan ketentuan yang relevan dari layanan yang disediakan oleh platform </w:t>
      </w:r>
      <w:r w:rsidRPr="00D16F3B">
        <w:rPr>
          <w:i/>
          <w:iCs/>
          <w:lang w:val="en-ID"/>
        </w:rPr>
        <w:t>online</w:t>
      </w:r>
      <w:r w:rsidRPr="00010522">
        <w:rPr>
          <w:lang w:val="en-ID"/>
        </w:rPr>
        <w:t xml:space="preserve"> yang didanai oleh iklan.</w:t>
      </w:r>
      <w:r w:rsidR="00D16F3B">
        <w:rPr>
          <w:rStyle w:val="FootnoteReference"/>
          <w:lang w:val="en-ID"/>
        </w:rPr>
        <w:footnoteReference w:id="58"/>
      </w:r>
    </w:p>
    <w:p w14:paraId="55E9391F" w14:textId="77777777" w:rsidR="00E97E7C" w:rsidRDefault="00E97E7C" w:rsidP="00E97E7C">
      <w:pPr>
        <w:ind w:firstLine="0"/>
        <w:rPr>
          <w:szCs w:val="22"/>
          <w:lang w:val="en-ID"/>
        </w:rPr>
      </w:pPr>
    </w:p>
    <w:p w14:paraId="34A38DAB" w14:textId="111820FC" w:rsidR="00E97E7C" w:rsidRPr="00E97E7C" w:rsidRDefault="00E97E7C" w:rsidP="00E97E7C">
      <w:pPr>
        <w:pStyle w:val="Heading4"/>
        <w:ind w:left="567" w:hanging="567"/>
        <w:rPr>
          <w:rFonts w:ascii="Times New Roman" w:hAnsi="Times New Roman" w:cs="Times New Roman"/>
          <w:b/>
          <w:bCs/>
          <w:i w:val="0"/>
          <w:iCs w:val="0"/>
          <w:color w:val="000000" w:themeColor="text1"/>
          <w:lang w:val="fr-FR"/>
        </w:rPr>
      </w:pPr>
      <w:bookmarkStart w:id="9" w:name="_Hlk163247471"/>
      <w:r>
        <w:rPr>
          <w:rFonts w:ascii="Times New Roman" w:hAnsi="Times New Roman" w:cs="Times New Roman"/>
          <w:b/>
          <w:bCs/>
          <w:i w:val="0"/>
          <w:iCs w:val="0"/>
          <w:color w:val="000000" w:themeColor="text1"/>
          <w:lang w:val="fr-FR"/>
        </w:rPr>
        <w:lastRenderedPageBreak/>
        <w:t>Pembatasan Pasar dan Pengembangan Teknologi</w:t>
      </w:r>
    </w:p>
    <w:bookmarkEnd w:id="9"/>
    <w:p w14:paraId="7A3FF9FD" w14:textId="62EBE15B" w:rsidR="00FF266D" w:rsidRPr="00F7491D" w:rsidRDefault="00231380" w:rsidP="00F7491D">
      <w:pPr>
        <w:spacing w:after="0"/>
        <w:ind w:firstLine="567"/>
        <w:rPr>
          <w:szCs w:val="22"/>
          <w:lang w:val="fr-FR"/>
        </w:rPr>
      </w:pPr>
      <w:r w:rsidRPr="00F7491D">
        <w:rPr>
          <w:szCs w:val="22"/>
          <w:lang w:val="fr-FR"/>
        </w:rPr>
        <w:t xml:space="preserve">Pasal 25 ayat (1) huruf b UU 5/1999 lebih lanjut menentukan perilaku penyalahgunaan posisi dominan di dalam pasar digital adalah membatasi pasar dan pengembangan teknologi. </w:t>
      </w:r>
      <w:r w:rsidR="00FF266D" w:rsidRPr="00F7491D">
        <w:rPr>
          <w:szCs w:val="22"/>
          <w:lang w:val="fr-FR"/>
        </w:rPr>
        <w:t xml:space="preserve">Halaman 20 Lampiran </w:t>
      </w:r>
      <w:r w:rsidR="00BD2BEA" w:rsidRPr="00F7491D">
        <w:rPr>
          <w:szCs w:val="22"/>
          <w:lang w:val="fr-FR"/>
        </w:rPr>
        <w:t>PKPPU</w:t>
      </w:r>
      <w:r w:rsidR="00FF266D" w:rsidRPr="00F7491D">
        <w:rPr>
          <w:szCs w:val="22"/>
          <w:lang w:val="fr-FR"/>
        </w:rPr>
        <w:t xml:space="preserve"> 5/2010 menjelaskan bahwa salah satu bentuk pembatasan pasar adalah penguasaan input produksi secara sepihak. </w:t>
      </w:r>
      <w:r w:rsidR="00010522" w:rsidRPr="00F7491D">
        <w:rPr>
          <w:szCs w:val="22"/>
          <w:lang w:val="fr-FR"/>
        </w:rPr>
        <w:t xml:space="preserve">Praktik ini terjadi ketika pelaku usaha dominan menguasai input penting dan menolak untuk memasok input tersebut kepada pesaing, sehingga menyulitkan pesaing dalam mendapatkan input tersebut yang berdampak pada peningkatan biaya produksi. Tindakan seperti ini dapat dianggap sebagai upaya meningkatkan biaya pesaing secara tidak adil. </w:t>
      </w:r>
    </w:p>
    <w:p w14:paraId="0D81EB8E" w14:textId="0744B823" w:rsidR="00FF266D" w:rsidRPr="00F7491D" w:rsidRDefault="00010522" w:rsidP="00F7491D">
      <w:pPr>
        <w:spacing w:after="0"/>
        <w:ind w:firstLine="567"/>
        <w:rPr>
          <w:szCs w:val="22"/>
          <w:lang w:val="en-ID"/>
        </w:rPr>
      </w:pPr>
      <w:r w:rsidRPr="00F7491D">
        <w:rPr>
          <w:szCs w:val="22"/>
          <w:lang w:val="en-ID"/>
        </w:rPr>
        <w:t xml:space="preserve">Salah satu input yang penting dalam pasar digital adalah data pribadi yang kemudian diolah menjadi </w:t>
      </w:r>
      <w:r w:rsidR="002961BD" w:rsidRPr="00F7491D">
        <w:rPr>
          <w:i/>
          <w:iCs/>
          <w:szCs w:val="22"/>
          <w:lang w:val="en-ID"/>
        </w:rPr>
        <w:t>Big data</w:t>
      </w:r>
      <w:r w:rsidRPr="00F7491D">
        <w:rPr>
          <w:szCs w:val="22"/>
          <w:lang w:val="en-ID"/>
        </w:rPr>
        <w:t xml:space="preserve">. Harus diingat bahwa Penyedia Layanan di dalam </w:t>
      </w:r>
      <w:r w:rsidRPr="00F7491D">
        <w:rPr>
          <w:i/>
          <w:iCs/>
          <w:szCs w:val="22"/>
          <w:lang w:val="en-ID"/>
        </w:rPr>
        <w:t>Multi-Sided Market</w:t>
      </w:r>
      <w:r w:rsidRPr="00F7491D">
        <w:rPr>
          <w:szCs w:val="22"/>
          <w:lang w:val="en-ID"/>
        </w:rPr>
        <w:t xml:space="preserve"> berbasis bergantung pada pengumpulan dan pemrosesan data pribadi Pengguna Layanan untuk memberikan dan melaksanakan layanan yang mereka maksudkan untuk ditawarkan.</w:t>
      </w:r>
      <w:r w:rsidR="00F7491D" w:rsidRPr="00F7491D">
        <w:rPr>
          <w:rStyle w:val="FootnoteReference"/>
          <w:szCs w:val="22"/>
          <w:lang w:val="en-ID"/>
        </w:rPr>
        <w:footnoteReference w:id="59"/>
      </w:r>
      <w:r w:rsidRPr="00F7491D">
        <w:rPr>
          <w:szCs w:val="22"/>
          <w:lang w:val="en-ID"/>
        </w:rPr>
        <w:t xml:space="preserve"> Dalam hal ini, Penyedia Layanan membutuhkan pengumpulan informasi tertentu dari pengguna, seperti nama, alamat email, nomor telepon, foto profil, dan lain sebagainya tergantung pada kasusnya. </w:t>
      </w:r>
    </w:p>
    <w:p w14:paraId="73CCAF4A" w14:textId="791CD1DC" w:rsidR="00FF266D" w:rsidRPr="00F7491D" w:rsidRDefault="00010522" w:rsidP="00F7491D">
      <w:pPr>
        <w:spacing w:after="0"/>
        <w:ind w:firstLine="567"/>
        <w:rPr>
          <w:szCs w:val="22"/>
          <w:lang w:val="en-ID"/>
        </w:rPr>
      </w:pPr>
      <w:r w:rsidRPr="00F7491D">
        <w:rPr>
          <w:szCs w:val="22"/>
          <w:lang w:val="en-ID"/>
        </w:rPr>
        <w:t xml:space="preserve">Data pribadi yang dieksploitasi sebagai bentuk penguasaan input yang ditujukan untuk membatasi pasar dapat dilihat dari perspektif bahwa data pribadi dapat dikategorikan sebagai sumber kekuatan pasar digital. Perspektif ini didasarkan pada doktrin </w:t>
      </w:r>
      <w:r w:rsidR="00FC31FF" w:rsidRPr="00F7491D">
        <w:rPr>
          <w:i/>
          <w:iCs/>
          <w:szCs w:val="22"/>
          <w:lang w:val="en-ID"/>
        </w:rPr>
        <w:t>Essential Facility</w:t>
      </w:r>
      <w:r w:rsidRPr="00F7491D">
        <w:rPr>
          <w:szCs w:val="22"/>
          <w:lang w:val="en-ID"/>
        </w:rPr>
        <w:t>.</w:t>
      </w:r>
      <w:r w:rsidR="00FF266D" w:rsidRPr="00F7491D">
        <w:rPr>
          <w:szCs w:val="22"/>
          <w:lang w:val="en-ID"/>
        </w:rPr>
        <w:t xml:space="preserve"> </w:t>
      </w:r>
      <w:r w:rsidRPr="00F7491D">
        <w:rPr>
          <w:szCs w:val="22"/>
          <w:lang w:val="en-ID"/>
        </w:rPr>
        <w:t xml:space="preserve">Penyedia Layanan dengan posisi dominan yang memiliki data pribadi dan telah diolah menjadi </w:t>
      </w:r>
      <w:r w:rsidR="002961BD" w:rsidRPr="00F7491D">
        <w:rPr>
          <w:i/>
          <w:iCs/>
          <w:szCs w:val="22"/>
          <w:lang w:val="en-ID"/>
        </w:rPr>
        <w:t>Big data</w:t>
      </w:r>
      <w:r w:rsidRPr="00F7491D">
        <w:rPr>
          <w:szCs w:val="22"/>
          <w:lang w:val="en-ID"/>
        </w:rPr>
        <w:t xml:space="preserve"> akan menyebabkan tidak ada pesaing lain yang dapat menandinginya, ini juga secara langsung maupun tidak langsung membuat pesaing lain yang ingin memasuki persaingan di platform online akan terhambat secara otomatis dan bahkan upaya pesaingnya akan mati karena tidak dapat bersaing dengan pelaku bisnis dominan.</w:t>
      </w:r>
      <w:r w:rsidR="001D0259">
        <w:rPr>
          <w:rStyle w:val="FootnoteReference"/>
          <w:szCs w:val="22"/>
          <w:lang w:val="en-ID"/>
        </w:rPr>
        <w:footnoteReference w:id="60"/>
      </w:r>
      <w:r w:rsidRPr="00F7491D">
        <w:rPr>
          <w:szCs w:val="22"/>
          <w:lang w:val="en-ID"/>
        </w:rPr>
        <w:t xml:space="preserve"> </w:t>
      </w:r>
    </w:p>
    <w:p w14:paraId="19D740A9" w14:textId="1C6CED29" w:rsidR="00E97E7C" w:rsidRPr="00F7491D" w:rsidRDefault="00010522" w:rsidP="00F7491D">
      <w:pPr>
        <w:spacing w:after="0"/>
        <w:ind w:firstLine="567"/>
        <w:rPr>
          <w:szCs w:val="22"/>
          <w:lang w:val="en-ID"/>
        </w:rPr>
      </w:pPr>
      <w:r w:rsidRPr="00F7491D">
        <w:rPr>
          <w:szCs w:val="22"/>
          <w:lang w:val="en-ID"/>
        </w:rPr>
        <w:t xml:space="preserve">Kepemilikan data pribadi yang kemudian berhasil diolah menjadi </w:t>
      </w:r>
      <w:r w:rsidR="002961BD" w:rsidRPr="00F7491D">
        <w:rPr>
          <w:i/>
          <w:iCs/>
          <w:szCs w:val="22"/>
          <w:lang w:val="en-ID"/>
        </w:rPr>
        <w:t>Big data</w:t>
      </w:r>
      <w:r w:rsidRPr="00F7491D">
        <w:rPr>
          <w:szCs w:val="22"/>
          <w:lang w:val="en-ID"/>
        </w:rPr>
        <w:t xml:space="preserve"> juga dianggap sangat sulit. Misalnya, mengenai biaya yang harus dibayar untuk insentif awal dan juga untuk bisa mengakses dan memelihara </w:t>
      </w:r>
      <w:r w:rsidR="002961BD" w:rsidRPr="00F7491D">
        <w:rPr>
          <w:i/>
          <w:iCs/>
          <w:szCs w:val="22"/>
          <w:lang w:val="en-ID"/>
        </w:rPr>
        <w:t>Big data</w:t>
      </w:r>
      <w:r w:rsidRPr="00F7491D">
        <w:rPr>
          <w:szCs w:val="22"/>
          <w:lang w:val="en-ID"/>
        </w:rPr>
        <w:t xml:space="preserve"> jugarelatif sangat besar. Pengelolaan </w:t>
      </w:r>
      <w:r w:rsidR="002961BD" w:rsidRPr="00F7491D">
        <w:rPr>
          <w:i/>
          <w:iCs/>
          <w:szCs w:val="22"/>
          <w:lang w:val="en-ID"/>
        </w:rPr>
        <w:t>Big data</w:t>
      </w:r>
      <w:r w:rsidRPr="00F7491D">
        <w:rPr>
          <w:szCs w:val="22"/>
          <w:lang w:val="en-ID"/>
        </w:rPr>
        <w:t xml:space="preserve"> juga membutuhkan ahli yang memadai untuk dapat mengakses dan memelihara </w:t>
      </w:r>
      <w:r w:rsidR="002961BD" w:rsidRPr="00F7491D">
        <w:rPr>
          <w:i/>
          <w:iCs/>
          <w:szCs w:val="22"/>
          <w:lang w:val="en-ID"/>
        </w:rPr>
        <w:t>big data</w:t>
      </w:r>
      <w:r w:rsidRPr="00F7491D">
        <w:rPr>
          <w:szCs w:val="22"/>
          <w:lang w:val="en-ID"/>
        </w:rPr>
        <w:t xml:space="preserve"> juga. Oleh karena itu, tidak banyak Penyedia Layanan yang dapat mengakses </w:t>
      </w:r>
      <w:r w:rsidR="002961BD" w:rsidRPr="00F7491D">
        <w:rPr>
          <w:i/>
          <w:iCs/>
          <w:szCs w:val="22"/>
          <w:lang w:val="en-ID"/>
        </w:rPr>
        <w:t>Big data</w:t>
      </w:r>
      <w:r w:rsidRPr="00F7491D">
        <w:rPr>
          <w:szCs w:val="22"/>
          <w:lang w:val="en-ID"/>
        </w:rPr>
        <w:t xml:space="preserve"> dengan mudah untuk kepentingan mereka sendiri. Hal ini juga merupakan faktor bahwa terjadi pembatasan pasar akibat penguasaan input tertentu oleh Penyedia Layanan dengan posisi dominan, yang mana input tersebut tidak dimiliki oleh pesaing yang ada dan pesaing potensial. Penyedia Layanan juga tidak akan membagikan fasilitas kepada pesaing lain di pasar. Fenomena ini akan menghilangkan persaingan yang sehat dalam pasar digital. Pada akhirnya, praktik ini membuat pesaing lain tidak dapat bersaing secara adil karena kurangnya akses untuk dapat bersaing dalam jalur pasar. </w:t>
      </w:r>
    </w:p>
    <w:p w14:paraId="06EB925B" w14:textId="77777777" w:rsidR="00F7491D" w:rsidRPr="00F7491D" w:rsidRDefault="00010522" w:rsidP="00F7491D">
      <w:pPr>
        <w:spacing w:after="0"/>
        <w:ind w:firstLine="567"/>
        <w:rPr>
          <w:szCs w:val="22"/>
        </w:rPr>
      </w:pPr>
      <w:r w:rsidRPr="00F7491D">
        <w:rPr>
          <w:szCs w:val="22"/>
          <w:lang w:val="en-ID"/>
        </w:rPr>
        <w:t xml:space="preserve">Kepemilikan input berupa data pribadi yang telah diolah menjadi </w:t>
      </w:r>
      <w:r w:rsidR="002961BD" w:rsidRPr="00F7491D">
        <w:rPr>
          <w:i/>
          <w:iCs/>
          <w:szCs w:val="22"/>
          <w:lang w:val="en-ID"/>
        </w:rPr>
        <w:t>Big data</w:t>
      </w:r>
      <w:r w:rsidRPr="00F7491D">
        <w:rPr>
          <w:szCs w:val="22"/>
          <w:lang w:val="en-ID"/>
        </w:rPr>
        <w:t xml:space="preserve">, sangat relevan apabila dikaitkan dengan doktrin </w:t>
      </w:r>
      <w:r w:rsidR="00FC31FF" w:rsidRPr="00F7491D">
        <w:rPr>
          <w:i/>
          <w:iCs/>
          <w:szCs w:val="22"/>
          <w:lang w:val="en-ID"/>
        </w:rPr>
        <w:t>Essential Facility</w:t>
      </w:r>
      <w:r w:rsidRPr="00F7491D">
        <w:rPr>
          <w:szCs w:val="22"/>
          <w:lang w:val="en-ID"/>
        </w:rPr>
        <w:t xml:space="preserve">. </w:t>
      </w:r>
      <w:r w:rsidR="00F7491D" w:rsidRPr="00F7491D">
        <w:rPr>
          <w:szCs w:val="22"/>
          <w:lang w:val="en-ID"/>
        </w:rPr>
        <w:t>Dalam literatur hukum kompetisi di Jerman dan Uni Eropa, keberadaan Data cenderung dikorelasikan dengan penerapan “fasilitas esensial” (</w:t>
      </w:r>
      <w:r w:rsidR="00F7491D" w:rsidRPr="00F7491D">
        <w:rPr>
          <w:i/>
          <w:iCs/>
          <w:szCs w:val="22"/>
          <w:lang w:val="en-ID"/>
        </w:rPr>
        <w:t>Essential Facility</w:t>
      </w:r>
      <w:r w:rsidR="00F7491D" w:rsidRPr="00F7491D">
        <w:rPr>
          <w:szCs w:val="22"/>
          <w:lang w:val="en-ID"/>
        </w:rPr>
        <w:t xml:space="preserve">). </w:t>
      </w:r>
      <w:r w:rsidR="00F7491D" w:rsidRPr="00F7491D">
        <w:rPr>
          <w:i/>
          <w:iCs/>
          <w:szCs w:val="22"/>
          <w:lang w:val="en-ID"/>
        </w:rPr>
        <w:t>Essential Facility</w:t>
      </w:r>
      <w:r w:rsidR="00F7491D" w:rsidRPr="00F7491D">
        <w:rPr>
          <w:szCs w:val="22"/>
          <w:lang w:val="en-ID"/>
        </w:rPr>
        <w:t xml:space="preserve"> yang mengacu kepada konsep dimana suatu pelaku usaha mempunyai fasilitas yang lebih dibandingkan pelaku usaha lainnya di pasar bersangkutan.</w:t>
      </w:r>
      <w:r w:rsidR="00F7491D" w:rsidRPr="00F7491D">
        <w:rPr>
          <w:rStyle w:val="FootnoteReference"/>
          <w:szCs w:val="22"/>
        </w:rPr>
        <w:footnoteReference w:id="61"/>
      </w:r>
      <w:r w:rsidR="00F7491D" w:rsidRPr="00F7491D">
        <w:rPr>
          <w:szCs w:val="22"/>
          <w:lang w:val="en-ID"/>
        </w:rPr>
        <w:t xml:space="preserve"> Fasilitas yang berbeda jelas menguntungkan pada pelaku usaha yang mempunyai fasilitas terbaik. </w:t>
      </w:r>
      <w:r w:rsidR="00F7491D" w:rsidRPr="00F7491D">
        <w:rPr>
          <w:szCs w:val="22"/>
        </w:rPr>
        <w:t xml:space="preserve">Melekat dalam konsep </w:t>
      </w:r>
      <w:r w:rsidR="00F7491D" w:rsidRPr="00F7491D">
        <w:rPr>
          <w:i/>
          <w:iCs/>
          <w:szCs w:val="22"/>
        </w:rPr>
        <w:t>Essential Facility</w:t>
      </w:r>
      <w:r w:rsidR="00F7491D" w:rsidRPr="00F7491D">
        <w:rPr>
          <w:szCs w:val="22"/>
        </w:rPr>
        <w:t xml:space="preserve"> premis bahwa pemilik </w:t>
      </w:r>
      <w:r w:rsidR="00F7491D" w:rsidRPr="00F7491D">
        <w:rPr>
          <w:i/>
          <w:iCs/>
          <w:szCs w:val="22"/>
        </w:rPr>
        <w:t>Essential Facility</w:t>
      </w:r>
      <w:r w:rsidR="00F7491D" w:rsidRPr="00F7491D">
        <w:rPr>
          <w:szCs w:val="22"/>
        </w:rPr>
        <w:t xml:space="preserve"> memiliki kekuatan untuk memonopoli.</w:t>
      </w:r>
      <w:r w:rsidR="00F7491D" w:rsidRPr="00F7491D">
        <w:rPr>
          <w:rStyle w:val="FootnoteReference"/>
          <w:szCs w:val="22"/>
        </w:rPr>
        <w:footnoteReference w:id="62"/>
      </w:r>
      <w:r w:rsidR="00F7491D" w:rsidRPr="00F7491D">
        <w:rPr>
          <w:szCs w:val="22"/>
        </w:rPr>
        <w:t xml:space="preserve"> Hal yang menjadi masalah adalah ketika ada suatu fasilitas yang seharusnya dapat digunakan oleh semua pelaku usaha, justru hanya digunakan oleh satu pelaku usaha. Sementara pelaku usaha yang menggunakan fasilitas tersebut tidak memberikan ruang bagi pesaing usaha lainnya untuk menggunakan fasilitas yang sama.</w:t>
      </w:r>
      <w:r w:rsidR="00F7491D" w:rsidRPr="00F7491D">
        <w:rPr>
          <w:rStyle w:val="FootnoteReference"/>
          <w:szCs w:val="22"/>
        </w:rPr>
        <w:footnoteReference w:id="63"/>
      </w:r>
      <w:r w:rsidR="00F7491D" w:rsidRPr="00F7491D">
        <w:rPr>
          <w:szCs w:val="22"/>
        </w:rPr>
        <w:t xml:space="preserve"> Tujuannya adalah, agar Pengguna akan memilih pelaku usaha yang mempunyai fasilitas lebih </w:t>
      </w:r>
      <w:r w:rsidR="00F7491D" w:rsidRPr="00F7491D">
        <w:rPr>
          <w:szCs w:val="22"/>
        </w:rPr>
        <w:lastRenderedPageBreak/>
        <w:t>tersebut. Praktik ini menyebabkan keuntungan lebih bagi pelaku usaha tersebut dan juga kerugian bagi pesaing usaha lainnya.</w:t>
      </w:r>
      <w:r w:rsidR="00F7491D" w:rsidRPr="00F7491D">
        <w:rPr>
          <w:rStyle w:val="FootnoteReference"/>
          <w:szCs w:val="22"/>
        </w:rPr>
        <w:footnoteReference w:id="64"/>
      </w:r>
      <w:r w:rsidR="00F7491D" w:rsidRPr="00F7491D">
        <w:rPr>
          <w:szCs w:val="22"/>
        </w:rPr>
        <w:t xml:space="preserve"> </w:t>
      </w:r>
    </w:p>
    <w:p w14:paraId="26DF7ACB" w14:textId="67D5765D" w:rsidR="00F7491D" w:rsidRPr="00F7491D" w:rsidRDefault="00F7491D" w:rsidP="00F7491D">
      <w:pPr>
        <w:spacing w:after="0"/>
        <w:ind w:firstLine="567"/>
        <w:rPr>
          <w:szCs w:val="22"/>
        </w:rPr>
      </w:pPr>
      <w:r w:rsidRPr="00F7491D">
        <w:rPr>
          <w:szCs w:val="22"/>
        </w:rPr>
        <w:t xml:space="preserve">Dalam kajian hukum persaingan usaha secara umum, </w:t>
      </w:r>
      <w:r w:rsidRPr="00F7491D">
        <w:rPr>
          <w:i/>
          <w:iCs/>
          <w:szCs w:val="22"/>
        </w:rPr>
        <w:t>Essential Facility</w:t>
      </w:r>
      <w:r w:rsidRPr="00F7491D">
        <w:rPr>
          <w:szCs w:val="22"/>
        </w:rPr>
        <w:t xml:space="preserve"> mengacu kepada pemahaman bahwa suatu </w:t>
      </w:r>
      <w:r w:rsidRPr="00F7491D">
        <w:rPr>
          <w:i/>
          <w:iCs/>
          <w:szCs w:val="22"/>
        </w:rPr>
        <w:t>Essential Facility</w:t>
      </w:r>
      <w:r w:rsidRPr="00F7491D">
        <w:rPr>
          <w:szCs w:val="22"/>
        </w:rPr>
        <w:t xml:space="preserve"> merupakan suatu fasilitas yang dimiliki dan dikendalikan oleh pelaku usaha yang memiliki posisi dominan di pasar tertentu. Pada saat yang bersamaan kompetitor memerlukan akses kepada fasilitas tersebut agar dapat menyediakan produk yang serupa di pasar relevan. Suatu fasilitas dikatakan esensial jikalau fasilitas tersebut merupakan </w:t>
      </w:r>
      <w:r w:rsidRPr="00F7491D">
        <w:rPr>
          <w:i/>
          <w:iCs/>
          <w:szCs w:val="22"/>
        </w:rPr>
        <w:t>Essential Facility</w:t>
      </w:r>
      <w:r w:rsidRPr="00F7491D">
        <w:rPr>
          <w:szCs w:val="22"/>
        </w:rPr>
        <w:t xml:space="preserve"> bagi keberlangsungan persaingan usaha di pasar relevan, karena kompetitor tidak dapat berkompetisi secara efektif di dalam pasar bersangkutan tanpa adanya akses terhadap fasilitas tersebut.</w:t>
      </w:r>
      <w:r w:rsidRPr="00F7491D">
        <w:rPr>
          <w:rStyle w:val="FootnoteReference"/>
          <w:szCs w:val="22"/>
        </w:rPr>
        <w:footnoteReference w:id="65"/>
      </w:r>
    </w:p>
    <w:p w14:paraId="66768586" w14:textId="3F00B2BA" w:rsidR="00F7491D" w:rsidRPr="00F7491D" w:rsidRDefault="00F7491D" w:rsidP="00F7491D">
      <w:pPr>
        <w:spacing w:after="0"/>
        <w:ind w:firstLine="567"/>
        <w:rPr>
          <w:szCs w:val="22"/>
        </w:rPr>
      </w:pPr>
      <w:r w:rsidRPr="00F7491D">
        <w:rPr>
          <w:i/>
          <w:iCs/>
          <w:szCs w:val="22"/>
        </w:rPr>
        <w:t>Essential Facility</w:t>
      </w:r>
      <w:r w:rsidRPr="00F7491D">
        <w:rPr>
          <w:szCs w:val="22"/>
        </w:rPr>
        <w:t xml:space="preserve"> biasanya digunakan oleh pelaku usaha untuk meraih keuntungan atau mencegah pesaing usaha lainnya untuk mendapatkan konsumen. Hal ini disebabkan karena konsumen memilih pelaku usaha yang dapat menawarkan barang atau jasa yang lebih baik oleh pelaku usaha dibandingkan dengan pelaku usaha lainnya yang tidak dapat menawarkan hal tersebut. Penyalahgunaan </w:t>
      </w:r>
      <w:r w:rsidRPr="00F7491D">
        <w:rPr>
          <w:i/>
          <w:iCs/>
          <w:szCs w:val="22"/>
        </w:rPr>
        <w:t>Essential Facility</w:t>
      </w:r>
      <w:r w:rsidRPr="00F7491D">
        <w:rPr>
          <w:szCs w:val="22"/>
        </w:rPr>
        <w:t xml:space="preserve"> dapat ditemukan didalam struktur pasar yang memiliki lebih dari satu pelaku usaha hal ini yang menyebabkan pasar persaingan usaha yang sehat menjadi pasar persaingan usaha tidak sehat.</w:t>
      </w:r>
      <w:r w:rsidRPr="00F7491D">
        <w:rPr>
          <w:rStyle w:val="FootnoteReference"/>
          <w:szCs w:val="22"/>
        </w:rPr>
        <w:footnoteReference w:id="66"/>
      </w:r>
      <w:r w:rsidRPr="00F7491D">
        <w:rPr>
          <w:szCs w:val="22"/>
        </w:rPr>
        <w:t xml:space="preserve"> </w:t>
      </w:r>
    </w:p>
    <w:p w14:paraId="4554E1EB" w14:textId="1438F2A1" w:rsidR="00E97E7C" w:rsidRDefault="00010522" w:rsidP="00F7491D">
      <w:pPr>
        <w:spacing w:after="0"/>
        <w:ind w:firstLine="567"/>
        <w:rPr>
          <w:lang w:val="en-ID"/>
        </w:rPr>
      </w:pPr>
      <w:r w:rsidRPr="00F7491D">
        <w:rPr>
          <w:szCs w:val="22"/>
          <w:lang w:val="en-ID"/>
        </w:rPr>
        <w:t xml:space="preserve">Pembatasan </w:t>
      </w:r>
      <w:r w:rsidR="00E97E7C" w:rsidRPr="00F7491D">
        <w:rPr>
          <w:szCs w:val="22"/>
          <w:lang w:val="en-ID"/>
        </w:rPr>
        <w:t>p</w:t>
      </w:r>
      <w:r w:rsidRPr="00F7491D">
        <w:rPr>
          <w:szCs w:val="22"/>
          <w:lang w:val="en-ID"/>
        </w:rPr>
        <w:t xml:space="preserve">asar </w:t>
      </w:r>
      <w:r w:rsidR="00E97E7C" w:rsidRPr="00F7491D">
        <w:rPr>
          <w:szCs w:val="22"/>
          <w:lang w:val="en-ID"/>
        </w:rPr>
        <w:t xml:space="preserve">juga dapat berupa diskriminasi harga. </w:t>
      </w:r>
      <w:r w:rsidRPr="00F7491D">
        <w:rPr>
          <w:szCs w:val="22"/>
          <w:lang w:val="en-ID"/>
        </w:rPr>
        <w:t>Jikalau Penyedia Layanan melakukan eksploitasi data pribadi, maka Penyedia Layanan tersebut secara otomatis memiliki informasi yang lengkap tentang kebiasaan konsumsi Pengguna Layanan serta kesanggupan mereka untuk mengeluarkan uang untuk suatu produk. Di sisi lain, Penyedia Layanan dapat menerapkan diskriminasi harga secara sempurna dan penetapan harga</w:t>
      </w:r>
      <w:r w:rsidRPr="00010522">
        <w:rPr>
          <w:lang w:val="en-ID"/>
        </w:rPr>
        <w:t xml:space="preserve"> kepada pengguna secara tersegmentasi (</w:t>
      </w:r>
      <w:r w:rsidRPr="00FC31FF">
        <w:rPr>
          <w:i/>
          <w:iCs/>
          <w:lang w:val="en-ID"/>
        </w:rPr>
        <w:t>scalable price targeting</w:t>
      </w:r>
      <w:r w:rsidRPr="00010522">
        <w:rPr>
          <w:lang w:val="en-ID"/>
        </w:rPr>
        <w:t>). Tetapi hal ini mensyaratkan kepemilikan kekuatan pasar dari perusahaan digital tersebut, sehingga pengguna tidak dapat dengan mudah berpindah kepada pelaku usaha serta produk lain di pasar digital.</w:t>
      </w:r>
      <w:r w:rsidR="00F7491D" w:rsidRPr="00F7491D">
        <w:rPr>
          <w:rStyle w:val="FootnoteReference"/>
          <w:szCs w:val="22"/>
        </w:rPr>
        <w:footnoteReference w:id="67"/>
      </w:r>
      <w:r w:rsidRPr="00010522">
        <w:rPr>
          <w:lang w:val="en-ID"/>
        </w:rPr>
        <w:t xml:space="preserve"> </w:t>
      </w:r>
    </w:p>
    <w:p w14:paraId="41E7ABD6" w14:textId="7AB464B2" w:rsidR="00E97E7C" w:rsidRDefault="00E97E7C" w:rsidP="00E97E7C">
      <w:pPr>
        <w:ind w:firstLine="567"/>
        <w:rPr>
          <w:lang w:val="en-ID"/>
        </w:rPr>
      </w:pPr>
      <w:r>
        <w:rPr>
          <w:lang w:val="en-ID"/>
        </w:rPr>
        <w:t xml:space="preserve">Dalam hal penggunaan teknologi, </w:t>
      </w:r>
      <w:r w:rsidR="00010522" w:rsidRPr="00010522">
        <w:rPr>
          <w:lang w:val="en-ID"/>
        </w:rPr>
        <w:t xml:space="preserve">penyalahgunaan posisi dominan muncul sebagai isu yang sangat relevan, karena entitas yang memiliki akses dan kontrol yang lebih besar terhadap data pribadi dapat memanfaatkannya untuk kepentingan mereka sendiri, seringkali tanpa persetujuan atau pemahaman yang jelas dari individu yang terkena dampak. Pertama-tama, penting untuk memahami bahwa teknologi telah memfasilitasi pengumpulan, penyimpanan, dan analisis data secara lebih efisien dan luas daripada sebelumnya. Inovasi seperti </w:t>
      </w:r>
      <w:r w:rsidR="00010522" w:rsidRPr="00FC31FF">
        <w:rPr>
          <w:i/>
          <w:iCs/>
          <w:lang w:val="en-ID"/>
        </w:rPr>
        <w:t>Internet of Things</w:t>
      </w:r>
      <w:r w:rsidR="00010522" w:rsidRPr="00010522">
        <w:rPr>
          <w:lang w:val="en-ID"/>
        </w:rPr>
        <w:t xml:space="preserve"> (IoT), </w:t>
      </w:r>
      <w:r w:rsidR="00010522" w:rsidRPr="00FC31FF">
        <w:rPr>
          <w:i/>
          <w:iCs/>
          <w:lang w:val="en-ID"/>
        </w:rPr>
        <w:t>Artificial Intelligence</w:t>
      </w:r>
      <w:r w:rsidR="00010522" w:rsidRPr="00010522">
        <w:rPr>
          <w:lang w:val="en-ID"/>
        </w:rPr>
        <w:t xml:space="preserve"> (AI), dan teknologi </w:t>
      </w:r>
      <w:r w:rsidR="00010522" w:rsidRPr="00FC31FF">
        <w:rPr>
          <w:i/>
          <w:iCs/>
          <w:lang w:val="en-ID"/>
        </w:rPr>
        <w:t>Cloud</w:t>
      </w:r>
      <w:r w:rsidR="00010522" w:rsidRPr="00010522">
        <w:rPr>
          <w:lang w:val="en-ID"/>
        </w:rPr>
        <w:t xml:space="preserve"> telah membuka pintu bagi akuisisi data yang belum pernah terjadi sebelumnya. Namun, sementara teknologi membawa manfaat besar dalam hal efisiensi dan kemudahan akses informasi, penggunaan yang tidak etis atau tidak sah dari data pribadi juga menjadi lebih memungkinkan.</w:t>
      </w:r>
      <w:r w:rsidR="00F7491D" w:rsidRPr="00F7491D">
        <w:rPr>
          <w:rStyle w:val="FootnoteReference"/>
          <w:szCs w:val="22"/>
        </w:rPr>
        <w:footnoteReference w:id="68"/>
      </w:r>
      <w:r w:rsidR="00010522" w:rsidRPr="00010522">
        <w:rPr>
          <w:lang w:val="en-ID"/>
        </w:rPr>
        <w:t xml:space="preserve"> </w:t>
      </w:r>
    </w:p>
    <w:p w14:paraId="274E8095" w14:textId="77777777" w:rsidR="00010522" w:rsidRPr="00603A3B" w:rsidRDefault="00010522" w:rsidP="00BD2BEA">
      <w:pPr>
        <w:ind w:firstLine="0"/>
        <w:rPr>
          <w:lang w:val="en-ID"/>
        </w:rPr>
      </w:pPr>
    </w:p>
    <w:p w14:paraId="3A328F82" w14:textId="415F8AC8" w:rsidR="00BD2BEA" w:rsidRPr="00BD2BEA" w:rsidRDefault="00BD2BEA" w:rsidP="00BD2BEA">
      <w:pPr>
        <w:pStyle w:val="Heading4"/>
        <w:ind w:left="567" w:hanging="567"/>
        <w:rPr>
          <w:rFonts w:ascii="Times New Roman" w:hAnsi="Times New Roman" w:cs="Times New Roman"/>
          <w:b/>
          <w:bCs/>
          <w:i w:val="0"/>
          <w:iCs w:val="0"/>
          <w:color w:val="000000" w:themeColor="text1"/>
          <w:lang w:val="en-ID"/>
        </w:rPr>
      </w:pPr>
      <w:bookmarkStart w:id="10" w:name="_Hlk163247729"/>
      <w:r w:rsidRPr="00BD2BEA">
        <w:rPr>
          <w:rFonts w:ascii="Times New Roman" w:hAnsi="Times New Roman" w:cs="Times New Roman"/>
          <w:b/>
          <w:bCs/>
          <w:i w:val="0"/>
          <w:iCs w:val="0"/>
          <w:color w:val="000000" w:themeColor="text1"/>
          <w:lang w:val="en-ID"/>
        </w:rPr>
        <w:t xml:space="preserve">Menghambat Pesaing Potensial untuk Masuk </w:t>
      </w:r>
      <w:r>
        <w:rPr>
          <w:rFonts w:ascii="Times New Roman" w:hAnsi="Times New Roman" w:cs="Times New Roman"/>
          <w:b/>
          <w:bCs/>
          <w:i w:val="0"/>
          <w:iCs w:val="0"/>
          <w:color w:val="000000" w:themeColor="text1"/>
          <w:lang w:val="en-ID"/>
        </w:rPr>
        <w:t>ke dalam Pasar</w:t>
      </w:r>
    </w:p>
    <w:bookmarkEnd w:id="10"/>
    <w:p w14:paraId="6BB5C88D" w14:textId="65F8ABA8" w:rsidR="00E97E7C" w:rsidRDefault="009D53CA" w:rsidP="00E97E7C">
      <w:pPr>
        <w:ind w:firstLine="567"/>
        <w:rPr>
          <w:lang w:val="en-ID"/>
        </w:rPr>
      </w:pPr>
      <w:r>
        <w:rPr>
          <w:lang w:val="en-ID"/>
        </w:rPr>
        <w:t xml:space="preserve">Perilaku ketiga yang dianggap sebagai bentuk penyalahgunaan posisi dominan berdasarkan </w:t>
      </w:r>
      <w:r w:rsidRPr="009D53CA">
        <w:rPr>
          <w:szCs w:val="22"/>
          <w:lang w:val="en-ID"/>
        </w:rPr>
        <w:t xml:space="preserve">Pasal 25 ayat (1) huruf </w:t>
      </w:r>
      <w:r>
        <w:rPr>
          <w:szCs w:val="22"/>
          <w:lang w:val="en-ID"/>
        </w:rPr>
        <w:t>c</w:t>
      </w:r>
      <w:r w:rsidRPr="009D53CA">
        <w:rPr>
          <w:szCs w:val="22"/>
          <w:lang w:val="en-ID"/>
        </w:rPr>
        <w:t xml:space="preserve"> UU 5/1999</w:t>
      </w:r>
      <w:r>
        <w:rPr>
          <w:szCs w:val="22"/>
          <w:lang w:val="en-ID"/>
        </w:rPr>
        <w:t xml:space="preserve"> adalah</w:t>
      </w:r>
      <w:r w:rsidRPr="009D53CA">
        <w:rPr>
          <w:szCs w:val="22"/>
          <w:lang w:val="en-ID"/>
        </w:rPr>
        <w:t xml:space="preserve"> menghambat pelaku usaha lain yang berpotensi menjadi pesaing untuk memasuki pasar bersangkutan</w:t>
      </w:r>
      <w:r>
        <w:rPr>
          <w:szCs w:val="22"/>
          <w:lang w:val="en-ID"/>
        </w:rPr>
        <w:t xml:space="preserve">. </w:t>
      </w:r>
      <w:r w:rsidR="00010522" w:rsidRPr="00010522">
        <w:rPr>
          <w:lang w:val="en-ID"/>
        </w:rPr>
        <w:t>Efek yang ditimbulkan dari eksploitasi data pribadi oleh Penyedia Layanan pada akhirnya membuat hambatan bagi pesaing potensial untuk masuk ke dalam pasar. Eksploitasi data pribadi telah menjadi salah satu alat yang kuat bagi perusahaan untuk memperoleh keunggulan kompetitif di pasar. Eksploitasi data pribadi dapat menghambat pesaing potensial dan menyalahgunakan posisi dominan perusahaan di beberapa cara yang signifikan.</w:t>
      </w:r>
    </w:p>
    <w:p w14:paraId="608A675C" w14:textId="51383156" w:rsidR="00E97E7C" w:rsidRDefault="00010522" w:rsidP="00E97E7C">
      <w:pPr>
        <w:ind w:firstLine="567"/>
        <w:rPr>
          <w:lang w:val="en-ID"/>
        </w:rPr>
      </w:pPr>
      <w:r w:rsidRPr="00010522">
        <w:rPr>
          <w:lang w:val="en-ID"/>
        </w:rPr>
        <w:t>Penyedia Layanan yang telah mengumpulkan sejumlah besar data pribadi memiliki keunggulan besar dalam memahami perilaku pelanggan, preferensi, dan kebutuhan pasar. Dengan informasi ini, mereka dapat mengoptimalkan strategi pemasaran, penargetan iklan, dan pengembangan produk.</w:t>
      </w:r>
      <w:r w:rsidR="00C1190A">
        <w:rPr>
          <w:rStyle w:val="FootnoteReference"/>
          <w:lang w:val="en-ID"/>
        </w:rPr>
        <w:footnoteReference w:id="69"/>
      </w:r>
      <w:r w:rsidRPr="00010522">
        <w:rPr>
          <w:lang w:val="en-ID"/>
        </w:rPr>
        <w:t xml:space="preserve"> Namun, ketika Penyedia Layanan tersebut menolak untuk membagikan data tersebut dengan pesaing potensial atau membebankan biaya yang tinggi untuk akses ke data tersebut, hal ini dapat menghambat persaingan yang adil. Pesaing potensial mungkin tidak memiliki sumber daya yang cukup untuk mengumpulkan data yang sama atau membayar biaya tinggi untuk mendapatkannya, sehingga mereka terpinggirkan dari pasar</w:t>
      </w:r>
      <w:r w:rsidR="00E97E7C">
        <w:rPr>
          <w:lang w:val="en-ID"/>
        </w:rPr>
        <w:t>.</w:t>
      </w:r>
      <w:r w:rsidR="00C1190A">
        <w:rPr>
          <w:rStyle w:val="FootnoteReference"/>
          <w:lang w:val="en-ID"/>
        </w:rPr>
        <w:footnoteReference w:id="70"/>
      </w:r>
    </w:p>
    <w:p w14:paraId="426C4741" w14:textId="3B5A8B96" w:rsidR="00E97E7C" w:rsidRDefault="00010522" w:rsidP="00E97E7C">
      <w:pPr>
        <w:ind w:firstLine="567"/>
        <w:rPr>
          <w:lang w:val="en-ID"/>
        </w:rPr>
      </w:pPr>
      <w:r w:rsidRPr="00010522">
        <w:rPr>
          <w:lang w:val="en-ID"/>
        </w:rPr>
        <w:t>Penyedia Layanan yang memiliki akses eksklusif ke data pribadi yang luas dapat memanfaatkan posisi dominan mereka untuk memonopoli pasar. Mereka dapat menggunakan data tersebut untuk mengembangkan strategi penetrasi pasar yang agresif, menekan pesaing, atau bahkan menghambat pesaing untuk masuk ke pasar.</w:t>
      </w:r>
      <w:r w:rsidR="00F7491D" w:rsidRPr="00F7491D">
        <w:rPr>
          <w:rStyle w:val="FootnoteReference"/>
          <w:szCs w:val="22"/>
        </w:rPr>
        <w:footnoteReference w:id="71"/>
      </w:r>
      <w:r w:rsidRPr="00010522">
        <w:rPr>
          <w:lang w:val="en-ID"/>
        </w:rPr>
        <w:t xml:space="preserve"> Dengan kontrol yang kuat atas informasi dan pasar, perusahaan tersebut dapat mengendalikan harga, mengurangi pilihan konsumen, dan menghambat inovasi pesaing, menciptakan lingkungan bisnis yang tidak sehat.</w:t>
      </w:r>
      <w:r w:rsidR="00C1190A">
        <w:rPr>
          <w:rStyle w:val="FootnoteReference"/>
          <w:lang w:val="en-ID"/>
        </w:rPr>
        <w:footnoteReference w:id="72"/>
      </w:r>
    </w:p>
    <w:p w14:paraId="0DB98737" w14:textId="0A2D20AC" w:rsidR="00E97E7C" w:rsidRDefault="00010522" w:rsidP="00E97E7C">
      <w:pPr>
        <w:ind w:firstLine="567"/>
        <w:rPr>
          <w:lang w:val="en-ID"/>
        </w:rPr>
      </w:pPr>
      <w:r w:rsidRPr="00010522">
        <w:rPr>
          <w:lang w:val="en-ID"/>
        </w:rPr>
        <w:t>Penyedia Layanan yang telah mengumpukan pemahaman yang mendalam tentang data Pengguna Layanan, dapat memanipulasi perilaku Pengguna Layanan untuk keuntungan Penyedia Layanan. Penyedia Layanan dapat menggunakan teknik seperti penargetan iklan yang sangat spesifik atau manipulasi psikologis untuk mempengaruhi keputusan pembelian pelanggan.</w:t>
      </w:r>
      <w:r w:rsidR="00C1190A">
        <w:rPr>
          <w:rStyle w:val="FootnoteReference"/>
          <w:lang w:val="en-ID"/>
        </w:rPr>
        <w:footnoteReference w:id="73"/>
      </w:r>
      <w:r w:rsidRPr="00010522">
        <w:rPr>
          <w:lang w:val="en-ID"/>
        </w:rPr>
        <w:t xml:space="preserve"> Hal ini dapat menghambat pesaing potensial yang tidak memiliki akses yang sama ke data pribadi, karena mereka tidak dapat bersaing dalam hal efektivitas kampanye pemasaran atau pengaruh pada perilaku konsumen. </w:t>
      </w:r>
    </w:p>
    <w:p w14:paraId="7FC72067" w14:textId="32C92046" w:rsidR="00010522" w:rsidRPr="00D9699E" w:rsidRDefault="00010522" w:rsidP="00E97E7C">
      <w:pPr>
        <w:ind w:firstLine="567"/>
        <w:rPr>
          <w:lang w:val="fr-FR"/>
        </w:rPr>
      </w:pPr>
      <w:r w:rsidRPr="00010522">
        <w:rPr>
          <w:lang w:val="en-ID"/>
        </w:rPr>
        <w:t xml:space="preserve">Ketika Penyedia Layanan dengan posisi dominan mengendalikan pasar dan akses terhadap data pribadi, hal ini dapat menghambat inovasi dan persaingan yang sehat. Pesaing potensial akan terhalang oleh hambatan masuk yang tinggi atau kesulitan dalam mengakses sumber daya yang diperlukan untuk bersaing. Hal ini dapat mengurangi tekanan persaingan yang diperlukan untuk mendorong inovasi dan </w:t>
      </w:r>
      <w:r w:rsidRPr="00010522">
        <w:rPr>
          <w:lang w:val="en-ID"/>
        </w:rPr>
        <w:lastRenderedPageBreak/>
        <w:t>meningkatkan pilihan konsumen.</w:t>
      </w:r>
      <w:r w:rsidR="00C1190A">
        <w:rPr>
          <w:rStyle w:val="FootnoteReference"/>
          <w:lang w:val="en-ID"/>
        </w:rPr>
        <w:footnoteReference w:id="74"/>
      </w:r>
      <w:r w:rsidRPr="00010522">
        <w:rPr>
          <w:lang w:val="en-ID"/>
        </w:rPr>
        <w:t xml:space="preserve"> </w:t>
      </w:r>
      <w:r w:rsidRPr="00010522">
        <w:rPr>
          <w:lang w:val="fr-FR"/>
        </w:rPr>
        <w:t>Eksploitasi data pribadi dapat menjadi senjata ganda bagi Penyedia Layanan dengan posisi dominan di pasar digital.</w:t>
      </w:r>
      <w:r w:rsidR="001D0259">
        <w:rPr>
          <w:rStyle w:val="FootnoteReference"/>
          <w:lang w:val="fr-FR"/>
        </w:rPr>
        <w:footnoteReference w:id="75"/>
      </w:r>
      <w:r w:rsidRPr="00010522">
        <w:rPr>
          <w:lang w:val="fr-FR"/>
        </w:rPr>
        <w:t xml:space="preserve"> Sementara itu dapat memberikan keunggulan kompetitif yang signifikan, terutama bagi Penyedia Layanan dengan posisi dominan, juga dapat menghambat persaingan yang sehat dan menciptakan ketidaksetaraan dalam pasar.</w:t>
      </w:r>
    </w:p>
    <w:p w14:paraId="60F12F45" w14:textId="77777777" w:rsidR="00010522" w:rsidRPr="00601D98" w:rsidRDefault="00010522" w:rsidP="00010522">
      <w:pPr>
        <w:ind w:firstLine="567"/>
        <w:rPr>
          <w:lang w:val="fr-FR"/>
        </w:rPr>
      </w:pPr>
    </w:p>
    <w:p w14:paraId="12BAF7A8" w14:textId="4F28A0BF" w:rsidR="00C53C7A" w:rsidRPr="00C53C7A" w:rsidRDefault="00C53C7A" w:rsidP="00D769AA">
      <w:pPr>
        <w:pStyle w:val="Heading3"/>
        <w:ind w:left="567" w:hanging="567"/>
      </w:pPr>
      <w:bookmarkStart w:id="11" w:name="_Hlk163247972"/>
      <w:r>
        <w:t xml:space="preserve">Pendekatan </w:t>
      </w:r>
      <w:r w:rsidRPr="00C53C7A">
        <w:rPr>
          <w:i/>
          <w:iCs/>
        </w:rPr>
        <w:t>Per Se Illegal</w:t>
      </w:r>
    </w:p>
    <w:bookmarkEnd w:id="11"/>
    <w:p w14:paraId="4D7A368A" w14:textId="03AAB666" w:rsidR="009D53CA" w:rsidRDefault="009D53CA" w:rsidP="009D53CA">
      <w:pPr>
        <w:spacing w:after="0"/>
        <w:ind w:firstLine="567"/>
        <w:rPr>
          <w:szCs w:val="22"/>
        </w:rPr>
      </w:pPr>
      <w:r w:rsidRPr="009D53CA">
        <w:rPr>
          <w:szCs w:val="22"/>
        </w:rPr>
        <w:t xml:space="preserve">Tidak hanya mengacu pada undang-undang, </w:t>
      </w:r>
      <w:r>
        <w:rPr>
          <w:szCs w:val="22"/>
          <w:lang w:val="en-ID"/>
        </w:rPr>
        <w:t>p</w:t>
      </w:r>
      <w:r w:rsidRPr="009D53CA">
        <w:rPr>
          <w:szCs w:val="22"/>
          <w:lang w:val="en-ID"/>
        </w:rPr>
        <w:t xml:space="preserve">enetapan suatu tindakan/perbuatan pelaku usaha sebagai bentuk pelanggaran persaingan yang sehat didasarkan dengan dua </w:t>
      </w:r>
      <w:r>
        <w:rPr>
          <w:szCs w:val="22"/>
          <w:lang w:val="en-ID"/>
        </w:rPr>
        <w:t xml:space="preserve">teori </w:t>
      </w:r>
      <w:r w:rsidRPr="009D53CA">
        <w:rPr>
          <w:szCs w:val="22"/>
          <w:lang w:val="en-ID"/>
        </w:rPr>
        <w:t xml:space="preserve">pendekatan, yakni </w:t>
      </w:r>
      <w:r w:rsidRPr="009D53CA">
        <w:rPr>
          <w:i/>
          <w:iCs/>
          <w:szCs w:val="22"/>
          <w:lang w:val="en-ID"/>
        </w:rPr>
        <w:t xml:space="preserve">rule of reason </w:t>
      </w:r>
      <w:r w:rsidRPr="009D53CA">
        <w:rPr>
          <w:szCs w:val="22"/>
          <w:lang w:val="en-ID"/>
        </w:rPr>
        <w:t xml:space="preserve">dan </w:t>
      </w:r>
      <w:r w:rsidRPr="009D53CA">
        <w:rPr>
          <w:i/>
          <w:iCs/>
          <w:szCs w:val="22"/>
          <w:lang w:val="en-ID"/>
        </w:rPr>
        <w:t>per se illegal.</w:t>
      </w:r>
      <w:r w:rsidRPr="009D53CA">
        <w:rPr>
          <w:szCs w:val="22"/>
        </w:rPr>
        <w:t xml:space="preserve"> Begitu juga dengan perbuatan/tindakan eksploitasi data pribadi Pengguna Layanan oleh Penyedia Layanan juga harus dinilai dengan dua pendekatan tersebut, baik secara </w:t>
      </w:r>
      <w:r w:rsidRPr="009D53CA">
        <w:rPr>
          <w:i/>
          <w:iCs/>
          <w:szCs w:val="22"/>
        </w:rPr>
        <w:t xml:space="preserve">rule of reason </w:t>
      </w:r>
      <w:r w:rsidRPr="009D53CA">
        <w:rPr>
          <w:szCs w:val="22"/>
        </w:rPr>
        <w:t xml:space="preserve">dan/atau </w:t>
      </w:r>
      <w:r w:rsidRPr="009D53CA">
        <w:rPr>
          <w:i/>
          <w:iCs/>
          <w:szCs w:val="22"/>
        </w:rPr>
        <w:t>per se illegal.</w:t>
      </w:r>
      <w:r w:rsidRPr="009D53CA">
        <w:rPr>
          <w:szCs w:val="22"/>
        </w:rPr>
        <w:t xml:space="preserve"> Pendekatan </w:t>
      </w:r>
      <w:r w:rsidRPr="009D53CA">
        <w:rPr>
          <w:i/>
          <w:iCs/>
          <w:szCs w:val="22"/>
        </w:rPr>
        <w:t>rule of reason</w:t>
      </w:r>
      <w:r w:rsidRPr="009D53CA">
        <w:rPr>
          <w:szCs w:val="22"/>
        </w:rPr>
        <w:t xml:space="preserve"> dan pendekatan </w:t>
      </w:r>
      <w:r w:rsidRPr="009D53CA">
        <w:rPr>
          <w:i/>
          <w:iCs/>
          <w:szCs w:val="22"/>
        </w:rPr>
        <w:t>per se illegal</w:t>
      </w:r>
      <w:r w:rsidRPr="009D53CA">
        <w:rPr>
          <w:szCs w:val="22"/>
        </w:rPr>
        <w:t xml:space="preserve"> digunakan untuk menilai apakah suatu kegiatan tertentu yang dilakukan oleh pelaku usaha melanggar UU 5/1999.</w:t>
      </w:r>
      <w:r w:rsidRPr="009D53CA">
        <w:rPr>
          <w:rStyle w:val="FootnoteReference"/>
          <w:szCs w:val="22"/>
        </w:rPr>
        <w:footnoteReference w:id="76"/>
      </w:r>
    </w:p>
    <w:p w14:paraId="6E256921" w14:textId="144FDE28" w:rsidR="009D53CA" w:rsidRPr="009D53CA" w:rsidRDefault="009D53CA" w:rsidP="009D53CA">
      <w:pPr>
        <w:spacing w:after="0"/>
        <w:ind w:firstLine="567"/>
        <w:rPr>
          <w:color w:val="000000" w:themeColor="text1"/>
          <w:szCs w:val="22"/>
        </w:rPr>
      </w:pPr>
      <w:r w:rsidRPr="009D53CA">
        <w:rPr>
          <w:color w:val="000000" w:themeColor="text1"/>
          <w:szCs w:val="22"/>
        </w:rPr>
        <w:t xml:space="preserve">Berdasarkan </w:t>
      </w:r>
      <w:r>
        <w:rPr>
          <w:color w:val="000000" w:themeColor="text1"/>
          <w:szCs w:val="22"/>
        </w:rPr>
        <w:t xml:space="preserve">Halaman 31 Lampiran </w:t>
      </w:r>
      <w:r w:rsidR="00BD2BEA">
        <w:rPr>
          <w:color w:val="000000" w:themeColor="text1"/>
          <w:szCs w:val="22"/>
        </w:rPr>
        <w:t>PKPPU</w:t>
      </w:r>
      <w:r>
        <w:rPr>
          <w:color w:val="000000" w:themeColor="text1"/>
          <w:szCs w:val="22"/>
        </w:rPr>
        <w:t xml:space="preserve"> 6/2010</w:t>
      </w:r>
      <w:r w:rsidRPr="009D53CA">
        <w:rPr>
          <w:color w:val="000000" w:themeColor="text1"/>
          <w:szCs w:val="22"/>
        </w:rPr>
        <w:t xml:space="preserve">, Pasal 25 UU 5/1999 bersifat </w:t>
      </w:r>
      <w:r w:rsidRPr="009D53CA">
        <w:rPr>
          <w:i/>
          <w:iCs/>
          <w:color w:val="000000" w:themeColor="text1"/>
          <w:szCs w:val="22"/>
        </w:rPr>
        <w:t>per se illegal</w:t>
      </w:r>
      <w:r w:rsidRPr="009D53CA">
        <w:rPr>
          <w:color w:val="000000" w:themeColor="text1"/>
          <w:szCs w:val="22"/>
        </w:rPr>
        <w:t>. Dengan demikian, sepanjang unsur-unsur yang diperlukan telah terpenuhi, KPPU akan menyatakan bahwa dugaan pelanggaran pasal yang dimaksud telah terbukti secara sah dan meyakinkan. Penghitungan serta penyajian dampak penyalahgunaan posisi dominan penyajian dampak tersebut dapat dilakukan untuk bertujuan memperkuat bukti pelanggaran dan penentuan besaran sanksi apabila terbukti melanggar.</w:t>
      </w:r>
    </w:p>
    <w:p w14:paraId="39E7231E" w14:textId="648B39FA" w:rsidR="006A71C9" w:rsidRPr="006A71C9" w:rsidRDefault="006A71C9" w:rsidP="009D53CA">
      <w:pPr>
        <w:spacing w:after="0"/>
        <w:ind w:firstLine="567"/>
        <w:rPr>
          <w:szCs w:val="22"/>
        </w:rPr>
      </w:pPr>
      <w:r w:rsidRPr="009D53CA">
        <w:rPr>
          <w:szCs w:val="22"/>
        </w:rPr>
        <w:t xml:space="preserve">Pendekatan </w:t>
      </w:r>
      <w:r w:rsidRPr="009D53CA">
        <w:rPr>
          <w:i/>
          <w:iCs/>
          <w:szCs w:val="22"/>
        </w:rPr>
        <w:t>per se illegal</w:t>
      </w:r>
      <w:r w:rsidRPr="009D53CA">
        <w:rPr>
          <w:szCs w:val="22"/>
        </w:rPr>
        <w:t xml:space="preserve"> adalah metode pendekatan yang menganggap setiap perjanjian atau kegiatan usaha tertentu sebagai ilegal, </w:t>
      </w:r>
      <w:r w:rsidRPr="006A71C9">
        <w:rPr>
          <w:szCs w:val="22"/>
        </w:rPr>
        <w:t>tanpa pembuktian lebih lanjut atau menyelidiki lebih dahulu dampak yang ditimbulkan oleh perjanjian atau kegiatan usaha tersebut terhadap persaingan.</w:t>
      </w:r>
      <w:r w:rsidRPr="006A71C9">
        <w:rPr>
          <w:rStyle w:val="FootnoteReference"/>
          <w:szCs w:val="22"/>
        </w:rPr>
        <w:footnoteReference w:id="77"/>
      </w:r>
      <w:r w:rsidRPr="006A71C9">
        <w:rPr>
          <w:szCs w:val="22"/>
        </w:rPr>
        <w:t xml:space="preserve"> Kegiatan pelaku usaha dapat dianggap sebagai </w:t>
      </w:r>
      <w:r w:rsidRPr="006A71C9">
        <w:rPr>
          <w:i/>
          <w:iCs/>
          <w:szCs w:val="22"/>
        </w:rPr>
        <w:t>per se illegal</w:t>
      </w:r>
      <w:r w:rsidRPr="006A71C9">
        <w:rPr>
          <w:szCs w:val="22"/>
        </w:rPr>
        <w:t xml:space="preserve"> biasanya meliputi penetapan harga secara kolusif atas produk tertentu serta pengaturan harga penjualan kembali.</w:t>
      </w:r>
      <w:r w:rsidRPr="006A71C9">
        <w:rPr>
          <w:rStyle w:val="FootnoteReference"/>
          <w:szCs w:val="22"/>
        </w:rPr>
        <w:footnoteReference w:id="78"/>
      </w:r>
      <w:r w:rsidRPr="006A71C9">
        <w:rPr>
          <w:szCs w:val="22"/>
        </w:rPr>
        <w:t xml:space="preserve"> </w:t>
      </w:r>
    </w:p>
    <w:p w14:paraId="733B1415" w14:textId="4AADF7EE" w:rsidR="006A71C9" w:rsidRPr="006A71C9" w:rsidRDefault="006A71C9" w:rsidP="006A71C9">
      <w:pPr>
        <w:spacing w:after="0"/>
        <w:ind w:firstLine="567"/>
        <w:rPr>
          <w:szCs w:val="22"/>
          <w:highlight w:val="yellow"/>
        </w:rPr>
      </w:pPr>
      <w:r w:rsidRPr="006A71C9">
        <w:rPr>
          <w:szCs w:val="22"/>
        </w:rPr>
        <w:t xml:space="preserve">Pendekatan </w:t>
      </w:r>
      <w:r w:rsidRPr="006A71C9">
        <w:rPr>
          <w:i/>
          <w:iCs/>
          <w:szCs w:val="22"/>
        </w:rPr>
        <w:t>per se illegal</w:t>
      </w:r>
      <w:r w:rsidRPr="006A71C9">
        <w:rPr>
          <w:szCs w:val="22"/>
        </w:rPr>
        <w:t xml:space="preserve"> ini dapat diketahui dari ketentuan pasal yang memuat kata “dilarang” tanpa anak kalimat “yang dapat mengakibatkan”. Misalnya penyelidikan terhadap beberapa perjanjian atau kegiatan usaha. Pendekatan </w:t>
      </w:r>
      <w:r w:rsidRPr="006A71C9">
        <w:rPr>
          <w:i/>
          <w:iCs/>
          <w:szCs w:val="22"/>
        </w:rPr>
        <w:t>per se ille</w:t>
      </w:r>
      <w:r w:rsidRPr="006A71C9">
        <w:rPr>
          <w:szCs w:val="22"/>
        </w:rPr>
        <w:t xml:space="preserve"> secara implisit terkadung dalam beberapa klausul pengaturan UU 5/199</w:t>
      </w:r>
      <w:r w:rsidR="000F5B20">
        <w:rPr>
          <w:szCs w:val="22"/>
        </w:rPr>
        <w:t>9</w:t>
      </w:r>
      <w:r w:rsidRPr="006A71C9">
        <w:rPr>
          <w:szCs w:val="22"/>
        </w:rPr>
        <w:t>, di antaranya perjanjian penetapan harga</w:t>
      </w:r>
      <w:bookmarkStart w:id="12" w:name="_Hlk163287257"/>
      <w:r w:rsidRPr="006A71C9">
        <w:rPr>
          <w:szCs w:val="22"/>
        </w:rPr>
        <w:t>,</w:t>
      </w:r>
      <w:r w:rsidRPr="006A71C9">
        <w:rPr>
          <w:rStyle w:val="FootnoteReference"/>
          <w:szCs w:val="22"/>
        </w:rPr>
        <w:footnoteReference w:id="79"/>
      </w:r>
      <w:bookmarkEnd w:id="12"/>
      <w:r w:rsidR="00B9483D">
        <w:rPr>
          <w:szCs w:val="22"/>
        </w:rPr>
        <w:t xml:space="preserve"> </w:t>
      </w:r>
      <w:r w:rsidRPr="006A71C9">
        <w:rPr>
          <w:szCs w:val="22"/>
        </w:rPr>
        <w:t>penetapan harga diskriminasi</w:t>
      </w:r>
      <w:bookmarkStart w:id="13" w:name="_Hlk163287268"/>
      <w:r w:rsidRPr="006A71C9">
        <w:rPr>
          <w:szCs w:val="22"/>
        </w:rPr>
        <w:t>,</w:t>
      </w:r>
      <w:r w:rsidRPr="006A71C9">
        <w:rPr>
          <w:rStyle w:val="FootnoteReference"/>
          <w:szCs w:val="22"/>
        </w:rPr>
        <w:footnoteReference w:id="80"/>
      </w:r>
      <w:bookmarkEnd w:id="13"/>
      <w:r w:rsidRPr="006A71C9">
        <w:rPr>
          <w:szCs w:val="22"/>
        </w:rPr>
        <w:t xml:space="preserve"> boikot</w:t>
      </w:r>
      <w:bookmarkStart w:id="14" w:name="_Hlk163287277"/>
      <w:r w:rsidRPr="006A71C9">
        <w:rPr>
          <w:szCs w:val="22"/>
        </w:rPr>
        <w:t>,</w:t>
      </w:r>
      <w:r w:rsidRPr="006A71C9">
        <w:rPr>
          <w:rStyle w:val="FootnoteReference"/>
          <w:szCs w:val="22"/>
        </w:rPr>
        <w:footnoteReference w:id="81"/>
      </w:r>
      <w:bookmarkEnd w:id="14"/>
      <w:r w:rsidR="00B9483D">
        <w:rPr>
          <w:szCs w:val="22"/>
        </w:rPr>
        <w:t xml:space="preserve"> </w:t>
      </w:r>
      <w:r w:rsidRPr="006A71C9">
        <w:rPr>
          <w:szCs w:val="22"/>
        </w:rPr>
        <w:t>perjanjian tertutup</w:t>
      </w:r>
      <w:bookmarkStart w:id="15" w:name="_Hlk163287288"/>
      <w:r w:rsidRPr="006A71C9">
        <w:rPr>
          <w:szCs w:val="22"/>
        </w:rPr>
        <w:t>,</w:t>
      </w:r>
      <w:r w:rsidRPr="006A71C9">
        <w:rPr>
          <w:rStyle w:val="FootnoteReference"/>
          <w:szCs w:val="22"/>
        </w:rPr>
        <w:footnoteReference w:id="82"/>
      </w:r>
      <w:bookmarkEnd w:id="15"/>
      <w:r w:rsidRPr="006A71C9">
        <w:rPr>
          <w:szCs w:val="22"/>
        </w:rPr>
        <w:t xml:space="preserve"> persekongkolan dalam menghambat produk/pemasaran pesaing</w:t>
      </w:r>
      <w:bookmarkStart w:id="16" w:name="_Hlk163287300"/>
      <w:r w:rsidRPr="006A71C9">
        <w:rPr>
          <w:szCs w:val="22"/>
        </w:rPr>
        <w:t>,</w:t>
      </w:r>
      <w:r w:rsidRPr="006A71C9">
        <w:rPr>
          <w:rStyle w:val="FootnoteReference"/>
          <w:szCs w:val="22"/>
        </w:rPr>
        <w:footnoteReference w:id="83"/>
      </w:r>
      <w:bookmarkEnd w:id="16"/>
      <w:r w:rsidRPr="006A71C9">
        <w:rPr>
          <w:szCs w:val="22"/>
        </w:rPr>
        <w:t xml:space="preserve"> penyalahgunaan posisi dominan</w:t>
      </w:r>
      <w:bookmarkStart w:id="17" w:name="_Hlk163287310"/>
      <w:r w:rsidRPr="006A71C9">
        <w:rPr>
          <w:szCs w:val="22"/>
        </w:rPr>
        <w:t>,</w:t>
      </w:r>
      <w:r w:rsidRPr="006A71C9">
        <w:rPr>
          <w:rStyle w:val="FootnoteReference"/>
          <w:szCs w:val="22"/>
        </w:rPr>
        <w:footnoteReference w:id="84"/>
      </w:r>
      <w:bookmarkEnd w:id="17"/>
      <w:r w:rsidRPr="006A71C9">
        <w:rPr>
          <w:szCs w:val="22"/>
        </w:rPr>
        <w:t xml:space="preserve"> dan tentang pemilikan saham mayoritas</w:t>
      </w:r>
      <w:bookmarkStart w:id="18" w:name="_Hlk163287318"/>
      <w:r w:rsidRPr="006A71C9">
        <w:rPr>
          <w:szCs w:val="22"/>
        </w:rPr>
        <w:t>.</w:t>
      </w:r>
      <w:r w:rsidRPr="006A71C9">
        <w:rPr>
          <w:rStyle w:val="FootnoteReference"/>
          <w:szCs w:val="22"/>
        </w:rPr>
        <w:footnoteReference w:id="85"/>
      </w:r>
      <w:bookmarkEnd w:id="18"/>
    </w:p>
    <w:p w14:paraId="3C7E4FD5" w14:textId="77777777" w:rsidR="006A71C9" w:rsidRPr="006A71C9" w:rsidRDefault="006A71C9" w:rsidP="006A71C9">
      <w:pPr>
        <w:spacing w:after="0"/>
        <w:ind w:firstLine="567"/>
        <w:rPr>
          <w:szCs w:val="22"/>
          <w:lang w:val="fr-FR"/>
        </w:rPr>
      </w:pPr>
      <w:r w:rsidRPr="006A71C9">
        <w:rPr>
          <w:szCs w:val="22"/>
        </w:rPr>
        <w:t xml:space="preserve">Pada prinsipnya, terdapat dua syarat yang harus dipenuhi dalam menetapkan suaru kegiatan/tindakan pelaku usaha dianggap pelanggar persaingan usaha yang sehat berdasarkan </w:t>
      </w:r>
      <w:r w:rsidRPr="006A71C9">
        <w:rPr>
          <w:szCs w:val="22"/>
        </w:rPr>
        <w:lastRenderedPageBreak/>
        <w:t xml:space="preserve">pendekatan </w:t>
      </w:r>
      <w:r w:rsidRPr="006A71C9">
        <w:rPr>
          <w:i/>
          <w:iCs/>
          <w:szCs w:val="22"/>
        </w:rPr>
        <w:t xml:space="preserve">per se illegal. </w:t>
      </w:r>
      <w:r w:rsidRPr="006A71C9">
        <w:rPr>
          <w:szCs w:val="22"/>
        </w:rPr>
        <w:t xml:space="preserve">Pertama, harus ditujukan kepada perilaku bisnis daripada situasi pasar. Hal ini dikarenakan keputusan melawan hukum dijatuhkan tanpa disertai pemeriksaan lebih lanjut, misalnya mengenai akibat dan hal-hal yang melingkupinya. Perbuatan ilegal tersebut merupakan tindakan sengaja pelaku usaha yang seharusnya dapat dihindari. Kedua, Adanya identifikasi secara cepat atau mudah terkait dengan jenis praktik atau batasan perilaku yang terlarang. </w:t>
      </w:r>
      <w:r w:rsidRPr="006A71C9">
        <w:rPr>
          <w:szCs w:val="22"/>
          <w:lang w:val="fr-FR"/>
        </w:rPr>
        <w:t>Artinya, penilaian atas tindakan dari pelaku usaha baik di pasar maupun dalam proses pengadilan harus dapat ditentukan dengan mudah</w:t>
      </w:r>
      <w:bookmarkStart w:id="19" w:name="_Hlk163287338"/>
      <w:r w:rsidRPr="006A71C9">
        <w:rPr>
          <w:szCs w:val="22"/>
          <w:lang w:val="fr-FR"/>
        </w:rPr>
        <w:t>.</w:t>
      </w:r>
      <w:r w:rsidRPr="006A71C9">
        <w:rPr>
          <w:rStyle w:val="FootnoteReference"/>
          <w:szCs w:val="22"/>
          <w:lang w:val="fr-FR"/>
        </w:rPr>
        <w:footnoteReference w:id="86"/>
      </w:r>
      <w:bookmarkEnd w:id="19"/>
    </w:p>
    <w:p w14:paraId="54C96EED" w14:textId="77777777" w:rsidR="006A71C9" w:rsidRPr="006A71C9" w:rsidRDefault="006A71C9" w:rsidP="006A71C9">
      <w:pPr>
        <w:spacing w:after="0"/>
        <w:ind w:firstLine="567"/>
        <w:rPr>
          <w:szCs w:val="22"/>
          <w:highlight w:val="yellow"/>
          <w:lang w:val="fr-FR"/>
        </w:rPr>
      </w:pPr>
      <w:r w:rsidRPr="006A71C9">
        <w:rPr>
          <w:szCs w:val="22"/>
          <w:lang w:val="fr-FR"/>
        </w:rPr>
        <w:t xml:space="preserve">Pendekatan </w:t>
      </w:r>
      <w:r w:rsidRPr="006A71C9">
        <w:rPr>
          <w:i/>
          <w:iCs/>
          <w:szCs w:val="22"/>
          <w:lang w:val="fr-FR"/>
        </w:rPr>
        <w:t>per se illegal</w:t>
      </w:r>
      <w:r w:rsidRPr="006A71C9">
        <w:rPr>
          <w:szCs w:val="22"/>
          <w:lang w:val="fr-FR"/>
        </w:rPr>
        <w:t xml:space="preserve"> memandang bahwa setiap perjanjian atau kegiatan usaha dianggap sebagai ilegal tanpa perlu pembuktian lebih lanjut atas dampak yang ditimbulkan dari suatu perjanjian atau kegiatan tersebut. Manfaat dari penggunaan metode per se illegal adalah kemudahan dan kejelasannya dalam proses administratif. Selain itu, juga memiliki kekuatan mengikat yang lebih luas daripada larangan-larangan yang tergantung pada evaluasi mengenai pengaruh kondisi pasar yang kompleks</w:t>
      </w:r>
      <w:bookmarkStart w:id="20" w:name="_Hlk163287386"/>
      <w:r w:rsidRPr="006A71C9">
        <w:rPr>
          <w:szCs w:val="22"/>
          <w:lang w:val="fr-FR"/>
        </w:rPr>
        <w:t>.</w:t>
      </w:r>
      <w:r w:rsidRPr="006A71C9">
        <w:rPr>
          <w:rStyle w:val="FootnoteReference"/>
          <w:szCs w:val="22"/>
        </w:rPr>
        <w:footnoteReference w:id="87"/>
      </w:r>
      <w:bookmarkEnd w:id="20"/>
      <w:r w:rsidRPr="006A71C9">
        <w:rPr>
          <w:szCs w:val="22"/>
          <w:lang w:val="fr-FR"/>
        </w:rPr>
        <w:t xml:space="preserve"> Dengan demikian, pendekatan ini dapat memperpendek proses pada tingkatan tertentu dalam pelaksanaan undang-undang. Selain itu, juga dianggap relatif mudah dan sederhana, karena hanya meliputi identifikasi pelaku yang tidak sah dan pembuktian atas perbuatan ilegal tersebut. Sehingga tidak perlu penyelidikan terhadap situasi serta karakteristik pasar</w:t>
      </w:r>
      <w:bookmarkStart w:id="21" w:name="_Hlk163287394"/>
      <w:r w:rsidRPr="006A71C9">
        <w:rPr>
          <w:szCs w:val="22"/>
          <w:lang w:val="fr-FR"/>
        </w:rPr>
        <w:t>.</w:t>
      </w:r>
      <w:r w:rsidRPr="006A71C9">
        <w:rPr>
          <w:rStyle w:val="FootnoteReference"/>
          <w:szCs w:val="22"/>
        </w:rPr>
        <w:footnoteReference w:id="88"/>
      </w:r>
      <w:bookmarkEnd w:id="21"/>
    </w:p>
    <w:p w14:paraId="0571FE67" w14:textId="77777777" w:rsidR="006A71C9" w:rsidRPr="006A71C9" w:rsidRDefault="006A71C9" w:rsidP="006A71C9">
      <w:pPr>
        <w:spacing w:after="0"/>
        <w:ind w:firstLine="567"/>
        <w:rPr>
          <w:color w:val="000000" w:themeColor="text1"/>
          <w:szCs w:val="22"/>
          <w:lang w:val="fr-FR"/>
        </w:rPr>
      </w:pPr>
      <w:r w:rsidRPr="006A71C9">
        <w:rPr>
          <w:color w:val="000000" w:themeColor="text1"/>
          <w:szCs w:val="22"/>
          <w:lang w:val="fr-FR"/>
        </w:rPr>
        <w:t xml:space="preserve">Lebih lanjut perilaku ekspoitasi data pribadi dapat ditetapkan sebagai bentuk penyalahgunaan posisi dominan melalui pendekatan </w:t>
      </w:r>
      <w:r w:rsidRPr="006A71C9">
        <w:rPr>
          <w:i/>
          <w:iCs/>
          <w:color w:val="000000" w:themeColor="text1"/>
          <w:szCs w:val="22"/>
          <w:lang w:val="fr-FR"/>
        </w:rPr>
        <w:t xml:space="preserve">per se illegal </w:t>
      </w:r>
      <w:r w:rsidRPr="006A71C9">
        <w:rPr>
          <w:color w:val="000000" w:themeColor="text1"/>
          <w:szCs w:val="22"/>
          <w:lang w:val="fr-FR"/>
        </w:rPr>
        <w:t xml:space="preserve">dikarenakan dua hal. Pertama, sifat inheren dari eksploitasi data pribadi. Praktik-praktik eksploitasi data pribadi, seperti pengumpulan data tanpa izin atau penjualan data kepada pihak ketiga tanpa persetujuan pengguna, secara inheren melanggar privasi dan hak-hak individu. Oleh karena itu, dapat dianggap sebagai pelanggaran hukum secara otomatis. </w:t>
      </w:r>
    </w:p>
    <w:p w14:paraId="01397B8E" w14:textId="27A6E661" w:rsidR="006A71C9" w:rsidRPr="006A71C9" w:rsidRDefault="006A71C9" w:rsidP="006A71C9">
      <w:pPr>
        <w:spacing w:after="0"/>
        <w:ind w:firstLine="567"/>
        <w:rPr>
          <w:color w:val="000000" w:themeColor="text1"/>
          <w:szCs w:val="22"/>
        </w:rPr>
      </w:pPr>
      <w:r w:rsidRPr="006A71C9">
        <w:rPr>
          <w:color w:val="000000" w:themeColor="text1"/>
          <w:szCs w:val="22"/>
        </w:rPr>
        <w:t>Kedua, ketergantungan pada data. Posisi dominan dalam pasar digital sering kali didasarkan pada kendali yang dimiliki atas data. Dalam situasi di mana perusahaan secara efektif mengontrol akses ke data pribadi, mereka dapat menyalahgunakan kekuatan tersebut untuk menghambat pesaing dan memonopoli pasar. Ketiga, dampak sosial dan ekonomi yang merugikan</w:t>
      </w:r>
      <w:bookmarkStart w:id="22" w:name="_Hlk163287409"/>
      <w:r w:rsidRPr="006A71C9">
        <w:rPr>
          <w:color w:val="000000" w:themeColor="text1"/>
          <w:szCs w:val="22"/>
        </w:rPr>
        <w:t>.</w:t>
      </w:r>
      <w:r w:rsidR="001D0259">
        <w:rPr>
          <w:rStyle w:val="FootnoteReference"/>
          <w:color w:val="000000" w:themeColor="text1"/>
          <w:szCs w:val="22"/>
        </w:rPr>
        <w:footnoteReference w:id="89"/>
      </w:r>
      <w:bookmarkEnd w:id="22"/>
      <w:r w:rsidRPr="006A71C9">
        <w:rPr>
          <w:color w:val="000000" w:themeColor="text1"/>
          <w:szCs w:val="22"/>
        </w:rPr>
        <w:t xml:space="preserve"> Eksploitasi data pribadi dapat memiliki dampak yang merugikan bagi masyarakat secara keseluruhan, termasuk melanggar privasi individu, menghambat inovasi, dan menciptakan ketidaksetaraan dalam persaingan bisnis.</w:t>
      </w:r>
    </w:p>
    <w:p w14:paraId="114E9F2F" w14:textId="77777777" w:rsidR="00C53C7A" w:rsidRDefault="00C53C7A" w:rsidP="00C53C7A">
      <w:pPr>
        <w:ind w:firstLine="0"/>
        <w:rPr>
          <w:lang w:val="en-ID"/>
        </w:rPr>
      </w:pPr>
    </w:p>
    <w:p w14:paraId="5AED6DF9" w14:textId="4755B205" w:rsidR="00C53C7A" w:rsidRPr="00C53C7A" w:rsidRDefault="00C53C7A" w:rsidP="00C53C7A">
      <w:pPr>
        <w:pStyle w:val="Heading2"/>
      </w:pPr>
      <w:bookmarkStart w:id="23" w:name="_Hlk163248191"/>
      <w:r>
        <w:t>Saran Kebijakan</w:t>
      </w:r>
    </w:p>
    <w:bookmarkEnd w:id="23"/>
    <w:p w14:paraId="0C38D5D8" w14:textId="77777777" w:rsidR="006230A5" w:rsidRDefault="006230A5" w:rsidP="006230A5">
      <w:pPr>
        <w:pStyle w:val="Level3Content"/>
      </w:pPr>
      <w:r>
        <w:t>B</w:t>
      </w:r>
      <w:r w:rsidR="006A71C9" w:rsidRPr="006A71C9">
        <w:t xml:space="preserve">eberapa </w:t>
      </w:r>
      <w:r>
        <w:t>saran kebijakan</w:t>
      </w:r>
      <w:r w:rsidR="006A71C9" w:rsidRPr="006A71C9">
        <w:t xml:space="preserve"> untuk menjamin persaingan tetap berjalan dalam pasar pasar digital. Pendekatan </w:t>
      </w:r>
      <w:r w:rsidR="006A71C9" w:rsidRPr="006230A5">
        <w:rPr>
          <w:i/>
          <w:iCs/>
        </w:rPr>
        <w:t>theory of harm</w:t>
      </w:r>
      <w:r w:rsidR="006A71C9" w:rsidRPr="006A71C9">
        <w:t xml:space="preserve"> menggambarkan metodologi pengujian yang dilakukan oleh otoritas pengawas persaingan terhadap perilaku yang diduga melanggar hukum persaingan, termasuk penjabaran mengenai (potensi) dampak terhadap persaingan dan konsumen. </w:t>
      </w:r>
      <w:r>
        <w:t>Artikel ini menyarankan</w:t>
      </w:r>
      <w:r w:rsidR="006A71C9" w:rsidRPr="006A71C9">
        <w:t xml:space="preserve"> tiga peran atau fungsi penting yang harus berjalan optimal</w:t>
      </w:r>
      <w:r>
        <w:t xml:space="preserve">. Pertama, </w:t>
      </w:r>
      <w:r w:rsidR="006A71C9" w:rsidRPr="006230A5">
        <w:rPr>
          <w:i/>
          <w:iCs/>
        </w:rPr>
        <w:t>Code of conduct</w:t>
      </w:r>
      <w:r w:rsidR="006A71C9" w:rsidRPr="006A71C9">
        <w:t xml:space="preserve"> yang menjamin prinsip persaingan, bersama dengan prinsip lain seperti </w:t>
      </w:r>
      <w:r w:rsidR="006A71C9" w:rsidRPr="006230A5">
        <w:rPr>
          <w:i/>
          <w:iCs/>
        </w:rPr>
        <w:t>consumer protection</w:t>
      </w:r>
      <w:r>
        <w:rPr>
          <w:i/>
          <w:iCs/>
        </w:rPr>
        <w:t>.</w:t>
      </w:r>
      <w:r w:rsidR="006A71C9" w:rsidRPr="006A71C9">
        <w:t xml:space="preserve"> </w:t>
      </w:r>
      <w:r>
        <w:t>Kedua,</w:t>
      </w:r>
      <w:r w:rsidR="006A71C9" w:rsidRPr="006A71C9">
        <w:t xml:space="preserve"> </w:t>
      </w:r>
      <w:r>
        <w:rPr>
          <w:i/>
          <w:iCs/>
        </w:rPr>
        <w:t>d</w:t>
      </w:r>
      <w:r w:rsidR="006A71C9" w:rsidRPr="006230A5">
        <w:rPr>
          <w:i/>
          <w:iCs/>
        </w:rPr>
        <w:t>ata mobility</w:t>
      </w:r>
      <w:r w:rsidR="006A71C9" w:rsidRPr="006A71C9">
        <w:t xml:space="preserve"> dan </w:t>
      </w:r>
      <w:r w:rsidR="006A71C9" w:rsidRPr="006230A5">
        <w:rPr>
          <w:i/>
          <w:iCs/>
        </w:rPr>
        <w:t>open standar</w:t>
      </w:r>
      <w:r w:rsidR="006A71C9" w:rsidRPr="006A71C9">
        <w:t xml:space="preserve">, yang menjamin prinsip kebebasan pengguna. </w:t>
      </w:r>
      <w:r w:rsidR="006A71C9" w:rsidRPr="006230A5">
        <w:rPr>
          <w:i/>
          <w:iCs/>
        </w:rPr>
        <w:t>Mobility</w:t>
      </w:r>
      <w:r w:rsidR="006A71C9" w:rsidRPr="006A71C9">
        <w:t xml:space="preserve"> akan mengurangi </w:t>
      </w:r>
      <w:r w:rsidR="006A71C9" w:rsidRPr="006230A5">
        <w:rPr>
          <w:i/>
          <w:iCs/>
        </w:rPr>
        <w:t>switching cost</w:t>
      </w:r>
      <w:r w:rsidR="006A71C9" w:rsidRPr="006A71C9">
        <w:t xml:space="preserve"> bagi pengguna sekaligus mengurangi biaya transaksi secara agregat. </w:t>
      </w:r>
      <w:r w:rsidR="006A71C9" w:rsidRPr="006230A5">
        <w:rPr>
          <w:i/>
          <w:iCs/>
        </w:rPr>
        <w:t>Open standard</w:t>
      </w:r>
      <w:r w:rsidR="006A71C9" w:rsidRPr="006A71C9">
        <w:t xml:space="preserve"> terkait dengan spesifikasi teknologi yang menjamin standar yang universal sehingga penyedia teknologi tidak menemui hambatan akses terhadap platform. Selain menjamin kebebasan penyedia teknologi, open standar akan mengurangi ketergantungan unit bisnis ke perusahaan tertentu dengan spesifikasi non standar. </w:t>
      </w:r>
      <w:r>
        <w:t>Ketiga,</w:t>
      </w:r>
      <w:r w:rsidR="006A71C9" w:rsidRPr="006A71C9">
        <w:t xml:space="preserve"> </w:t>
      </w:r>
      <w:r w:rsidRPr="006230A5">
        <w:rPr>
          <w:i/>
          <w:iCs/>
        </w:rPr>
        <w:t>d</w:t>
      </w:r>
      <w:r w:rsidR="006A71C9" w:rsidRPr="006230A5">
        <w:rPr>
          <w:i/>
          <w:iCs/>
        </w:rPr>
        <w:t>ata openness</w:t>
      </w:r>
      <w:r w:rsidR="006A71C9" w:rsidRPr="006A71C9">
        <w:t xml:space="preserve"> yang menjamin semua platform dan penyedia bigdata dapat memiliki akses terhadap data yang dianggap essensial untuk bisnis. </w:t>
      </w:r>
    </w:p>
    <w:p w14:paraId="7195EEE4" w14:textId="4ED2DF0F" w:rsidR="006230A5" w:rsidRDefault="006230A5" w:rsidP="006230A5">
      <w:pPr>
        <w:pStyle w:val="Level3Content"/>
      </w:pPr>
      <w:r>
        <w:t xml:space="preserve">Lebih lanjut, secara teknis, artikel ini </w:t>
      </w:r>
      <w:r w:rsidR="006A71C9" w:rsidRPr="006A71C9">
        <w:t xml:space="preserve">merekomendasikan beberapa poin yang dianggap dapat meminimalisir potensi penyalahgunaan posisi dominan oleh perusahaan yang menguasai teknologi </w:t>
      </w:r>
      <w:r w:rsidR="002961BD" w:rsidRPr="002961BD">
        <w:rPr>
          <w:i/>
          <w:iCs/>
        </w:rPr>
        <w:t xml:space="preserve">Big </w:t>
      </w:r>
      <w:r w:rsidR="002961BD" w:rsidRPr="002961BD">
        <w:rPr>
          <w:i/>
          <w:iCs/>
        </w:rPr>
        <w:lastRenderedPageBreak/>
        <w:t>data</w:t>
      </w:r>
      <w:r w:rsidR="006A71C9" w:rsidRPr="006A71C9">
        <w:t xml:space="preserve">. </w:t>
      </w:r>
      <w:r>
        <w:t xml:space="preserve">Pertama, </w:t>
      </w:r>
      <w:r w:rsidR="006A71C9" w:rsidRPr="006A71C9">
        <w:t xml:space="preserve">menjaga askes </w:t>
      </w:r>
      <w:r w:rsidR="006A71C9" w:rsidRPr="006230A5">
        <w:rPr>
          <w:i/>
          <w:iCs/>
        </w:rPr>
        <w:t>multihoming</w:t>
      </w:r>
      <w:r w:rsidR="006A71C9" w:rsidRPr="006A71C9">
        <w:t xml:space="preserve"> bagi pengguna menjaga persyaratan yang bersifat eksklusif khususnya terkait akses bagi pengguna</w:t>
      </w:r>
      <w:r>
        <w:t>. Kedua,</w:t>
      </w:r>
      <w:r w:rsidR="006A71C9" w:rsidRPr="006A71C9">
        <w:t xml:space="preserve"> membuka akses yang diperlukan bagi usaha yang bersifat komplementer</w:t>
      </w:r>
      <w:r>
        <w:t>. Ketiga,</w:t>
      </w:r>
      <w:r w:rsidR="006A71C9" w:rsidRPr="006A71C9">
        <w:t xml:space="preserve"> serta pencegahan terhadap praktik yang bersifat </w:t>
      </w:r>
      <w:r w:rsidR="006A71C9" w:rsidRPr="006230A5">
        <w:rPr>
          <w:i/>
          <w:iCs/>
        </w:rPr>
        <w:t>defensive acquisition</w:t>
      </w:r>
      <w:r w:rsidR="006A71C9" w:rsidRPr="006A71C9">
        <w:t xml:space="preserve"> dan </w:t>
      </w:r>
      <w:r w:rsidR="006A71C9" w:rsidRPr="006230A5">
        <w:rPr>
          <w:i/>
          <w:iCs/>
        </w:rPr>
        <w:t>entry for buyout</w:t>
      </w:r>
      <w:r w:rsidR="006A71C9" w:rsidRPr="006A71C9">
        <w:t xml:space="preserve">. </w:t>
      </w:r>
    </w:p>
    <w:p w14:paraId="1EC46025" w14:textId="24F4A3B6" w:rsidR="00864FF8" w:rsidRDefault="006230A5" w:rsidP="00D769AA">
      <w:pPr>
        <w:pStyle w:val="Level3Content"/>
      </w:pPr>
      <w:r>
        <w:t>Selain yang dijabarkan di atas, d</w:t>
      </w:r>
      <w:r w:rsidR="006A71C9" w:rsidRPr="006A71C9">
        <w:t xml:space="preserve">alam praktik penegakan hukum persaingan di era digital, metode SSNDQ </w:t>
      </w:r>
      <w:r w:rsidRPr="006230A5">
        <w:t>(</w:t>
      </w:r>
      <w:r w:rsidRPr="006230A5">
        <w:rPr>
          <w:i/>
          <w:iCs/>
        </w:rPr>
        <w:t>Small But Significant And Non-Transitory Decrease In Quality</w:t>
      </w:r>
      <w:r w:rsidRPr="006230A5">
        <w:t>)</w:t>
      </w:r>
      <w:r>
        <w:t xml:space="preserve"> </w:t>
      </w:r>
      <w:r w:rsidR="006A71C9" w:rsidRPr="006A71C9">
        <w:t>dapat digunakan sebagai pengganti metode SSNIP (</w:t>
      </w:r>
      <w:r w:rsidRPr="006230A5">
        <w:rPr>
          <w:i/>
          <w:iCs/>
        </w:rPr>
        <w:t>Small but Significant and Non-transitory Increase in Price</w:t>
      </w:r>
      <w:r w:rsidR="006A71C9" w:rsidRPr="006A71C9">
        <w:t>)</w:t>
      </w:r>
      <w:r>
        <w:t xml:space="preserve"> yang digunakan oleh KPPU</w:t>
      </w:r>
      <w:bookmarkStart w:id="24" w:name="_Hlk163287430"/>
      <w:r>
        <w:t>.</w:t>
      </w:r>
      <w:r w:rsidR="001D0259">
        <w:rPr>
          <w:rStyle w:val="FootnoteReference"/>
        </w:rPr>
        <w:footnoteReference w:id="90"/>
      </w:r>
      <w:bookmarkEnd w:id="24"/>
      <w:r>
        <w:t xml:space="preserve"> Hal ini</w:t>
      </w:r>
      <w:r w:rsidR="006A71C9" w:rsidRPr="006A71C9">
        <w:t xml:space="preserve"> terutama saat </w:t>
      </w:r>
      <w:r>
        <w:t xml:space="preserve">menentukan pasar dan </w:t>
      </w:r>
      <w:r w:rsidR="006A71C9" w:rsidRPr="006A71C9">
        <w:t xml:space="preserve">menilai </w:t>
      </w:r>
      <w:r w:rsidR="002961BD" w:rsidRPr="002961BD">
        <w:rPr>
          <w:i/>
          <w:iCs/>
        </w:rPr>
        <w:t>Big data</w:t>
      </w:r>
      <w:r w:rsidR="006A71C9" w:rsidRPr="006A71C9">
        <w:t xml:space="preserve"> dalam hubungannya dengan posisi dominan di pasar digital, yang biasanya melibatkan transaksi non-keuangan. Hal ini memungkinkan KPPU sebagai Komisi Pengawas Persaingan Usaha untuk menjalankan tugasnya sebagai penegak hukum persaingan dengan memantau sejauh mana kualitas menderita ketika pelanggan atau pengguna beralih dari satu pelaku bisnis digital ke pelaku bisnis digital lainnya, keduanya beroperasi di pasar digital</w:t>
      </w:r>
      <w:bookmarkStart w:id="25" w:name="_Hlk163287438"/>
      <w:r w:rsidR="006A71C9" w:rsidRPr="006A71C9">
        <w:t>.</w:t>
      </w:r>
      <w:r w:rsidR="001D0259">
        <w:rPr>
          <w:rStyle w:val="FootnoteReference"/>
        </w:rPr>
        <w:footnoteReference w:id="91"/>
      </w:r>
      <w:bookmarkEnd w:id="25"/>
    </w:p>
    <w:p w14:paraId="2A22830A" w14:textId="73F92384" w:rsidR="006A71C9" w:rsidRDefault="00D769AA" w:rsidP="00D769AA">
      <w:pPr>
        <w:pStyle w:val="Level3Content"/>
      </w:pPr>
      <w:r w:rsidRPr="00D769AA">
        <w:t xml:space="preserve">Berdasarkan pemaparan di atas, sudah amat mendesak bagi KPPU untuk membuat regulasi mengenai merger digital di Indonesia pada umumnya, serta regulasi mengenai kepemilikan </w:t>
      </w:r>
      <w:r w:rsidR="002961BD" w:rsidRPr="002961BD">
        <w:rPr>
          <w:i/>
          <w:iCs/>
        </w:rPr>
        <w:t>Big data</w:t>
      </w:r>
      <w:r w:rsidRPr="00D769AA">
        <w:t xml:space="preserve"> serta dampaknya terhadap efektivitas kompetisi (</w:t>
      </w:r>
      <w:r w:rsidRPr="006230A5">
        <w:rPr>
          <w:i/>
          <w:iCs/>
        </w:rPr>
        <w:t>effective competition</w:t>
      </w:r>
      <w:r w:rsidRPr="00D769AA">
        <w:t xml:space="preserve">) di pasar digital, baik dampak tidak langsung maupun dampak langsung, seperti ketentuan mengenai </w:t>
      </w:r>
      <w:r w:rsidR="00FC31FF" w:rsidRPr="00FC31FF">
        <w:rPr>
          <w:i/>
          <w:iCs/>
        </w:rPr>
        <w:t>Essential Facility</w:t>
      </w:r>
      <w:r w:rsidRPr="00D769AA">
        <w:t>, pada khususnya. Dalam konteks regulasi kompetisi digital tersebut, terdapat korelasi positif antara analisis kompetisi terhadap meningkatnya posisi dominan pelaku usaha di pasar dengan analisis merger di pasar digital. Dengan kata lain, KPPU dapat melakukan prognosis secara menyeluruh, apakah dengan terlaksananya merger di pasar digital, maka suatu pelaku usaha akan secara gradual memperoleh posisi dominan atau meningkat intensitas posisi dominan tersebut. Proposisi ini sejalan dengan mandat yang diberikan kepada KPPU berdasarkan Pasal 2 dan Pasal 3 paragraf (a) Peraturan Komisi Nomor 01 tahun 2014 tentang Organisasi dan Tata Kerja KPPU serta Keputusan Presiden RI Nomor 75 tahun 1999 tentang Komisi Pengawas Persaingan Usaha yang menyatakan dengan eksplisit bahwa KPPU memiliki fungsi mengawasi dan menegakkan hukum larangan praktik monopoli dan persaingan usaha tidak sehat serta melakukan pencegahan dan pengawasan terjadinya praktik monopoli dan persaingan usaha tidak sehat, dalam konteks menjaga keberlangsungan kompetisi efektif di pasar digital di Indonesia.</w:t>
      </w:r>
    </w:p>
    <w:p w14:paraId="0B07C3A5" w14:textId="77777777" w:rsidR="00D769AA" w:rsidRPr="00E47DF7" w:rsidRDefault="00D769AA" w:rsidP="00C53C7A">
      <w:pPr>
        <w:pStyle w:val="Level3Content"/>
        <w:ind w:firstLine="0"/>
      </w:pPr>
    </w:p>
    <w:p w14:paraId="1EC46027" w14:textId="629E9D78" w:rsidR="00864FF8" w:rsidRPr="00530E28" w:rsidRDefault="00BD2BEA" w:rsidP="00BD53D7">
      <w:pPr>
        <w:pStyle w:val="Heading1"/>
        <w:ind w:left="567" w:hanging="567"/>
      </w:pPr>
      <w:bookmarkStart w:id="26" w:name="_Hlk163248344"/>
      <w:r>
        <w:t>Kesimpulan</w:t>
      </w:r>
    </w:p>
    <w:bookmarkEnd w:id="26"/>
    <w:p w14:paraId="03650C7E" w14:textId="0C878353" w:rsidR="00CD2D49" w:rsidRPr="00CD2D49" w:rsidRDefault="00CD2D49" w:rsidP="00CD2D49">
      <w:pPr>
        <w:spacing w:after="0" w:line="276" w:lineRule="auto"/>
        <w:ind w:firstLine="567"/>
        <w:rPr>
          <w:szCs w:val="22"/>
          <w:lang w:val="en-ID"/>
        </w:rPr>
      </w:pPr>
      <w:r w:rsidRPr="00CD2D49">
        <w:rPr>
          <w:szCs w:val="22"/>
          <w:lang w:val="en-ID"/>
        </w:rPr>
        <w:t xml:space="preserve">Dalam era digital, penguasaan dan pengolahan data pribadi menjadi faktor kunci dalam kriteria teknologi dan inovasi, namun juga dapat menjadi hambatan bagi pelaku baru untuk memasuki pasar. Eksploitasi data pribadi dapat memperkuat dugaan terhadap keberadaan posisi dominan oleh perusahaan tertentu, dengan dampak yang mencakup peningkatan layanan dan inovasi, serta menjadi hambatan bagi pesaing yang tidak memiliki akses atau kendali terhadap data yang sama. Fenomena </w:t>
      </w:r>
      <w:r w:rsidRPr="00CD2D49">
        <w:rPr>
          <w:i/>
          <w:iCs/>
          <w:szCs w:val="22"/>
          <w:lang w:val="en-ID"/>
        </w:rPr>
        <w:t>feedback loops</w:t>
      </w:r>
      <w:r w:rsidRPr="00CD2D49">
        <w:rPr>
          <w:szCs w:val="22"/>
          <w:lang w:val="en-ID"/>
        </w:rPr>
        <w:t xml:space="preserve"> menjelaskan keterkaitan erat antara penggunaan data dan peningkatan posisi dominan, di mana perusahaan yang menguasai data dapat menggunakan pendapatan untuk meningkatkan layanan dan inovasi, yang pada gilirannya memperkuat retensi pengguna.</w:t>
      </w:r>
    </w:p>
    <w:p w14:paraId="5BCC2DD9" w14:textId="45C5B0D0" w:rsidR="00CD2D49" w:rsidRPr="00CD2D49" w:rsidRDefault="00CD2D49" w:rsidP="00CD2D49">
      <w:pPr>
        <w:spacing w:after="0" w:line="276" w:lineRule="auto"/>
        <w:ind w:firstLine="567"/>
        <w:rPr>
          <w:szCs w:val="22"/>
          <w:lang w:val="fr-FR"/>
        </w:rPr>
      </w:pPr>
      <w:r>
        <w:rPr>
          <w:szCs w:val="22"/>
          <w:lang w:val="en-ID"/>
        </w:rPr>
        <w:t xml:space="preserve">Upaya </w:t>
      </w:r>
      <w:r w:rsidRPr="00CD2D49">
        <w:rPr>
          <w:szCs w:val="22"/>
          <w:lang w:val="en-ID"/>
        </w:rPr>
        <w:t xml:space="preserve">menetapkan perilaku eksploitasi data pribadi sebagai bentuk penyalahgunaan posisi dominan di pasar digital, kriteria yang diberikan oleh Pasal 25 UU 5/1999 dan PKPPU 5/2010 menjadi </w:t>
      </w:r>
      <w:r w:rsidRPr="00CD2D49">
        <w:rPr>
          <w:szCs w:val="22"/>
          <w:lang w:val="en-ID"/>
        </w:rPr>
        <w:lastRenderedPageBreak/>
        <w:t xml:space="preserve">pedoman. Hal ini mencakup pendefinisian pasar, pembuktian posisi dominan penyedia layanan digital, dan pembuktian perilaku penyalahgunaan posisi dominan di pasar digital. Namun, tantangan muncul dalam definisi pasar yang tepat, terutama karena eksploitasi data pribadi melintasi berbagai dimensi pasar dan adanya model bisnis dengan pasar harga nol. </w:t>
      </w:r>
      <w:r w:rsidRPr="00CD2D49">
        <w:rPr>
          <w:szCs w:val="22"/>
          <w:lang w:val="fr-FR"/>
        </w:rPr>
        <w:t>Kemudian, pembuktian posisi dominan juga menjadi kompleks karena fenomena harga nol dan kurangnya alternatif yang sesuai. Selain itu, pembuktian perilaku penyalahgunaan posisi dominan melalui eksploitasi data pribadi meliputi penetapan syarat perdagangan, pembatasan pasar dan pengembangan teknologi, serta penghambatan pesaing potensial. Dampak eksploitasi data pribadi menciptakan ketidaksetaraan dalam pasar dan mengurangi tekanan persaingan yang diperlukan untuk mendorong inovasi.</w:t>
      </w:r>
    </w:p>
    <w:p w14:paraId="0A8276AA" w14:textId="5B7D9E2E" w:rsidR="00BD53D7" w:rsidRPr="00CD2D49" w:rsidRDefault="00CD2D49" w:rsidP="00CD2D49">
      <w:pPr>
        <w:spacing w:after="0" w:line="276" w:lineRule="auto"/>
        <w:ind w:firstLine="567"/>
        <w:rPr>
          <w:szCs w:val="22"/>
          <w:lang w:val="fr-FR"/>
        </w:rPr>
      </w:pPr>
      <w:r w:rsidRPr="00CD2D49">
        <w:rPr>
          <w:szCs w:val="22"/>
          <w:lang w:val="fr-FR"/>
        </w:rPr>
        <w:t xml:space="preserve">Oleh karena itu, perlindungan terhadap persaingan yang sehat dan keadilan dalam akses serta penggunaan data pribadi menjadi esensial dalam menjaga integritas pasar digital. Selain mengacu pada undang-undang, pendekatan </w:t>
      </w:r>
      <w:r w:rsidRPr="00CD2D49">
        <w:rPr>
          <w:i/>
          <w:iCs/>
          <w:szCs w:val="22"/>
          <w:lang w:val="fr-FR"/>
        </w:rPr>
        <w:t>per se illegal</w:t>
      </w:r>
      <w:r w:rsidRPr="00CD2D49">
        <w:rPr>
          <w:szCs w:val="22"/>
          <w:lang w:val="fr-FR"/>
        </w:rPr>
        <w:t xml:space="preserve"> dapat diterapkan terhadap eksploitasi data pribadi karena sifat inheren dari praktik tersebut yang melanggar privasi dan hak-hak individu. Regulasi yang komprehensif diperlukan untuk memastikan perlindungan konsumen dan mencegah praktik monopoli serta persaingan usaha tidak sehat di pasar digital. Saran kebijakan yang telah dijabarkan, seperti penerapan </w:t>
      </w:r>
      <w:r w:rsidRPr="00CD2D49">
        <w:rPr>
          <w:i/>
          <w:iCs/>
          <w:szCs w:val="22"/>
          <w:lang w:val="fr-FR"/>
        </w:rPr>
        <w:t>Code of Conduct</w:t>
      </w:r>
      <w:r w:rsidRPr="00CD2D49">
        <w:rPr>
          <w:szCs w:val="22"/>
          <w:lang w:val="fr-FR"/>
        </w:rPr>
        <w:t xml:space="preserve">, promosi </w:t>
      </w:r>
      <w:r w:rsidRPr="00CD2D49">
        <w:rPr>
          <w:i/>
          <w:iCs/>
          <w:szCs w:val="22"/>
          <w:lang w:val="fr-FR"/>
        </w:rPr>
        <w:t>data mobility</w:t>
      </w:r>
      <w:r w:rsidRPr="00CD2D49">
        <w:rPr>
          <w:szCs w:val="22"/>
          <w:lang w:val="fr-FR"/>
        </w:rPr>
        <w:t xml:space="preserve"> dan </w:t>
      </w:r>
      <w:r w:rsidRPr="00CD2D49">
        <w:rPr>
          <w:i/>
          <w:iCs/>
          <w:szCs w:val="22"/>
          <w:lang w:val="fr-FR"/>
        </w:rPr>
        <w:t>open standards</w:t>
      </w:r>
      <w:r w:rsidRPr="00CD2D49">
        <w:rPr>
          <w:szCs w:val="22"/>
          <w:lang w:val="fr-FR"/>
        </w:rPr>
        <w:t>, serta langkah-langkah teknis untuk meminimalisir penyalahgunaan posisi dominan oleh perusahaan teknologi, menjadi langkah penting dalam menjaga kompetisi yang sehat dan inovasi di pasar digital.</w:t>
      </w:r>
    </w:p>
    <w:bookmarkEnd w:id="1"/>
    <w:p w14:paraId="6854C585" w14:textId="77777777" w:rsidR="00BD53D7" w:rsidRPr="00CD2D49" w:rsidRDefault="00BD53D7" w:rsidP="00BD53D7">
      <w:pPr>
        <w:spacing w:after="0" w:line="276" w:lineRule="auto"/>
        <w:rPr>
          <w:szCs w:val="22"/>
          <w:lang w:val="fr-FR"/>
        </w:rPr>
      </w:pPr>
    </w:p>
    <w:p w14:paraId="1EC4602E" w14:textId="4291A7E0" w:rsidR="00864FF8" w:rsidRPr="0001574B" w:rsidRDefault="00E07BE9" w:rsidP="00F05306">
      <w:pPr>
        <w:pStyle w:val="Heading1"/>
        <w:numPr>
          <w:ilvl w:val="0"/>
          <w:numId w:val="0"/>
        </w:numPr>
        <w:ind w:left="567" w:hanging="567"/>
        <w:rPr>
          <w:lang w:val="sv-SE"/>
        </w:rPr>
      </w:pPr>
      <w:bookmarkStart w:id="27" w:name="_Hlk163248443"/>
      <w:r w:rsidRPr="0001574B">
        <w:rPr>
          <w:lang w:val="sv-SE"/>
        </w:rPr>
        <w:t>Refere</w:t>
      </w:r>
      <w:r w:rsidR="00B16151">
        <w:rPr>
          <w:lang w:val="sv-SE"/>
        </w:rPr>
        <w:t>nsi</w:t>
      </w:r>
    </w:p>
    <w:p w14:paraId="6A0C4D1C" w14:textId="77777777" w:rsidR="003F2810" w:rsidRPr="003F2810" w:rsidRDefault="003F2810" w:rsidP="003F2810">
      <w:pPr>
        <w:spacing w:after="0" w:line="276" w:lineRule="auto"/>
        <w:ind w:left="567" w:hanging="567"/>
        <w:rPr>
          <w:lang w:val="id-ID"/>
        </w:rPr>
      </w:pPr>
      <w:r w:rsidRPr="003F2810">
        <w:rPr>
          <w:lang w:val="id-ID"/>
        </w:rPr>
        <w:t>“8 Poin Kebijakan Privasi Baru WhatsApp Paksa Setor Data Ke Fb.” Accessed August 11, 2023. https://www.cnnindonesia.com/teknologi/20210107140044-185-590685/8-poin-kebijakan-privasi-baru-whatsapp-paksa-setor-data-ke-fb.</w:t>
      </w:r>
    </w:p>
    <w:p w14:paraId="74F72082" w14:textId="77777777" w:rsidR="003F2810" w:rsidRPr="003F2810" w:rsidRDefault="003F2810" w:rsidP="003F2810">
      <w:pPr>
        <w:spacing w:after="0" w:line="276" w:lineRule="auto"/>
        <w:ind w:left="567" w:hanging="567"/>
        <w:rPr>
          <w:lang w:val="id-ID"/>
        </w:rPr>
      </w:pPr>
      <w:r w:rsidRPr="003F2810">
        <w:rPr>
          <w:lang w:val="id-ID"/>
        </w:rPr>
        <w:t>Abrahamson, Zachary. “Essential Data.” Yale LJ 124 (2014): 867.</w:t>
      </w:r>
    </w:p>
    <w:p w14:paraId="47A7064D" w14:textId="77777777" w:rsidR="003F2810" w:rsidRPr="003F2810" w:rsidRDefault="003F2810" w:rsidP="003F2810">
      <w:pPr>
        <w:spacing w:after="0" w:line="276" w:lineRule="auto"/>
        <w:ind w:left="567" w:hanging="567"/>
        <w:rPr>
          <w:lang w:val="id-ID"/>
        </w:rPr>
      </w:pPr>
      <w:r w:rsidRPr="003F2810">
        <w:rPr>
          <w:lang w:val="id-ID"/>
        </w:rPr>
        <w:t>Alleman, James, Edmond Baranes, and Paul N. Rappoport. “Multisided Markets and Platform Dominance.” In Applied Economics in the Digital Era, edited by James Alleman, Paul N. Rappoport, and Mohsen Hamoudia, 303–23. Cham: Springer International Publishing, 2020. https://doi.org/10.1007/978-3-030-40601-1_14.</w:t>
      </w:r>
    </w:p>
    <w:p w14:paraId="6DA9812D" w14:textId="77777777" w:rsidR="003F2810" w:rsidRPr="003F2810" w:rsidRDefault="003F2810" w:rsidP="003F2810">
      <w:pPr>
        <w:spacing w:after="0" w:line="276" w:lineRule="auto"/>
        <w:ind w:left="567" w:hanging="567"/>
        <w:rPr>
          <w:lang w:val="id-ID"/>
        </w:rPr>
      </w:pPr>
      <w:r w:rsidRPr="003F2810">
        <w:rPr>
          <w:lang w:val="id-ID"/>
        </w:rPr>
        <w:t>Aridi, Anwar, and Urska Petrovcic. “Big Tech, Small Tech, and the Data Economy,” 2019. https://openknowledge.worldbank.org/handle/10986/33124.</w:t>
      </w:r>
    </w:p>
    <w:p w14:paraId="1ACD86F3" w14:textId="77777777" w:rsidR="003F2810" w:rsidRPr="003F2810" w:rsidRDefault="003F2810" w:rsidP="003F2810">
      <w:pPr>
        <w:spacing w:after="0" w:line="276" w:lineRule="auto"/>
        <w:ind w:left="567" w:hanging="567"/>
        <w:rPr>
          <w:lang w:val="id-ID"/>
        </w:rPr>
      </w:pPr>
      <w:r w:rsidRPr="003F2810">
        <w:rPr>
          <w:lang w:val="id-ID"/>
        </w:rPr>
        <w:t>Bernie, Mohammad. “Ketika Kebijakan Privasi Terbaru Tokopedia Ancam Data Pengguna.” tirto.id. Accessed August 11, 2023. https://tirto.id/ketika-kebijakan-privasi-terbaru-tokopedia-ancam-data-pengguna-gae9.</w:t>
      </w:r>
    </w:p>
    <w:p w14:paraId="59BEC575" w14:textId="77777777" w:rsidR="003F2810" w:rsidRPr="003F2810" w:rsidRDefault="003F2810" w:rsidP="003F2810">
      <w:pPr>
        <w:spacing w:after="0" w:line="276" w:lineRule="auto"/>
        <w:ind w:left="567" w:hanging="567"/>
        <w:rPr>
          <w:lang w:val="id-ID"/>
        </w:rPr>
      </w:pPr>
      <w:r w:rsidRPr="003F2810">
        <w:rPr>
          <w:lang w:val="id-ID"/>
        </w:rPr>
        <w:t>Bernie, Mohammad. “Tokopedia Ubah Kebijakan Privasi, Apa Dampaknya ke Data Pribadi?” tirto.id. Accessed August 11, 2023. https://tirto.id/tokopedia-ubah-kebijakan-privasi-apa-dampaknya-ke-data-pribadi-gadU.</w:t>
      </w:r>
    </w:p>
    <w:p w14:paraId="06AA07A7" w14:textId="77777777" w:rsidR="003F2810" w:rsidRPr="003F2810" w:rsidRDefault="003F2810" w:rsidP="003F2810">
      <w:pPr>
        <w:spacing w:after="0" w:line="276" w:lineRule="auto"/>
        <w:ind w:left="567" w:hanging="567"/>
        <w:rPr>
          <w:lang w:val="id-ID"/>
        </w:rPr>
      </w:pPr>
      <w:r w:rsidRPr="003F2810">
        <w:rPr>
          <w:lang w:val="id-ID"/>
        </w:rPr>
        <w:t>Botta, Marco, and Klaus Wiedemann. “EU Competition Law Enforcement Vis-à-Vis Exploitative Conducts in the Data Economy Exploring the Terra Incognita.” Max Planck Institute for Innovation &amp; Competition Research Paper, no. 18–08 (2018).</w:t>
      </w:r>
    </w:p>
    <w:p w14:paraId="43F44598" w14:textId="77777777" w:rsidR="003F2810" w:rsidRPr="003F2810" w:rsidRDefault="003F2810" w:rsidP="003F2810">
      <w:pPr>
        <w:spacing w:after="0" w:line="276" w:lineRule="auto"/>
        <w:ind w:left="567" w:hanging="567"/>
        <w:rPr>
          <w:lang w:val="id-ID"/>
        </w:rPr>
      </w:pPr>
      <w:r w:rsidRPr="003F2810">
        <w:rPr>
          <w:lang w:val="id-ID"/>
        </w:rPr>
        <w:t>Castellanos Pfeiffer, Roberto Augusto. “Digital Economy, Big Data and Competition Law.” Mkt. &amp; Competition L. Rev. 3 (2019): 53.</w:t>
      </w:r>
    </w:p>
    <w:p w14:paraId="0D1EAD57" w14:textId="77777777" w:rsidR="003F2810" w:rsidRPr="003F2810" w:rsidRDefault="003F2810" w:rsidP="003F2810">
      <w:pPr>
        <w:spacing w:after="0" w:line="276" w:lineRule="auto"/>
        <w:ind w:left="567" w:hanging="567"/>
        <w:rPr>
          <w:lang w:val="id-ID"/>
        </w:rPr>
      </w:pPr>
      <w:r w:rsidRPr="003F2810">
        <w:rPr>
          <w:lang w:val="id-ID"/>
        </w:rPr>
        <w:t>Co-operation, Organisation for Economic and Development. Exploring Data-Driven Innovation as a New Source of Growth: Mapping the Policy Issues Raised by" Big Data". OECD Publishing, 2013.</w:t>
      </w:r>
    </w:p>
    <w:p w14:paraId="6CECA344" w14:textId="77777777" w:rsidR="003F2810" w:rsidRPr="003F2810" w:rsidRDefault="003F2810" w:rsidP="003F2810">
      <w:pPr>
        <w:spacing w:after="0" w:line="276" w:lineRule="auto"/>
        <w:ind w:left="567" w:hanging="567"/>
        <w:rPr>
          <w:lang w:val="id-ID"/>
        </w:rPr>
      </w:pPr>
      <w:r w:rsidRPr="003F2810">
        <w:rPr>
          <w:lang w:val="id-ID"/>
        </w:rPr>
        <w:t>Cyriac, Noby Thomas. Big Data and the Abuse of Dominance by Multi-Sided Platforms: An Analysis of Art. 102 TFEU. Vol. 85. Nomos Verlag, 2022.</w:t>
      </w:r>
    </w:p>
    <w:p w14:paraId="4D405E8A" w14:textId="77777777" w:rsidR="003F2810" w:rsidRPr="003F2810" w:rsidRDefault="003F2810" w:rsidP="003F2810">
      <w:pPr>
        <w:spacing w:after="0" w:line="276" w:lineRule="auto"/>
        <w:ind w:left="567" w:hanging="567"/>
        <w:rPr>
          <w:lang w:val="id-ID"/>
        </w:rPr>
      </w:pPr>
      <w:r w:rsidRPr="003F2810">
        <w:rPr>
          <w:lang w:val="id-ID"/>
        </w:rPr>
        <w:lastRenderedPageBreak/>
        <w:t>De Mauro, Andrea, Marco Greco, and Michele Grimaldi. “A Formal Definition of Big Data Based on Its Essential Features.” Library Review 65, no. 3 (2016): 122–35.</w:t>
      </w:r>
    </w:p>
    <w:p w14:paraId="3977B145" w14:textId="77777777" w:rsidR="003F2810" w:rsidRPr="003F2810" w:rsidRDefault="003F2810" w:rsidP="003F2810">
      <w:pPr>
        <w:spacing w:after="0" w:line="276" w:lineRule="auto"/>
        <w:ind w:left="567" w:hanging="567"/>
        <w:rPr>
          <w:lang w:val="id-ID"/>
        </w:rPr>
      </w:pPr>
      <w:r w:rsidRPr="003F2810">
        <w:rPr>
          <w:lang w:val="id-ID"/>
        </w:rPr>
        <w:t>Disyon, Huta, and Elisatris Gultom. “Critical Review of the Implementation of the Making of SOE as a Holding from Anti-Monopoly and Unfair Business Competition Perspective.” Jurnal Penelitian Hukum De Jure 22, no. 2 (2022): 191–204.</w:t>
      </w:r>
    </w:p>
    <w:p w14:paraId="3FD87570" w14:textId="77777777" w:rsidR="003F2810" w:rsidRPr="003F2810" w:rsidRDefault="003F2810" w:rsidP="003F2810">
      <w:pPr>
        <w:spacing w:after="0" w:line="276" w:lineRule="auto"/>
        <w:ind w:left="567" w:hanging="567"/>
        <w:rPr>
          <w:lang w:val="id-ID"/>
        </w:rPr>
      </w:pPr>
      <w:r w:rsidRPr="003F2810">
        <w:rPr>
          <w:lang w:val="id-ID"/>
        </w:rPr>
        <w:t>Doherty, Barry. “Just What Are Essential Facilities?” Common Market Law Review 38, no. 2 (2001).</w:t>
      </w:r>
    </w:p>
    <w:p w14:paraId="6E1E2D90" w14:textId="77777777" w:rsidR="003F2810" w:rsidRPr="003F2810" w:rsidRDefault="003F2810" w:rsidP="003F2810">
      <w:pPr>
        <w:spacing w:after="0" w:line="276" w:lineRule="auto"/>
        <w:ind w:left="567" w:hanging="567"/>
        <w:rPr>
          <w:lang w:val="id-ID"/>
        </w:rPr>
      </w:pPr>
      <w:r w:rsidRPr="003F2810">
        <w:rPr>
          <w:lang w:val="id-ID"/>
        </w:rPr>
        <w:t>Efendi, Aan, Dyah Ochtorina Susanti, and Rahmadi Indra Tektona. Penelitian Hukum Doktrinal. Yogyakarta: LaksBang Justitia, n.d.</w:t>
      </w:r>
    </w:p>
    <w:p w14:paraId="16C6F263" w14:textId="77777777" w:rsidR="003F2810" w:rsidRPr="003F2810" w:rsidRDefault="003F2810" w:rsidP="003F2810">
      <w:pPr>
        <w:spacing w:after="0" w:line="276" w:lineRule="auto"/>
        <w:ind w:left="567" w:hanging="567"/>
        <w:rPr>
          <w:lang w:val="id-ID"/>
        </w:rPr>
      </w:pPr>
      <w:r w:rsidRPr="003F2810">
        <w:rPr>
          <w:lang w:val="id-ID"/>
        </w:rPr>
        <w:t>European Commission - European Commission. “Antitrust: Commission Fines Google €2.42 Billion.” Text. Accessed August 11, 2023. https://ec.europa.eu/commission/presscorner/detail/en/IP_17_1784.</w:t>
      </w:r>
    </w:p>
    <w:p w14:paraId="694D8A37" w14:textId="77777777" w:rsidR="003F2810" w:rsidRPr="003F2810" w:rsidRDefault="003F2810" w:rsidP="003F2810">
      <w:pPr>
        <w:spacing w:after="0" w:line="276" w:lineRule="auto"/>
        <w:ind w:left="567" w:hanging="567"/>
        <w:rPr>
          <w:lang w:val="id-ID"/>
        </w:rPr>
      </w:pPr>
      <w:r w:rsidRPr="003F2810">
        <w:rPr>
          <w:lang w:val="id-ID"/>
        </w:rPr>
        <w:t>Ezrachi, Ariel. Virtual Competition: The Promise and Perils of the Algorithm-Driven Economy. Harvard University Press, 2016..</w:t>
      </w:r>
    </w:p>
    <w:p w14:paraId="5EBC6068" w14:textId="77777777" w:rsidR="003F2810" w:rsidRPr="003F2810" w:rsidRDefault="003F2810" w:rsidP="003F2810">
      <w:pPr>
        <w:spacing w:after="0" w:line="276" w:lineRule="auto"/>
        <w:ind w:left="567" w:hanging="567"/>
        <w:rPr>
          <w:lang w:val="id-ID"/>
        </w:rPr>
      </w:pPr>
      <w:r w:rsidRPr="003F2810">
        <w:rPr>
          <w:lang w:val="id-ID"/>
        </w:rPr>
        <w:t>Frischmann, Brett, and Spencer Weber Waller. “Revitalizing Essential Facilities.” AntitrUSt lJ 75 (2008): 1.</w:t>
      </w:r>
    </w:p>
    <w:p w14:paraId="7BCB5C5B" w14:textId="77777777" w:rsidR="003F2810" w:rsidRPr="003F2810" w:rsidRDefault="003F2810" w:rsidP="003F2810">
      <w:pPr>
        <w:spacing w:after="0" w:line="276" w:lineRule="auto"/>
        <w:ind w:left="567" w:hanging="567"/>
        <w:rPr>
          <w:lang w:val="id-ID"/>
        </w:rPr>
      </w:pPr>
      <w:r w:rsidRPr="003F2810">
        <w:rPr>
          <w:lang w:val="id-ID"/>
        </w:rPr>
        <w:t>Gabathuler, Silvan, Roland Müller, and Walter Brenner. “Big Data Management in Theorie Und Praxis Aus Rechtlicher Sicht.” PhD Thesis, Universität St. Gallen, 2018..</w:t>
      </w:r>
    </w:p>
    <w:p w14:paraId="43A30273" w14:textId="77777777" w:rsidR="003F2810" w:rsidRPr="003F2810" w:rsidRDefault="003F2810" w:rsidP="003F2810">
      <w:pPr>
        <w:spacing w:after="0" w:line="276" w:lineRule="auto"/>
        <w:ind w:left="567" w:hanging="567"/>
        <w:rPr>
          <w:lang w:val="id-ID"/>
        </w:rPr>
      </w:pPr>
      <w:r w:rsidRPr="003F2810">
        <w:rPr>
          <w:lang w:val="id-ID"/>
        </w:rPr>
        <w:t>Gerber, Nina, Paul Gerber, and Melanie Volkamer. “Explaining the Privacy Paradox: A Systematic Review of Literature Investigating Privacy Attitude and Behavior.” Computers &amp; Security 77 (2018): 226–61.</w:t>
      </w:r>
    </w:p>
    <w:p w14:paraId="5FA1C520" w14:textId="77777777" w:rsidR="003F2810" w:rsidRPr="003F2810" w:rsidRDefault="003F2810" w:rsidP="003F2810">
      <w:pPr>
        <w:spacing w:after="0" w:line="276" w:lineRule="auto"/>
        <w:ind w:left="567" w:hanging="567"/>
        <w:rPr>
          <w:lang w:val="id-ID"/>
        </w:rPr>
      </w:pPr>
      <w:r w:rsidRPr="003F2810">
        <w:rPr>
          <w:lang w:val="id-ID"/>
        </w:rPr>
        <w:t>Graef, Inge. EU Competition Law, Data Protection and Online Platforms: Data as Essential Facility: Data as Essential Facility. Kluwer Law International BV, 2016..</w:t>
      </w:r>
    </w:p>
    <w:p w14:paraId="5C14442D" w14:textId="77777777" w:rsidR="003F2810" w:rsidRPr="003F2810" w:rsidRDefault="003F2810" w:rsidP="003F2810">
      <w:pPr>
        <w:spacing w:after="0" w:line="276" w:lineRule="auto"/>
        <w:ind w:left="567" w:hanging="567"/>
        <w:rPr>
          <w:lang w:val="id-ID"/>
        </w:rPr>
      </w:pPr>
      <w:r w:rsidRPr="003F2810">
        <w:rPr>
          <w:lang w:val="id-ID"/>
        </w:rPr>
        <w:t>Graef, Inge. “Rethinking the Essential Facilities Doctrine for the EU Digital Economy.” RJT Ns 53 (2019): 33.</w:t>
      </w:r>
    </w:p>
    <w:p w14:paraId="10884D3D" w14:textId="77777777" w:rsidR="003F2810" w:rsidRPr="003F2810" w:rsidRDefault="003F2810" w:rsidP="003F2810">
      <w:pPr>
        <w:spacing w:after="0" w:line="276" w:lineRule="auto"/>
        <w:ind w:left="567" w:hanging="567"/>
        <w:rPr>
          <w:lang w:val="id-ID"/>
        </w:rPr>
      </w:pPr>
      <w:r w:rsidRPr="003F2810">
        <w:rPr>
          <w:lang w:val="id-ID"/>
        </w:rPr>
        <w:t>Hayashi, Shuya, and Koki Arai. “Competition in Multisided Markets.” In Digitalization and Competition Policy in Japan, by Shuya Hayashi and Koki Arai, 103–26. Singapore: Springer Nature Singapore, 2024..</w:t>
      </w:r>
    </w:p>
    <w:p w14:paraId="5807DD4C" w14:textId="77777777" w:rsidR="003F2810" w:rsidRPr="003F2810" w:rsidRDefault="003F2810" w:rsidP="003F2810">
      <w:pPr>
        <w:spacing w:after="0" w:line="276" w:lineRule="auto"/>
        <w:ind w:left="567" w:hanging="567"/>
        <w:rPr>
          <w:lang w:val="id-ID"/>
        </w:rPr>
      </w:pPr>
      <w:r w:rsidRPr="003F2810">
        <w:rPr>
          <w:lang w:val="id-ID"/>
        </w:rPr>
        <w:t>Hayati, Adis Nur. “Analisis Tantangan Dan Penegakan Hukum Persaingan Usaha Pada Sektor E-Commerce Di Indonesia.” Jurnal Penelitian Hukum De Jure 21, no. 1 (2021): 109–22.</w:t>
      </w:r>
    </w:p>
    <w:p w14:paraId="40C19908" w14:textId="77777777" w:rsidR="003F2810" w:rsidRPr="003F2810" w:rsidRDefault="003F2810" w:rsidP="003F2810">
      <w:pPr>
        <w:spacing w:after="0" w:line="276" w:lineRule="auto"/>
        <w:ind w:left="567" w:hanging="567"/>
        <w:rPr>
          <w:lang w:val="id-ID"/>
        </w:rPr>
      </w:pPr>
      <w:r w:rsidRPr="003F2810">
        <w:rPr>
          <w:lang w:val="id-ID"/>
        </w:rPr>
        <w:t>Holková Lubyová, Linda. “Big Data in the EU Competition Law.” Charles University in Prague Faculty of Law Research Paper No, 2018..</w:t>
      </w:r>
    </w:p>
    <w:p w14:paraId="5E189B60" w14:textId="77777777" w:rsidR="003F2810" w:rsidRPr="003F2810" w:rsidRDefault="003F2810" w:rsidP="003F2810">
      <w:pPr>
        <w:spacing w:after="0" w:line="276" w:lineRule="auto"/>
        <w:ind w:left="567" w:hanging="567"/>
        <w:rPr>
          <w:lang w:val="id-ID"/>
        </w:rPr>
      </w:pPr>
      <w:r w:rsidRPr="003F2810">
        <w:rPr>
          <w:lang w:val="id-ID"/>
        </w:rPr>
        <w:t>Hutchinson, Christophe Samuel, Gulnara Fliurovna Ruchkina, and Sergei Guerasimovich Pavlikov. “Tacit Collusion on Steroids: The Potential Risks for Competition Resulting from the Use of Algorithm Technology by Companies.” Sustainability 13, no. 2 (2021): 951.</w:t>
      </w:r>
    </w:p>
    <w:p w14:paraId="710D990C" w14:textId="77777777" w:rsidR="003F2810" w:rsidRPr="003F2810" w:rsidRDefault="003F2810" w:rsidP="003F2810">
      <w:pPr>
        <w:spacing w:after="0" w:line="276" w:lineRule="auto"/>
        <w:ind w:left="567" w:hanging="567"/>
        <w:rPr>
          <w:lang w:val="id-ID"/>
        </w:rPr>
      </w:pPr>
      <w:r w:rsidRPr="003F2810">
        <w:rPr>
          <w:lang w:val="id-ID"/>
        </w:rPr>
        <w:t>Kurdoglu, Berkay, and Caglar Deniz Ata. “Data Economics and Competition Law.” Digital L. Rev. 3 (2021): 266.</w:t>
      </w:r>
    </w:p>
    <w:p w14:paraId="31B56622" w14:textId="77777777" w:rsidR="003F2810" w:rsidRPr="003F2810" w:rsidRDefault="003F2810" w:rsidP="003F2810">
      <w:pPr>
        <w:spacing w:after="0" w:line="276" w:lineRule="auto"/>
        <w:ind w:left="567" w:hanging="567"/>
        <w:rPr>
          <w:lang w:val="id-ID"/>
        </w:rPr>
      </w:pPr>
      <w:r w:rsidRPr="003F2810">
        <w:rPr>
          <w:lang w:val="id-ID"/>
        </w:rPr>
        <w:t>Kurniawan, Faizal, Moch Marsa Tauﬁqurrohman, and Xavier Nugraha. “Legal Protection Of Trade Secrets Over The Potential Disposal Of Trade Secrets Under The Re-Engineering Precautions” Jurnal Ilmiah Kebijakan Hukum 16, no. 2 (2021): 17.</w:t>
      </w:r>
    </w:p>
    <w:p w14:paraId="171BFB19" w14:textId="77777777" w:rsidR="003F2810" w:rsidRPr="003F2810" w:rsidRDefault="003F2810" w:rsidP="003F2810">
      <w:pPr>
        <w:spacing w:after="0" w:line="276" w:lineRule="auto"/>
        <w:ind w:left="567" w:hanging="567"/>
        <w:rPr>
          <w:lang w:val="id-ID"/>
        </w:rPr>
      </w:pPr>
      <w:r w:rsidRPr="003F2810">
        <w:rPr>
          <w:lang w:val="id-ID"/>
        </w:rPr>
        <w:t>Lao, Marina. “Search, Essential Facilities, and the Antitrust Duty to Deal.” Nw. J. Tech. &amp; Intell. Prop. 11 (2012): 275.</w:t>
      </w:r>
    </w:p>
    <w:p w14:paraId="277CB245" w14:textId="77777777" w:rsidR="003F2810" w:rsidRPr="003F2810" w:rsidRDefault="003F2810" w:rsidP="003F2810">
      <w:pPr>
        <w:spacing w:after="0" w:line="276" w:lineRule="auto"/>
        <w:ind w:left="567" w:hanging="567"/>
        <w:rPr>
          <w:lang w:val="id-ID"/>
        </w:rPr>
      </w:pPr>
      <w:r w:rsidRPr="003F2810">
        <w:rPr>
          <w:lang w:val="id-ID"/>
        </w:rPr>
        <w:t>Lee, Cassey. “Competition Policy in the Age of Algorithms: Challenges for Indonesia.” Bulletin of Indonesian Economic Studies 58, no. 3 (2022): 297–312.</w:t>
      </w:r>
    </w:p>
    <w:p w14:paraId="75CFBFC7" w14:textId="77777777" w:rsidR="003F2810" w:rsidRPr="003F2810" w:rsidRDefault="003F2810" w:rsidP="003F2810">
      <w:pPr>
        <w:spacing w:after="0" w:line="276" w:lineRule="auto"/>
        <w:ind w:left="567" w:hanging="567"/>
        <w:rPr>
          <w:lang w:val="id-ID"/>
        </w:rPr>
      </w:pPr>
      <w:r w:rsidRPr="003F2810">
        <w:rPr>
          <w:lang w:val="id-ID"/>
        </w:rPr>
        <w:t>Mays, Lisa. “The Consequences of Search Bias: How Application of the Essential Facilities Doctrine Remedies Google’s Unrestricted Monopoly on Search in the United States and Europe.” Geo. Wash. L. Rev. 83 (2014): 721.</w:t>
      </w:r>
    </w:p>
    <w:p w14:paraId="3DFD36C5" w14:textId="77777777" w:rsidR="003F2810" w:rsidRPr="003F2810" w:rsidRDefault="003F2810" w:rsidP="003F2810">
      <w:pPr>
        <w:spacing w:after="0" w:line="276" w:lineRule="auto"/>
        <w:ind w:left="567" w:hanging="567"/>
        <w:rPr>
          <w:lang w:val="id-ID"/>
        </w:rPr>
      </w:pPr>
      <w:r w:rsidRPr="003F2810">
        <w:rPr>
          <w:lang w:val="id-ID"/>
        </w:rPr>
        <w:lastRenderedPageBreak/>
        <w:t>Mediatama, Grahanusa. “Benarkah kebijakan privasi baru WhatsApp serahkan data ke Facebook? ini penjelasannya.” PT. Kontan Grahanusa Mediatama, January 10, 2021. https://lifestyle.kontan.co.id/news/benarkah-kebijakan-privasi-baru-whatsapp-serahkan-data-ke-facebook-ini-penjelasannya-1.</w:t>
      </w:r>
    </w:p>
    <w:p w14:paraId="362AF89C" w14:textId="77777777" w:rsidR="003F2810" w:rsidRPr="003F2810" w:rsidRDefault="003F2810" w:rsidP="003F2810">
      <w:pPr>
        <w:spacing w:after="0" w:line="276" w:lineRule="auto"/>
        <w:ind w:left="567" w:hanging="567"/>
        <w:rPr>
          <w:lang w:val="id-ID"/>
        </w:rPr>
      </w:pPr>
      <w:r w:rsidRPr="003F2810">
        <w:rPr>
          <w:lang w:val="id-ID"/>
        </w:rPr>
        <w:t>Muladi dan Dwidja Priyanto. PertanggungJawaban Pidana Korporasi. Bandung: Kencana, 2010.</w:t>
      </w:r>
    </w:p>
    <w:p w14:paraId="299058BB" w14:textId="77777777" w:rsidR="003F2810" w:rsidRPr="003F2810" w:rsidRDefault="003F2810" w:rsidP="003F2810">
      <w:pPr>
        <w:spacing w:after="0" w:line="276" w:lineRule="auto"/>
        <w:ind w:left="567" w:hanging="567"/>
        <w:rPr>
          <w:lang w:val="id-ID"/>
        </w:rPr>
      </w:pPr>
      <w:r w:rsidRPr="003F2810">
        <w:rPr>
          <w:lang w:val="id-ID"/>
        </w:rPr>
        <w:t>Ningsih, Ayup Suran. “Implikasi Undang-Undang Nomor 5 Tahun 1999 Tentang Larangan Praktek Monopoli Dan Persaingan Usaha Tidak Sehat Pada Pelaku Usaha Mikro Kecil Dan Menengah (UMKM).” Jurnal Penelitian Hukum De Jure 19, no. 2 (2019): 207–15.</w:t>
      </w:r>
    </w:p>
    <w:p w14:paraId="21A8D288" w14:textId="77777777" w:rsidR="003F2810" w:rsidRPr="003F2810" w:rsidRDefault="003F2810" w:rsidP="003F2810">
      <w:pPr>
        <w:spacing w:after="0" w:line="276" w:lineRule="auto"/>
        <w:ind w:left="567" w:hanging="567"/>
        <w:rPr>
          <w:lang w:val="id-ID"/>
        </w:rPr>
      </w:pPr>
      <w:r w:rsidRPr="003F2810">
        <w:rPr>
          <w:lang w:val="id-ID"/>
        </w:rPr>
        <w:t>Pardede, Marulak. “Investment Regulatorly Reform in Indonesia (an Effort to Increase the Competitiveness Climate of Investment).” Jurnal Penelitian Hukum De Jure 23, no. 2 (2023): 231–44.</w:t>
      </w:r>
    </w:p>
    <w:p w14:paraId="64A161A7" w14:textId="77777777" w:rsidR="003F2810" w:rsidRPr="003F2810" w:rsidRDefault="003F2810" w:rsidP="003F2810">
      <w:pPr>
        <w:spacing w:after="0" w:line="276" w:lineRule="auto"/>
        <w:ind w:left="567" w:hanging="567"/>
        <w:rPr>
          <w:lang w:val="id-ID"/>
        </w:rPr>
      </w:pPr>
      <w:r w:rsidRPr="003F2810">
        <w:rPr>
          <w:lang w:val="id-ID"/>
        </w:rPr>
        <w:t>Parluhutan, Dian. “Analisis Hukum Kompetisi Terhadap" Big Data" Dan Doktrin" Essential Facility" Dalam Transaksi Merger Di Indonesia.” Jurnal Persaingan Usaha 1, no. 1 (2021): 83–96.</w:t>
      </w:r>
    </w:p>
    <w:p w14:paraId="1E2C30FE" w14:textId="77777777" w:rsidR="003F2810" w:rsidRPr="003F2810" w:rsidRDefault="003F2810" w:rsidP="003F2810">
      <w:pPr>
        <w:spacing w:after="0" w:line="276" w:lineRule="auto"/>
        <w:ind w:left="567" w:hanging="567"/>
        <w:rPr>
          <w:lang w:val="id-ID"/>
        </w:rPr>
      </w:pPr>
      <w:r w:rsidRPr="003F2810">
        <w:rPr>
          <w:lang w:val="id-ID"/>
        </w:rPr>
        <w:t>Rahman, Faiz, and Dian Agung Wicaksono. “Researching References on Interpretation of Personal Data in the Indonesian Constitution.” Jurnal Penelitian Hukum De Jure 21, no. 2 (2021): 187–200.</w:t>
      </w:r>
    </w:p>
    <w:p w14:paraId="20603447" w14:textId="77777777" w:rsidR="003F2810" w:rsidRPr="003F2810" w:rsidRDefault="003F2810" w:rsidP="003F2810">
      <w:pPr>
        <w:spacing w:after="0" w:line="276" w:lineRule="auto"/>
        <w:ind w:left="567" w:hanging="567"/>
        <w:rPr>
          <w:lang w:val="id-ID"/>
        </w:rPr>
      </w:pPr>
      <w:r w:rsidRPr="003F2810">
        <w:rPr>
          <w:lang w:val="id-ID"/>
        </w:rPr>
        <w:t>Ria Setyawati and Rayhan Adhi Pradana. “Penyalahgunaan Posisi Dominan Oleh Pelaku Usaha Dominan Melalui Penggunaan Algoritma Harga.” UIR Law Review 6, no. 2 (2023): 103–20.</w:t>
      </w:r>
    </w:p>
    <w:p w14:paraId="25C23D85" w14:textId="77777777" w:rsidR="003F2810" w:rsidRPr="003F2810" w:rsidRDefault="003F2810" w:rsidP="003F2810">
      <w:pPr>
        <w:spacing w:after="0" w:line="276" w:lineRule="auto"/>
        <w:ind w:left="567" w:hanging="567"/>
        <w:rPr>
          <w:lang w:val="id-ID"/>
        </w:rPr>
      </w:pPr>
      <w:r w:rsidRPr="003F2810">
        <w:rPr>
          <w:lang w:val="id-ID"/>
        </w:rPr>
        <w:t>Robertson, Viktoria HSE. “Excessive Data Collection: Privacy Considerations and Abuse of Dominance in the Era of Big Data.” Common Market Law Review 57, no. 1 (2020).</w:t>
      </w:r>
    </w:p>
    <w:p w14:paraId="27BED3DC" w14:textId="77777777" w:rsidR="003F2810" w:rsidRPr="003F2810" w:rsidRDefault="003F2810" w:rsidP="003F2810">
      <w:pPr>
        <w:spacing w:after="0" w:line="276" w:lineRule="auto"/>
        <w:ind w:left="567" w:hanging="567"/>
        <w:rPr>
          <w:lang w:val="id-ID"/>
        </w:rPr>
      </w:pPr>
      <w:r w:rsidRPr="003F2810">
        <w:rPr>
          <w:lang w:val="id-ID"/>
        </w:rPr>
        <w:t>Safiranita, Tasya, Ahmad M. Ramli, Denidah Olivia, and Ega Ramadayanti. “The Role of E-Commerce in Escalation of Digital Economy in The New Normal Era Based on Law Number 27 of 2022 Concerning Personal Data Protection.” Jurnal Penelitian Hukum De Jure 22, no. 4 (2022): 437–50.</w:t>
      </w:r>
    </w:p>
    <w:p w14:paraId="5ED26FC5" w14:textId="77777777" w:rsidR="003F2810" w:rsidRPr="003F2810" w:rsidRDefault="003F2810" w:rsidP="003F2810">
      <w:pPr>
        <w:spacing w:after="0" w:line="276" w:lineRule="auto"/>
        <w:ind w:left="567" w:hanging="567"/>
        <w:rPr>
          <w:lang w:val="id-ID"/>
        </w:rPr>
      </w:pPr>
      <w:r w:rsidRPr="003F2810">
        <w:rPr>
          <w:lang w:val="id-ID"/>
        </w:rPr>
        <w:t>Safitri, Siti Shalima. “Interaksi Persaingan Usaha dan Perlindungan Data: Menelaah Bundeskartellamt v. Facebook.” Jurnal Persaingan Usaha 3, no. 1 (2023): 44–53. https://doi.org/10.55869/kppu.v3i1.99.</w:t>
      </w:r>
    </w:p>
    <w:p w14:paraId="4A16B208" w14:textId="05E332FD" w:rsidR="003F2810" w:rsidRPr="003F2810" w:rsidRDefault="003F2810" w:rsidP="003F2810">
      <w:pPr>
        <w:spacing w:after="0" w:line="276" w:lineRule="auto"/>
        <w:ind w:left="567" w:hanging="567"/>
        <w:rPr>
          <w:lang w:val="id-ID"/>
        </w:rPr>
      </w:pPr>
      <w:r w:rsidRPr="003F2810">
        <w:rPr>
          <w:lang w:val="id-ID"/>
        </w:rPr>
        <w:t>Sanchez‐Cartas, Juan Manuel, and Gonzalo León. “</w:t>
      </w:r>
      <w:r w:rsidR="003C4F3F" w:rsidRPr="003F2810">
        <w:rPr>
          <w:lang w:val="id-ID"/>
        </w:rPr>
        <w:t>Multisided Platforms And Markets: A Survey Of The Theoretical Literature</w:t>
      </w:r>
      <w:r w:rsidRPr="003F2810">
        <w:rPr>
          <w:lang w:val="id-ID"/>
        </w:rPr>
        <w:t>.” Journal of Economic Surveys 35, no. 2 (2021): 452–87.</w:t>
      </w:r>
    </w:p>
    <w:p w14:paraId="63B8B219" w14:textId="77777777" w:rsidR="003F2810" w:rsidRPr="003F2810" w:rsidRDefault="003F2810" w:rsidP="003F2810">
      <w:pPr>
        <w:spacing w:after="0" w:line="276" w:lineRule="auto"/>
        <w:ind w:left="567" w:hanging="567"/>
        <w:rPr>
          <w:lang w:val="id-ID"/>
        </w:rPr>
      </w:pPr>
      <w:r w:rsidRPr="003F2810">
        <w:rPr>
          <w:lang w:val="id-ID"/>
        </w:rPr>
        <w:t>Santoso, Edy, and Andriana Andriana. “Insecurity to Consumer Data Protection in The eHealth Sector.” Jurnal Penelitian Hukum De Jure 23, no. 1 (2023): 115–30.</w:t>
      </w:r>
    </w:p>
    <w:p w14:paraId="3F955714" w14:textId="77777777" w:rsidR="003F2810" w:rsidRPr="003F2810" w:rsidRDefault="003F2810" w:rsidP="003F2810">
      <w:pPr>
        <w:spacing w:after="0" w:line="276" w:lineRule="auto"/>
        <w:ind w:left="567" w:hanging="567"/>
        <w:rPr>
          <w:lang w:val="id-ID"/>
        </w:rPr>
      </w:pPr>
      <w:r w:rsidRPr="003F2810">
        <w:rPr>
          <w:lang w:val="id-ID"/>
        </w:rPr>
        <w:t>Simanjuntak, Marsinta. “Disgorgement Fund to Create Corrective Justice as a Legal Protection Measure for Investors in The Capital Market (Legal Protection of Investors Against Disgorgement Fund to Realize Corrective Justice).” Jurnal Penelitian Hukum De Jure 23, no. 4 (2023): 473–82.</w:t>
      </w:r>
    </w:p>
    <w:p w14:paraId="5F3A669E" w14:textId="77777777" w:rsidR="003F2810" w:rsidRPr="003F2810" w:rsidRDefault="003F2810" w:rsidP="003F2810">
      <w:pPr>
        <w:spacing w:after="0" w:line="276" w:lineRule="auto"/>
        <w:ind w:left="567" w:hanging="567"/>
        <w:rPr>
          <w:lang w:val="id-ID"/>
        </w:rPr>
      </w:pPr>
      <w:r w:rsidRPr="003F2810">
        <w:rPr>
          <w:lang w:val="id-ID"/>
        </w:rPr>
        <w:t>Situmorang, Mosgan. “Measuring The Effectiveess of Consumer Dispute Resolution on Small Value E-Commerce Transaction.” J. Penelit. Huk. Jure 22, no. 4 (2022): 537.</w:t>
      </w:r>
    </w:p>
    <w:p w14:paraId="5E7F98C2" w14:textId="77777777" w:rsidR="003F2810" w:rsidRPr="003F2810" w:rsidRDefault="003F2810" w:rsidP="003F2810">
      <w:pPr>
        <w:spacing w:after="0" w:line="276" w:lineRule="auto"/>
        <w:ind w:left="567" w:hanging="567"/>
        <w:rPr>
          <w:lang w:val="id-ID"/>
        </w:rPr>
      </w:pPr>
      <w:r w:rsidRPr="003F2810">
        <w:rPr>
          <w:lang w:val="id-ID"/>
        </w:rPr>
        <w:t>Sullivan, Michael. “Price Controls in a Multi-Sided Market.” Technical Report, Working paper, 2022. https://www.tse-fr.eu/sites/default/files/TSE/documents/sem2023/jobmarket/sullivan_michael_jmp.pdf.</w:t>
      </w:r>
    </w:p>
    <w:p w14:paraId="601430C1" w14:textId="77777777" w:rsidR="003F2810" w:rsidRPr="003F2810" w:rsidRDefault="003F2810" w:rsidP="003F2810">
      <w:pPr>
        <w:spacing w:after="0" w:line="276" w:lineRule="auto"/>
        <w:ind w:left="567" w:hanging="567"/>
        <w:rPr>
          <w:lang w:val="id-ID"/>
        </w:rPr>
      </w:pPr>
      <w:r w:rsidRPr="003F2810">
        <w:rPr>
          <w:lang w:val="id-ID"/>
        </w:rPr>
        <w:t>Tanzil, Devina, and Kristianto Pustaha Halomoan. “Pelindungan Data Pribadi Dalam Analisis Penyalahgunaan Posisi Dominan Berdasarkan Hukum Persaingan Usaha.” Jurnal Online Atmajaya 1, no. 1 (2022)</w:t>
      </w:r>
    </w:p>
    <w:p w14:paraId="019F33A2" w14:textId="77777777" w:rsidR="003F2810" w:rsidRPr="003F2810" w:rsidRDefault="003F2810" w:rsidP="003F2810">
      <w:pPr>
        <w:spacing w:after="0" w:line="276" w:lineRule="auto"/>
        <w:ind w:left="567" w:hanging="567"/>
        <w:rPr>
          <w:lang w:val="id-ID"/>
        </w:rPr>
      </w:pPr>
      <w:r w:rsidRPr="003F2810">
        <w:rPr>
          <w:lang w:val="id-ID"/>
        </w:rPr>
        <w:t>Taufiqurrohman, Moch Marsa. “Adopting Osman Warning In Indonesia: An Effort To Protect Potential Victims Of Crime Target.” Jurnal Hukum Dan Peradilan 11, no. 3 (2022): 22.</w:t>
      </w:r>
    </w:p>
    <w:p w14:paraId="538C8752" w14:textId="77777777" w:rsidR="003F2810" w:rsidRPr="003F2810" w:rsidRDefault="003F2810" w:rsidP="003F2810">
      <w:pPr>
        <w:spacing w:after="0" w:line="276" w:lineRule="auto"/>
        <w:ind w:left="567" w:hanging="567"/>
        <w:rPr>
          <w:lang w:val="id-ID"/>
        </w:rPr>
      </w:pPr>
      <w:r w:rsidRPr="003F2810">
        <w:rPr>
          <w:lang w:val="id-ID"/>
        </w:rPr>
        <w:t>Taufiqurrohman, Moch Marsa, Muhammad Toriq Fahri, Kurnia Wijaya, and I Gede Putu Wiranata. “Meninjau Perang Siber: Dapatkah Konvensi-Konvensi Hukum Humaniter Internasional Meninjau Fenomena Ini?” Jurnal Kawruh Abiyasa 1, no. 2 (2021): 21.</w:t>
      </w:r>
    </w:p>
    <w:p w14:paraId="51303AD8" w14:textId="77777777" w:rsidR="003F2810" w:rsidRPr="003F2810" w:rsidRDefault="003F2810" w:rsidP="003F2810">
      <w:pPr>
        <w:spacing w:after="0" w:line="276" w:lineRule="auto"/>
        <w:ind w:left="567" w:hanging="567"/>
        <w:rPr>
          <w:lang w:val="id-ID"/>
        </w:rPr>
      </w:pPr>
      <w:r w:rsidRPr="003F2810">
        <w:rPr>
          <w:lang w:val="id-ID"/>
        </w:rPr>
        <w:lastRenderedPageBreak/>
        <w:t>Taufiqurrohman, Moch. Marsa, Muhammad Toriq Fahri, Robi Kurnia Wijaya, and I Gede Putu Wiranata. “The Use of Necessitas Non Habet Legem and Wederspanningheid in Law Enforcement for Covid-19 Vaccination in Indonesia.” Jurnal Penelitian Hukum De Jure 21, no. 4 (December 31, 2021): 473.</w:t>
      </w:r>
    </w:p>
    <w:p w14:paraId="424E3E8B" w14:textId="0AE0AD44" w:rsidR="003F2810" w:rsidRPr="003F2810" w:rsidRDefault="003F2810" w:rsidP="003F2810">
      <w:pPr>
        <w:spacing w:after="0" w:line="276" w:lineRule="auto"/>
        <w:ind w:left="567" w:hanging="567"/>
        <w:rPr>
          <w:lang w:val="id-ID"/>
        </w:rPr>
      </w:pPr>
      <w:r w:rsidRPr="003F2810">
        <w:rPr>
          <w:lang w:val="id-ID"/>
        </w:rPr>
        <w:t>Taufiqurrohman, Moch Marsa, and Elisatris Gultom. “Corporate Digital Responsibility: Tanggung Jawab Etis Penggunaan Teknologi Digital dalam Bisnis Perusahaan” Humani (Hukum dan Masyarakat Madani)</w:t>
      </w:r>
      <w:r>
        <w:rPr>
          <w:lang w:val="id-ID"/>
        </w:rPr>
        <w:t xml:space="preserve"> </w:t>
      </w:r>
      <w:r w:rsidRPr="003F2810">
        <w:rPr>
          <w:lang w:val="id-ID"/>
        </w:rPr>
        <w:t>13, no. 2 (2023).</w:t>
      </w:r>
    </w:p>
    <w:p w14:paraId="4EC23EAD" w14:textId="77777777" w:rsidR="003F2810" w:rsidRPr="003F2810" w:rsidRDefault="003F2810" w:rsidP="003F2810">
      <w:pPr>
        <w:spacing w:after="0" w:line="276" w:lineRule="auto"/>
        <w:ind w:left="567" w:hanging="567"/>
        <w:rPr>
          <w:lang w:val="id-ID"/>
        </w:rPr>
      </w:pPr>
      <w:r w:rsidRPr="003F2810">
        <w:rPr>
          <w:lang w:val="id-ID"/>
        </w:rPr>
        <w:t>Taufiqurrohman, Moch. Marsa, Zaki Priambudi, and Avina Nakita Octavia. “Mengatur Petisi Di Dalam Peraturan Perundang-Undangan: Upaya Penguatan Posisi Masyarakat Terhadap Negara Dalam Kerangka Perlindungan Kebebasan Berpendapat.” Jurnal Legislasi Indonesia 18, no. 1 (2021): 1.</w:t>
      </w:r>
    </w:p>
    <w:p w14:paraId="0CEB4712" w14:textId="77777777" w:rsidR="003F2810" w:rsidRPr="003F2810" w:rsidRDefault="003F2810" w:rsidP="003F2810">
      <w:pPr>
        <w:spacing w:after="0" w:line="276" w:lineRule="auto"/>
        <w:ind w:left="567" w:hanging="567"/>
        <w:rPr>
          <w:lang w:val="id-ID"/>
        </w:rPr>
      </w:pPr>
      <w:r w:rsidRPr="003F2810">
        <w:rPr>
          <w:lang w:val="id-ID"/>
        </w:rPr>
        <w:t>Teece, David J., Asta Pundziene, Sohvi Heaton, and Maaja Vadi. “Managing Multi-Sided Platforms: Platform Origins and Go-to-Market Strategy.” California Management Review 64, no. 4 (August 2022): 5–19.</w:t>
      </w:r>
    </w:p>
    <w:p w14:paraId="3912374F" w14:textId="77777777" w:rsidR="003F2810" w:rsidRPr="003F2810" w:rsidRDefault="003F2810" w:rsidP="003F2810">
      <w:pPr>
        <w:spacing w:after="0" w:line="276" w:lineRule="auto"/>
        <w:ind w:left="567" w:hanging="567"/>
        <w:rPr>
          <w:lang w:val="id-ID"/>
        </w:rPr>
      </w:pPr>
      <w:r w:rsidRPr="003F2810">
        <w:rPr>
          <w:lang w:val="id-ID"/>
        </w:rPr>
        <w:t xml:space="preserve">Tucker, Catherine. “Digital Data, Platforms and the Usual [Antitrust] Suspects: Network Effects, Switching Costs, Essential Facility.” Review of Industrial Organization 54, no. 4 (June 2019): 683–94. </w:t>
      </w:r>
    </w:p>
    <w:bookmarkEnd w:id="27"/>
    <w:p w14:paraId="42FA5222" w14:textId="5B60FA16" w:rsidR="00483E4E" w:rsidRPr="00481E4D" w:rsidRDefault="00483E4E" w:rsidP="006675E8">
      <w:pPr>
        <w:spacing w:after="0" w:line="276" w:lineRule="auto"/>
        <w:ind w:left="567" w:hanging="567"/>
        <w:rPr>
          <w:lang w:val="id-ID"/>
        </w:rPr>
      </w:pPr>
    </w:p>
    <w:sectPr w:rsidR="00483E4E" w:rsidRPr="00481E4D" w:rsidSect="0032259B">
      <w:footnotePr>
        <w:numRestart w:val="eachSect"/>
      </w:footnotePr>
      <w:type w:val="continuous"/>
      <w:pgSz w:w="11906" w:h="16838"/>
      <w:pgMar w:top="1985" w:right="1418" w:bottom="1418"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3C934" w14:textId="77777777" w:rsidR="0032259B" w:rsidRDefault="0032259B">
      <w:pPr>
        <w:spacing w:after="0"/>
      </w:pPr>
      <w:r>
        <w:separator/>
      </w:r>
    </w:p>
  </w:endnote>
  <w:endnote w:type="continuationSeparator" w:id="0">
    <w:p w14:paraId="09AF5ACD" w14:textId="77777777" w:rsidR="0032259B" w:rsidRDefault="003225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ra">
    <w:charset w:val="00"/>
    <w:family w:val="auto"/>
    <w:pitch w:val="variable"/>
    <w:sig w:usb0="A00002FF" w:usb1="5000204B"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EA913" w14:textId="77777777" w:rsidR="0032259B" w:rsidRDefault="0032259B">
      <w:pPr>
        <w:rPr>
          <w:sz w:val="12"/>
        </w:rPr>
      </w:pPr>
      <w:r>
        <w:separator/>
      </w:r>
    </w:p>
  </w:footnote>
  <w:footnote w:type="continuationSeparator" w:id="0">
    <w:p w14:paraId="2402614D" w14:textId="77777777" w:rsidR="0032259B" w:rsidRDefault="0032259B">
      <w:pPr>
        <w:rPr>
          <w:sz w:val="12"/>
        </w:rPr>
      </w:pPr>
      <w:r>
        <w:continuationSeparator/>
      </w:r>
    </w:p>
  </w:footnote>
  <w:footnote w:id="1">
    <w:p w14:paraId="5660A8C1" w14:textId="2E0B98E6" w:rsidR="00EB65CB" w:rsidRPr="00D16F3B" w:rsidRDefault="00EB65C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{"citationID":"cx51yn3D","properties":{"formattedCitation":"Roberto Augusto Castellanos Pfeiffer, \\uc0\\u8220{}Digital Economy, Big Data and Competition Law,\\uc0\\u8221{} {\\i{}Mkt. &amp; Competition L. Rev.} 3 (2019): 53.","plainCitation":"Roberto Augusto Castellanos Pfeiffer, “Digital Economy, Big Data and Competition Law,” Mkt. &amp; Competition L. Rev. 3 (2019): 53.","dontUpdate":true,"noteIndex":1},"citationItems":[{"id":206,"uris":["http://zotero.org/users/4802390/items/SZVWH5K3"],"itemData":{"id":206,"type":"article-journal","container-title":"Mkt. &amp; Competition L. Rev.","note":"publisher: HeinOnline","page":"53","source":"Google Scholar","title":"Digital economy, big data and competition law","volume":"3","author":[{"family":"Castellanos Pfeiffer","given":"Roberto Augusto"}],"issued":{"date-parts":[["2019"]]}},"locator":"53","label":"page"}],"schema":"https://github.com/citation-style-language/schema/raw/master/csl-citation.json"} </w:instrText>
      </w:r>
      <w:r w:rsidRPr="00D16F3B">
        <w:rPr>
          <w:sz w:val="20"/>
        </w:rPr>
        <w:fldChar w:fldCharType="separate"/>
      </w:r>
      <w:r w:rsidRPr="00D16F3B">
        <w:rPr>
          <w:sz w:val="20"/>
        </w:rPr>
        <w:t xml:space="preserve">Roberto Augusto Castellanos Pfeiffer, “Digital Economy, </w:t>
      </w:r>
      <w:r w:rsidR="002961BD" w:rsidRPr="00D16F3B">
        <w:rPr>
          <w:i/>
          <w:iCs/>
          <w:sz w:val="20"/>
        </w:rPr>
        <w:t>Big data</w:t>
      </w:r>
      <w:r w:rsidRPr="00D16F3B">
        <w:rPr>
          <w:sz w:val="20"/>
        </w:rPr>
        <w:t xml:space="preserve"> and Competition Law,” </w:t>
      </w:r>
      <w:r w:rsidRPr="00D16F3B">
        <w:rPr>
          <w:i/>
          <w:iCs/>
          <w:sz w:val="20"/>
        </w:rPr>
        <w:t>Mkt. &amp; Competition L. Rev.</w:t>
      </w:r>
      <w:r w:rsidRPr="00D16F3B">
        <w:rPr>
          <w:sz w:val="20"/>
        </w:rPr>
        <w:t xml:space="preserve"> 3 (2019): 53.</w:t>
      </w:r>
      <w:r w:rsidRPr="00D16F3B">
        <w:rPr>
          <w:sz w:val="20"/>
        </w:rPr>
        <w:fldChar w:fldCharType="end"/>
      </w:r>
    </w:p>
  </w:footnote>
  <w:footnote w:id="2">
    <w:p w14:paraId="54B6DED5" w14:textId="3B275693" w:rsidR="00C17BC1" w:rsidRPr="00D16F3B" w:rsidRDefault="00C17BC1" w:rsidP="00D16F3B">
      <w:pPr>
        <w:pStyle w:val="FootnoteText"/>
        <w:spacing w:after="0"/>
        <w:ind w:left="284" w:hanging="284"/>
        <w:rPr>
          <w:b/>
          <w:bCs/>
          <w:sz w:val="20"/>
          <w:u w:val="single"/>
        </w:rPr>
      </w:pPr>
      <w:r w:rsidRPr="00D16F3B">
        <w:rPr>
          <w:rStyle w:val="FootnoteReference"/>
          <w:sz w:val="20"/>
        </w:rPr>
        <w:footnoteRef/>
      </w:r>
      <w:r w:rsidRPr="00D16F3B">
        <w:rPr>
          <w:sz w:val="20"/>
        </w:rPr>
        <w:t xml:space="preserve"> </w:t>
      </w:r>
      <w:r w:rsidR="00DA2357" w:rsidRPr="00D16F3B">
        <w:rPr>
          <w:sz w:val="20"/>
        </w:rPr>
        <w:tab/>
      </w:r>
      <w:r w:rsidRPr="00D16F3B">
        <w:rPr>
          <w:sz w:val="20"/>
        </w:rPr>
        <w:t xml:space="preserve">Data tersebut secara umum diperoleh melalui layanan dalam jaringan (daring) yang diakses pengguna, seperti mesin pencarian, jejaring sosial, maupun </w:t>
      </w:r>
      <w:r w:rsidRPr="00D16F3B">
        <w:rPr>
          <w:i/>
          <w:iCs/>
          <w:sz w:val="20"/>
        </w:rPr>
        <w:t>e-commerce</w:t>
      </w:r>
      <w:r w:rsidRPr="00D16F3B">
        <w:rPr>
          <w:sz w:val="20"/>
        </w:rPr>
        <w:t xml:space="preserve"> yang ditawarkan secara gratis oleh penyedia. Informasi yang diperoleh tersebut kemudian dimonetisasi dengan memberikan akses kepada pengiklan. Pengiklan kemudian menargetkan kelompok individu yang ditentukan berdasarkan data yang dikumpulkan. Misalnya, data tersebut diolah menjadi kesimpulan perilaku yang memproduksi hasil pencarian yang relevan, rekomendasi produk, iklan relevan, dan hal-hal sejenis yang telah dipersonalisasi. </w:t>
      </w:r>
      <w:r w:rsidRPr="00D16F3B">
        <w:rPr>
          <w:sz w:val="20"/>
        </w:rPr>
        <w:fldChar w:fldCharType="begin"/>
      </w:r>
      <w:r w:rsidR="00C1190A" w:rsidRPr="00D16F3B">
        <w:rPr>
          <w:sz w:val="20"/>
        </w:rPr>
        <w:instrText xml:space="preserve"> ADDIN ZOTERO_ITEM CSL_CITATION {"citationID":"Z9v4yDx5","properties":{"formattedCitation":"Roberto Augusto Castellanos Pfeiffer, \\uc0\\u8220{}Digital economy, big data and competition law,\\uc0\\u8221{} HeinOnline {\\i{}Mkt. &amp; Competition L. Rev.}, Vol. 3, 2019, hlm. 53, pada hlm. 56.","plainCitation":"Roberto Augusto Castellanos Pfeiffer, “Digital economy, big data and competition law,” HeinOnline Mkt. &amp; Competition L. Rev., Vol. 3, 2019, hlm. 53, pada hlm. 56.","dontUpdate":true,"noteIndex":2},"citationItems":[{"id":206,"uris":["http://zotero.org/users/4802390/items/SZVWH5K3"],"itemData":{"id":206,"type":"article-journal","container-title":"Mkt. &amp; Competition L. Rev.","note":"publisher: HeinOnline","page":"53","source":"Google Scholar","title":"Digital economy, big data and competition law","volume":"3","author":[{"family":"Castellanos Pfeiffer","given":"Roberto Augusto"}],"issued":{"date-parts":[["2019"]]}},"locator":"56","label":"page"}],"schema":"https://github.com/citation-style-language/schema/raw/master/csl-citation.json"} </w:instrText>
      </w:r>
      <w:r w:rsidRPr="00D16F3B">
        <w:rPr>
          <w:sz w:val="20"/>
        </w:rPr>
        <w:fldChar w:fldCharType="separate"/>
      </w:r>
      <w:r w:rsidRPr="00D16F3B">
        <w:rPr>
          <w:sz w:val="20"/>
        </w:rPr>
        <w:t>Ibid.</w:t>
      </w:r>
      <w:r w:rsidRPr="00D16F3B">
        <w:rPr>
          <w:sz w:val="20"/>
        </w:rPr>
        <w:fldChar w:fldCharType="end"/>
      </w:r>
    </w:p>
  </w:footnote>
  <w:footnote w:id="3">
    <w:p w14:paraId="1667BE60" w14:textId="09B7A5E1" w:rsidR="00F14A25" w:rsidRPr="00D16F3B" w:rsidRDefault="00F14A25"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{"citationID":"W7mUbP7V","properties":{"formattedCitation":"Moch Marsa Taufiqurrohman and Elisatris Gultom, \\uc0\\u8220{}Corporate Digital Responsibility: Tanggung Jawab Etis Penggunaan Teknologi Digital dalam Bisnis Perusahaan\\uc0\\u8221{} 13, no. 2 (2023): 311.","plainCitation":"Moch Marsa Taufiqurrohman and Elisatris Gultom, “Corporate Digital Responsibility: Tanggung Jawab Etis Penggunaan Teknologi Digital dalam Bisnis Perusahaan” 13, no. 2 (2023): 311.","dontUpdate":true,"noteIndex":3},"citationItems":[{"id":6073,"uris":["http://zotero.org/users/4802390/items/XFP8UST8"],"itemData":{"id":6073,"type":"article-journal","abstract":"Digital technology has become a significant factor in company business development. However, digital technology can also cause problems. One of the biggest problems is the emergence of a type of artificial intelligence that is capable of manipulating and transmitting user information. New technologies offer new opportunities but reveal new threats, especially privacy and data security ethics. This article proposes Corporate Digital Responsibility (CDR) as a fascinating new field as a form of corporate ethical responsibility in the context of the use of digital technology. In existing research, adequate theoretical and legal basis has yet to be found to enable various types of corporate responsibility in dealing with the implications of implementing digital technology. Therefore, essential foundations and considerations are raised for developing corporate digital responsibility. This article uses a doctrinal juridical research method in collaboration with Reform Oriented Research. This article concludes that it is a fact that new technologies pose ethical and social risks, so companies have a responsibility to do this. Second, the absence of regulations regarding Industry 4.0 and unpredictable technological advances are not limitations for creating a CDR scenario. Ultimately, this article concludes that developing ethical responsibility in digital contexts is possible and necessary.","issue":"2","language":"id","source":"Zotero","title":"Corporate Digital Responsibility: Tanggung Jawab Etis Penggunaan Teknologi Digital dalam Bisnis Perusahaan","volume":"13","author":[{"family":"Taufiqurrohman","given":"Moch Marsa"},{"family":"Gultom","given":"Elisatris"}],"issued":{"date-parts":[["2023"]]}},"locator":"311","label":"page"}],"schema":"https://github.com/citation-style-language/schema/raw/master/csl-citation.json"} </w:instrText>
      </w:r>
      <w:r w:rsidRPr="00D16F3B">
        <w:rPr>
          <w:sz w:val="20"/>
        </w:rPr>
        <w:fldChar w:fldCharType="separate"/>
      </w:r>
      <w:r w:rsidRPr="00D16F3B">
        <w:rPr>
          <w:sz w:val="20"/>
        </w:rPr>
        <w:t xml:space="preserve">Moch Marsa Taufiqurrohman and Elisatris Gultom, “Corporate Digital Responsibility: Tanggung Jawab Etis Penggunaan Teknologi Digital dalam Bisnis Perusahaan” </w:t>
      </w:r>
      <w:r w:rsidRPr="00D16F3B">
        <w:rPr>
          <w:i/>
          <w:iCs/>
          <w:sz w:val="20"/>
        </w:rPr>
        <w:t>Humani (Hukum dan Masyarakat Madani)</w:t>
      </w:r>
      <w:r w:rsidRPr="00D16F3B">
        <w:rPr>
          <w:sz w:val="20"/>
        </w:rPr>
        <w:t>13, no. 2 (2023): 311.</w:t>
      </w:r>
      <w:r w:rsidRPr="00D16F3B">
        <w:rPr>
          <w:sz w:val="20"/>
        </w:rPr>
        <w:fldChar w:fldCharType="end"/>
      </w:r>
    </w:p>
  </w:footnote>
  <w:footnote w:id="4">
    <w:p w14:paraId="1B5DBCCD" w14:textId="5380C4AE" w:rsidR="00F14A25" w:rsidRPr="00D16F3B" w:rsidRDefault="00F14A25"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{"citationID":"wcgqurhc","properties":{"formattedCitation":"Castellanos Pfeiffer, \\uc0\\u8220{}Digital Economy, Big Data and Competition Law,\\uc0\\u8221{} 53.","plainCitation":"Castellanos Pfeiffer, “Digital Economy, Big Data and Competition Law,” 53.","dontUpdate":true,"noteIndex":4},"citationItems":[{"id":206,"uris":["http://zotero.org/users/4802390/items/SZVWH5K3"],"itemData":{"id":206,"type":"article-journal","container-title":"Mkt. &amp; Competition L. Rev.","note":"publisher: HeinOnline","page":"53","source":"Google Scholar","title":"Digital economy, big data and competition law","volume":"3","author":[{"family":"Castellanos Pfeiffer","given":"Roberto Augusto"}],"issued":{"date-parts":[["2019"]]}},"locator":"53","label":"page"}],"schema":"https://github.com/citation-style-language/schema/raw/master/csl-citation.json"} </w:instrText>
      </w:r>
      <w:r w:rsidRPr="00D16F3B">
        <w:rPr>
          <w:sz w:val="20"/>
        </w:rPr>
        <w:fldChar w:fldCharType="separate"/>
      </w:r>
      <w:r w:rsidRPr="00D16F3B">
        <w:rPr>
          <w:sz w:val="20"/>
        </w:rPr>
        <w:t xml:space="preserve">Castellanos Pfeiffer, “Digital Economy, </w:t>
      </w:r>
      <w:r w:rsidR="002961BD" w:rsidRPr="00D16F3B">
        <w:rPr>
          <w:i/>
          <w:iCs/>
          <w:sz w:val="20"/>
        </w:rPr>
        <w:t>Big data</w:t>
      </w:r>
      <w:r w:rsidRPr="00D16F3B">
        <w:rPr>
          <w:sz w:val="20"/>
        </w:rPr>
        <w:t xml:space="preserve"> and Competition Law,” 53.</w:t>
      </w:r>
      <w:r w:rsidRPr="00D16F3B">
        <w:rPr>
          <w:sz w:val="20"/>
        </w:rPr>
        <w:fldChar w:fldCharType="end"/>
      </w:r>
    </w:p>
  </w:footnote>
  <w:footnote w:id="5">
    <w:p w14:paraId="68772EF1" w14:textId="7BC68D1C" w:rsidR="00CD2D49" w:rsidRPr="00D16F3B" w:rsidRDefault="00CD2D49"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 xml:space="preserve">Pasar digital mengembangkan kemampuannya untuk mengumpulkan data pribadi dalam jumlah besar dari berbagai sumber. Mereka dapat mengumpulkan data tidak hanya melalui layanan mereka sendiri, tetapi juga dengan mengumpulkan data pribadi dari situs web dan aplikasi seluler pihak ketiga lainnya melalui praktik pelacakan. Secara lebih rinci, teknologi canggih, seperti </w:t>
      </w:r>
      <w:r w:rsidRPr="00D16F3B">
        <w:rPr>
          <w:i/>
          <w:iCs/>
          <w:sz w:val="20"/>
        </w:rPr>
        <w:t>cookie browser</w:t>
      </w:r>
      <w:r w:rsidRPr="00D16F3B">
        <w:rPr>
          <w:sz w:val="20"/>
        </w:rPr>
        <w:t xml:space="preserve"> dan piksel, telah mengaktifkan pelacakan aktivitas online pengguna di seluruh situs web dan aplikasi seluler yang menghasilkan pengumpulan dan penyimpanan sejumlah besar data terkait pengguna dan perangkat yang mereka pakai. Saat pengguna mengakses situs web atau menginstal dan menggunakan aplikasi seluler, situs web/aplikasi menggunakan teknologi, seperti cookie untuk mengoperasikan penyerapan data. Misalnya, proses autentikasi login dan preferensi bahasa. Proses tersebut tidak hanya digunakan sebagai pengaturan awal oleh dan menurut preferensi pengguna, tetapi juga untuk alasan seperti pengukuran dan analitik audiens situs web. dengan demikian mereka dapat melacak perilaku penjelajahan online satu pengguna. Akibatnya, pelacak dapat memanen dan menautkan beragam informasi pribadi yang memungkinkan mereka membangun profil yang komprehensif dan lengkap dari pengguna mereka serta aktivitas, minat, dan opini mereka. </w:t>
      </w:r>
      <w:r w:rsidRPr="00D16F3B">
        <w:rPr>
          <w:sz w:val="20"/>
        </w:rPr>
        <w:fldChar w:fldCharType="begin"/>
      </w:r>
      <w:r w:rsidR="00C1190A" w:rsidRPr="00D16F3B">
        <w:rPr>
          <w:sz w:val="20"/>
        </w:rPr>
        <w:instrText xml:space="preserve"> ADDIN ZOTERO_ITEM CSL_CITATION {"citationID":"33OkBp10","properties":{"formattedCitation":"Marco Botta and Klaus Wiedemann, \\uc0\\u8220{}EU competition law enforcement vis-\\uc0\\u224{}-vis exploitative conducts in the data economy exploring the Terra Incognita\\uc0\\u8221{}, {\\i{}Max Planck Institute for Innovation &amp; Competition Research Paper}, Nos. 18\\uc0\\u8211{}08, 2018, p. 28.","plainCitation":"Marco Botta and Klaus Wiedemann, “EU competition law enforcement vis-à-vis exploitative conducts in the data economy exploring the Terra Incognita”, Max Planck Institute for Innovation &amp; Competition Research Paper, Nos. 18–08, 2018, p. 28.","dontUpdate":true,"noteIndex":5},"citationItems":[{"id":5759,"uris":["http://zotero.org/users/4802390/items/V4NQJA44"],"itemData":{"id":5759,"type":"article-journal","container-title":"Max Planck Institute for Innovation &amp; Competition Research Paper","issue":"18-08","source":"Google Scholar","title":"EU competition law enforcement vis-à-vis exploitative conducts in the data economy exploring the Terra Incognita","author":[{"family":"Botta","given":"Marco"},{"family":"Wiedemann","given":"Klaus"}],"issued":{"date-parts":[["2018"]]}},"locator":"28","label":"page"}],"schema":"https://github.com/citation-style-language/schema/raw/master/csl-citation.json"} </w:instrText>
      </w:r>
      <w:r w:rsidRPr="00D16F3B">
        <w:rPr>
          <w:sz w:val="20"/>
        </w:rPr>
        <w:fldChar w:fldCharType="separate"/>
      </w:r>
      <w:r w:rsidRPr="00D16F3B">
        <w:rPr>
          <w:sz w:val="20"/>
        </w:rPr>
        <w:t xml:space="preserve">Marco Botta and Klaus Wiedemann, “EU competition law enforcement vis-à-vis exploitative conducts in the data economy exploring the Terra Incognita”, </w:t>
      </w:r>
      <w:r w:rsidRPr="00D16F3B">
        <w:rPr>
          <w:i/>
          <w:iCs/>
          <w:sz w:val="20"/>
        </w:rPr>
        <w:t>Max Planck Institute for Innovation &amp; Competition Research Paper</w:t>
      </w:r>
      <w:r w:rsidRPr="00D16F3B">
        <w:rPr>
          <w:sz w:val="20"/>
        </w:rPr>
        <w:t>, Nos. 18–08, 2018, hlm. 28.</w:t>
      </w:r>
      <w:r w:rsidRPr="00D16F3B">
        <w:rPr>
          <w:sz w:val="20"/>
        </w:rPr>
        <w:fldChar w:fldCharType="end"/>
      </w:r>
    </w:p>
  </w:footnote>
  <w:footnote w:id="6">
    <w:p w14:paraId="45F761B1" w14:textId="0CB206C0"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fldChar w:fldCharType="begin"/>
      </w:r>
      <w:r w:rsidR="00C1190A" w:rsidRPr="00D16F3B">
        <w:rPr>
          <w:sz w:val="20"/>
        </w:rPr>
        <w:instrText xml:space="preserve"> ADDIN ZOTERO_ITEM CSL_CITATION {"citationID":"niEojyx4","properties":{"formattedCitation":"Viktoria HSE Robertson, \\uc0\\u8220{}Excessive data collection: privacy considerations and abuse of dominance in the era of big data\\uc0\\u8221{}, {\\i{}Common Market Law Review}, Vol. 57, No. 1, 2020, p. 162.","plainCitation":"Viktoria HSE Robertson, “Excessive data collection: privacy considerations and abuse of dominance in the era of big data”, Common Market Law Review, Vol. 57, No. 1, 2020, p. 162.","dontUpdate":true,"noteIndex":6},"citationItems":[{"id":5757,"uris":["http://zotero.org/users/4802390/items/FBUFTLXB"],"itemData":{"id":5757,"type":"article-journal","container-title":"Common Market Law Review","issue":"1","source":"Google Scholar","title":"Excessive data collection: privacy considerations and abuse of dominance in the era of big data","title-short":"Excessive data collection","volume":"57","author":[{"family":"Robertson","given":"Viktoria HSE"}],"issued":{"date-parts":[["2020"]]}},"locator":"162","label":"page"}],"schema":"https://github.com/citation-style-language/schema/raw/master/csl-citation.json"} </w:instrText>
      </w:r>
      <w:r w:rsidRPr="00D16F3B">
        <w:rPr>
          <w:sz w:val="20"/>
        </w:rPr>
        <w:fldChar w:fldCharType="separate"/>
      </w:r>
      <w:r w:rsidRPr="00D16F3B">
        <w:rPr>
          <w:sz w:val="20"/>
        </w:rPr>
        <w:t xml:space="preserve">Viktoria HSE Robertson, “Excessive data collection: privacy considerations and abuse of dominance in the era of </w:t>
      </w:r>
      <w:r w:rsidR="002961BD" w:rsidRPr="00D16F3B">
        <w:rPr>
          <w:i/>
          <w:iCs/>
          <w:sz w:val="20"/>
        </w:rPr>
        <w:t>big data</w:t>
      </w:r>
      <w:r w:rsidRPr="00D16F3B">
        <w:rPr>
          <w:sz w:val="20"/>
        </w:rPr>
        <w:t xml:space="preserve">”, </w:t>
      </w:r>
      <w:r w:rsidRPr="00D16F3B">
        <w:rPr>
          <w:i/>
          <w:iCs/>
          <w:sz w:val="20"/>
        </w:rPr>
        <w:t>Common Market Law Review</w:t>
      </w:r>
      <w:r w:rsidRPr="00D16F3B">
        <w:rPr>
          <w:sz w:val="20"/>
        </w:rPr>
        <w:t xml:space="preserve"> 57, </w:t>
      </w:r>
      <w:r w:rsidR="00C51D67" w:rsidRPr="00D16F3B">
        <w:rPr>
          <w:sz w:val="20"/>
        </w:rPr>
        <w:t>n</w:t>
      </w:r>
      <w:r w:rsidRPr="00D16F3B">
        <w:rPr>
          <w:sz w:val="20"/>
        </w:rPr>
        <w:t xml:space="preserve">o. 1 </w:t>
      </w:r>
      <w:r w:rsidR="00F14A25" w:rsidRPr="00D16F3B">
        <w:rPr>
          <w:sz w:val="20"/>
        </w:rPr>
        <w:t>(</w:t>
      </w:r>
      <w:r w:rsidRPr="00D16F3B">
        <w:rPr>
          <w:sz w:val="20"/>
        </w:rPr>
        <w:t>2020</w:t>
      </w:r>
      <w:r w:rsidR="00F14A25" w:rsidRPr="00D16F3B">
        <w:rPr>
          <w:sz w:val="20"/>
        </w:rPr>
        <w:t>):</w:t>
      </w:r>
      <w:r w:rsidRPr="00D16F3B">
        <w:rPr>
          <w:sz w:val="20"/>
        </w:rPr>
        <w:t xml:space="preserve"> 162.</w:t>
      </w:r>
      <w:r w:rsidRPr="00D16F3B">
        <w:rPr>
          <w:sz w:val="20"/>
        </w:rPr>
        <w:fldChar w:fldCharType="end"/>
      </w:r>
    </w:p>
  </w:footnote>
  <w:footnote w:id="7">
    <w:p w14:paraId="3E6B8A8F" w14:textId="79F4C2D5"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 xml:space="preserve">Peran data dalam analisis hukum persaingan telah ditunjukkan dalam beberapa kasus. Dalam tataran global, Google Penelusuran, berada di bawah pengawasan otoritas persaingan Uni Eropa terkait dugaan penyalahgunaan dominasi. Google menggunakan dominasinya di pasar mesin telusur untuk mendistorsi hasil pencarian berpihak pada layanan e-commerce-nya sendiri. Kasus tersebut mengangkat isu penggunaan data pribadi untuk meningkatkan hasil pencarian yang mengarah ke dominasi di pasar mesin pencari melalui kerja efek jaringan.  Kekhawatiran tentang kemungkinan penyalahgunaan data pribadi dalam kasus hukum persaingan juga diungkapkan dalam kasus lain seperti Facebook dan WhatsApp, dan sebelumnya, Google dan DoubleClick. </w:t>
      </w:r>
      <w:r w:rsidRPr="00D16F3B">
        <w:rPr>
          <w:sz w:val="20"/>
        </w:rPr>
        <w:fldChar w:fldCharType="begin"/>
      </w:r>
      <w:r w:rsidR="00C1190A" w:rsidRPr="00D16F3B">
        <w:rPr>
          <w:sz w:val="20"/>
        </w:rPr>
        <w:instrText xml:space="preserve"> ADDIN ZOTERO_ITEM CSL_CITATION {"citationID":"S3Lolpz5","properties":{"formattedCitation":"Antitrust: Commission fines Google \\uc0\\u8364{}2.42 billion, {\\i{}European Commission - European Commission}, https://ec.europa.eu/commission/presscorner/detail/en/IP_17_1784, accessed on August 11, 2023.","plainCitation":"Antitrust: Commission fines Google €2.42 billion, European Commission - European Commission, https://ec.europa.eu/commission/presscorner/detail/en/IP_17_1784, accessed on August 11, 2023.","dontUpdate":true,"noteIndex":7},"citationItems":[{"id":5762,"uris":["http://zotero.org/users/4802390/items/T3PCQI9W"],"itemData":{"id":5762,"type":"webpage","abstract":"Antitrust: Commission fines Google €2.42 billion for abusing dominance as search engine by giving illegal advantage to own comparison shopping service","container-title":"European Commission - European Commission","genre":"Text","language":"en","title":"Antitrust: Commission fines Google €2.42 billion","title-short":"Antitrust","URL":"https://ec.europa.eu/commission/presscorner/detail/en/IP_17_1784","accessed":{"date-parts":[["2023",8,11]]}}}],"schema":"https://github.com/citation-style-language/schema/raw/master/csl-citation.json"} </w:instrText>
      </w:r>
      <w:r w:rsidRPr="00D16F3B">
        <w:rPr>
          <w:sz w:val="20"/>
        </w:rPr>
        <w:fldChar w:fldCharType="separate"/>
      </w:r>
      <w:r w:rsidRPr="00D16F3B">
        <w:rPr>
          <w:sz w:val="20"/>
        </w:rPr>
        <w:t xml:space="preserve">Antitrust: Commission fines Google €2.42 billion, </w:t>
      </w:r>
      <w:r w:rsidRPr="00D16F3B">
        <w:rPr>
          <w:i/>
          <w:iCs/>
          <w:sz w:val="20"/>
        </w:rPr>
        <w:t>European Commission - European Commission</w:t>
      </w:r>
      <w:r w:rsidRPr="00D16F3B">
        <w:rPr>
          <w:sz w:val="20"/>
        </w:rPr>
        <w:t>, https://ec.europa.eu/commission/presscorner/detail/en/IP_17_1784, diakses pada 11 Agustus 2023.</w:t>
      </w:r>
      <w:r w:rsidRPr="00D16F3B">
        <w:rPr>
          <w:sz w:val="20"/>
        </w:rPr>
        <w:fldChar w:fldCharType="end"/>
      </w:r>
    </w:p>
  </w:footnote>
  <w:footnote w:id="8">
    <w:p w14:paraId="5BA2947B" w14:textId="6FFED89C" w:rsidR="00F14A25" w:rsidRPr="00D16F3B" w:rsidRDefault="00F14A25"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 xml:space="preserve">Analisis data dapat didefinisikan sebagai kemampuan merancang algoritma yang dapat mengakses dan menganalisis sejumlah besar informasi. </w:t>
      </w:r>
      <w:r w:rsidRPr="00D16F3B">
        <w:rPr>
          <w:sz w:val="20"/>
        </w:rPr>
        <w:fldChar w:fldCharType="begin"/>
      </w:r>
      <w:r w:rsidR="00C1190A" w:rsidRPr="00D16F3B">
        <w:rPr>
          <w:sz w:val="20"/>
        </w:rPr>
        <w:instrText xml:space="preserve"> ADDIN ZOTERO_ITEM CSL_CITATION {"citationID":"nAULcIQv","properties":{"formattedCitation":"Ariel Ezrachi, {\\i{}Virtual Competition: The Promise and Perils of the Algorithm-Driven Economy} (Harvard University Press, 2016), 20, https://doi.org/10.4159/9780674973336.","plainCitation":"Ariel Ezrachi, Virtual Competition: The Promise and Perils of the Algorithm-Driven Economy (Harvard University Press, 2016), 20, https://doi.org/10.4159/9780674973336.","dontUpdate":true,"noteIndex":8},"citationItems":[{"id":6079,"uris":["http://zotero.org/users/4802390/items/7DF34LXG"],"itemData":{"id":6079,"type":"book","ISBN":"978-0-674-97333-6","note":"DOI: 10.4159/9780674973336","publisher":"Harvard University Press","source":"DOI.org (Crossref)","title":"Virtual Competition: The Promise and Perils of the Algorithm-Driven Economy","title-short":"Virtual Competition","URL":"https://www.degruyter.com/document/doi/10.4159/9780674973336/html","author":[{"family":"Ezrachi","given":"Ariel"}],"accessed":{"date-parts":[["2023",12,18]]},"issued":{"date-parts":[["2016",1,1]]}},"locator":"20","label":"page"}],"schema":"https://github.com/citation-style-language/schema/raw/master/csl-citation.json"} </w:instrText>
      </w:r>
      <w:r w:rsidRPr="00D16F3B">
        <w:rPr>
          <w:sz w:val="20"/>
        </w:rPr>
        <w:fldChar w:fldCharType="separate"/>
      </w:r>
      <w:r w:rsidRPr="00D16F3B">
        <w:rPr>
          <w:sz w:val="20"/>
        </w:rPr>
        <w:t xml:space="preserve">Ariel Ezrachi, </w:t>
      </w:r>
      <w:r w:rsidRPr="00D16F3B">
        <w:rPr>
          <w:i/>
          <w:iCs/>
          <w:sz w:val="20"/>
        </w:rPr>
        <w:t>Virtual Competition: The Promise and Perils of the Algorithm-Driven Economy</w:t>
      </w:r>
      <w:r w:rsidRPr="00D16F3B">
        <w:rPr>
          <w:sz w:val="20"/>
        </w:rPr>
        <w:t xml:space="preserve"> (Harvard University Press, 2016), 20.</w:t>
      </w:r>
      <w:r w:rsidRPr="00D16F3B">
        <w:rPr>
          <w:sz w:val="20"/>
        </w:rPr>
        <w:fldChar w:fldCharType="end"/>
      </w:r>
    </w:p>
  </w:footnote>
  <w:footnote w:id="9">
    <w:p w14:paraId="609DF935" w14:textId="3248C419" w:rsidR="007C40BF" w:rsidRPr="00D16F3B" w:rsidRDefault="007C40BF"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 xml:space="preserve">Setelah dieksploitasi, data pribadi digabungkan melalui analisis data untuk meningkatkan profil pelanggan, dengan tujuan menawarkan produk baru secara tepat waktu, dipersonalisasi, dan dengan harga yang sesuai. Proses eksploitasi data pribadi pengguna layanan tersebut kemudian diubah menjadi nilai dalam bentuk iklan yang ditargetkan atau rekomendasi yang dipersonalisasi yang dikenal sebagai </w:t>
      </w:r>
      <w:r w:rsidR="002961BD" w:rsidRPr="00D16F3B">
        <w:rPr>
          <w:i/>
          <w:iCs/>
          <w:sz w:val="20"/>
        </w:rPr>
        <w:t>Big data</w:t>
      </w:r>
      <w:r w:rsidRPr="00D16F3B">
        <w:rPr>
          <w:sz w:val="20"/>
        </w:rPr>
        <w:t xml:space="preserve">. Pada akhirnya, rangkaian proses ini dilakukan dengan tujuan meyakinkan pengguna layanan untuk melakukan pembelian terhadap produk atau layanan yang ditawarkan. </w:t>
      </w:r>
      <w:r w:rsidRPr="00D16F3B">
        <w:rPr>
          <w:sz w:val="20"/>
        </w:rPr>
        <w:fldChar w:fldCharType="begin"/>
      </w:r>
      <w:r w:rsidR="00C1190A" w:rsidRPr="00D16F3B">
        <w:rPr>
          <w:sz w:val="20"/>
        </w:rPr>
        <w:instrText xml:space="preserve"> ADDIN ZOTERO_ITEM CSL_CITATION {"citationID":"uAgmzbnC","properties":{"formattedCitation":"Silvan Gabathuler, Roland M\\uc0\\u252{}ller, and Walter Brenner, 2018, {\\i{}Big Data Management in Theorie und Praxis aus rechtlicher Sicht}, PhD Thesis, Universit\\uc0\\u228{}t St. Gallen, p. 19.","plainCitation":"Silvan Gabathuler, Roland Müller, and Walter Brenner, 2018, Big Data Management in Theorie und Praxis aus rechtlicher Sicht, PhD Thesis, Universität St. Gallen, p. 19.","dontUpdate":true,"noteIndex":9},"citationItems":[{"id":6024,"uris":["http://zotero.org/users/4802390/items/5WMCNNV4"],"itemData":{"id":6024,"type":"thesis","genre":"PhD Thesis","publisher":"Universität St. Gallen","source":"Google Scholar","title":"Big Data Management in Theorie und Praxis aus rechtlicher Sicht","URL":"https://www.e-helvetica.nb.admin.ch/api/download/urn%3Anbn%3Ach%3Abel-1228265%3ADis4766.pdf/Dis4766.pdf","author":[{"family":"Gabathuler","given":"Silvan"},{"family":"Müller","given":"Roland"},{"family":"Brenner","given":"Walter"}],"accessed":{"date-parts":[["2023",10,11]]},"issued":{"date-parts":[["2018"]]}},"locator":"19","label":"page"}],"schema":"https://github.com/citation-style-language/schema/raw/master/csl-citation.json"} </w:instrText>
      </w:r>
      <w:r w:rsidRPr="00D16F3B">
        <w:rPr>
          <w:sz w:val="20"/>
        </w:rPr>
        <w:fldChar w:fldCharType="separate"/>
      </w:r>
      <w:r w:rsidRPr="00D16F3B">
        <w:rPr>
          <w:sz w:val="20"/>
        </w:rPr>
        <w:t xml:space="preserve">Silvan Gabathuler, Roland Müller, and Walter Brenner, 2018, </w:t>
      </w:r>
      <w:r w:rsidR="002961BD" w:rsidRPr="00D16F3B">
        <w:rPr>
          <w:i/>
          <w:iCs/>
          <w:sz w:val="20"/>
        </w:rPr>
        <w:t>Big data</w:t>
      </w:r>
      <w:r w:rsidRPr="00D16F3B">
        <w:rPr>
          <w:i/>
          <w:iCs/>
          <w:sz w:val="20"/>
        </w:rPr>
        <w:t xml:space="preserve"> Management in Theorie und Praxis aus rechtlicher Sicht</w:t>
      </w:r>
      <w:r w:rsidRPr="00D16F3B">
        <w:rPr>
          <w:sz w:val="20"/>
        </w:rPr>
        <w:t xml:space="preserve">, </w:t>
      </w:r>
      <w:r w:rsidR="00C51D67" w:rsidRPr="00D16F3B">
        <w:rPr>
          <w:sz w:val="20"/>
        </w:rPr>
        <w:t>Thesis</w:t>
      </w:r>
      <w:r w:rsidRPr="00D16F3B">
        <w:rPr>
          <w:sz w:val="20"/>
        </w:rPr>
        <w:t>, Universität St. Gallen, hlm. 19.</w:t>
      </w:r>
      <w:r w:rsidRPr="00D16F3B">
        <w:rPr>
          <w:sz w:val="20"/>
        </w:rPr>
        <w:fldChar w:fldCharType="end"/>
      </w:r>
    </w:p>
  </w:footnote>
  <w:footnote w:id="10">
    <w:p w14:paraId="23C9BB05" w14:textId="54FC6410"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002961BD" w:rsidRPr="00D16F3B">
        <w:rPr>
          <w:i/>
          <w:iCs/>
          <w:sz w:val="20"/>
        </w:rPr>
        <w:t>Big data</w:t>
      </w:r>
      <w:r w:rsidRPr="00D16F3B">
        <w:rPr>
          <w:sz w:val="20"/>
        </w:rPr>
        <w:t xml:space="preserve"> adalah aset informasi yang memiliki volume, kecepatan, dan variasi yang tinggi sehingga memerlukan teknologi khusus dan metode analisis untuk mengubahnya menjadi sebuah data yang memiliki nilai.</w:t>
      </w:r>
      <w:r w:rsidRPr="00D16F3B">
        <w:rPr>
          <w:sz w:val="20"/>
        </w:rPr>
        <w:fldChar w:fldCharType="begin"/>
      </w:r>
      <w:r w:rsidR="00C1190A" w:rsidRPr="00D16F3B">
        <w:rPr>
          <w:sz w:val="20"/>
        </w:rPr>
        <w:instrText xml:space="preserve"> ADDIN ZOTERO_ITEM CSL_CITATION {"citationID":"sJqkc8qV","properties":{"formattedCitation":"Andrea De Mauro, Marco Greco, and Michele Grimaldi, \\uc0\\u8220{}A formal definition of Big Data based on its essential features\\uc0\\u8221{}, Emerald Group Publishing Limited {\\i{}Library review}, Vol. 65, No. 3, 2016, pp. 122\\uc0\\u8211{}135, at p. 129.","plainCitation":"Andrea De Mauro, Marco Greco, and Michele Grimaldi, “A formal definition of Big Data based on its essential features”, Emerald Group Publishing Limited Library review, Vol. 65, No. 3, 2016, pp. 122–135, at p. 129.","dontUpdate":true,"noteIndex":10},"citationItems":[{"id":6081,"uris":["http://zotero.org/users/4802390/items/4PEUMIGZ"],"itemData":{"id":6081,"type":"article-journal","container-title":"Library review","issue":"3","note":"publisher: Emerald Group Publishing Limited","page":"122–135","source":"Google Scholar","title":"A formal definition of Big Data based on its essential features","volume":"65","author":[{"family":"De Mauro","given":"Andrea"},{"family":"Greco","given":"Marco"},{"family":"Grimaldi","given":"Michele"}],"issued":{"date-parts":[["2016"]]}},"locator":"129","label":"page"}],"schema":"https://github.com/citation-style-language/schema/raw/master/csl-citation.json"} </w:instrText>
      </w:r>
      <w:r w:rsidRPr="00D16F3B">
        <w:rPr>
          <w:sz w:val="20"/>
        </w:rPr>
        <w:fldChar w:fldCharType="separate"/>
      </w:r>
      <w:r w:rsidRPr="00D16F3B">
        <w:rPr>
          <w:sz w:val="20"/>
        </w:rPr>
        <w:t>Andrea De Mauro, Marco Greco, and Michele Grimaldi, “</w:t>
      </w:r>
      <w:r w:rsidRPr="00D16F3B">
        <w:rPr>
          <w:i/>
          <w:iCs/>
          <w:sz w:val="20"/>
        </w:rPr>
        <w:t xml:space="preserve">A Formal Definition of </w:t>
      </w:r>
      <w:r w:rsidR="002961BD" w:rsidRPr="00D16F3B">
        <w:rPr>
          <w:i/>
          <w:iCs/>
          <w:sz w:val="20"/>
        </w:rPr>
        <w:t>Big data</w:t>
      </w:r>
      <w:r w:rsidRPr="00D16F3B">
        <w:rPr>
          <w:i/>
          <w:iCs/>
          <w:sz w:val="20"/>
        </w:rPr>
        <w:t xml:space="preserve"> based on its Essential Features</w:t>
      </w:r>
      <w:r w:rsidRPr="00D16F3B">
        <w:rPr>
          <w:sz w:val="20"/>
        </w:rPr>
        <w:t xml:space="preserve">”, Emerald Group Publishing Limited </w:t>
      </w:r>
      <w:r w:rsidRPr="00D16F3B">
        <w:rPr>
          <w:i/>
          <w:iCs/>
          <w:sz w:val="20"/>
        </w:rPr>
        <w:t>Library review</w:t>
      </w:r>
      <w:r w:rsidRPr="00D16F3B">
        <w:rPr>
          <w:sz w:val="20"/>
        </w:rPr>
        <w:t xml:space="preserve"> 65, </w:t>
      </w:r>
      <w:r w:rsidR="00C51D67" w:rsidRPr="00D16F3B">
        <w:rPr>
          <w:sz w:val="20"/>
        </w:rPr>
        <w:t>n</w:t>
      </w:r>
      <w:r w:rsidRPr="00D16F3B">
        <w:rPr>
          <w:sz w:val="20"/>
        </w:rPr>
        <w:t xml:space="preserve">o. 3 </w:t>
      </w:r>
      <w:r w:rsidR="00C51D67" w:rsidRPr="00D16F3B">
        <w:rPr>
          <w:sz w:val="20"/>
        </w:rPr>
        <w:t>(</w:t>
      </w:r>
      <w:r w:rsidRPr="00D16F3B">
        <w:rPr>
          <w:sz w:val="20"/>
        </w:rPr>
        <w:t>2016</w:t>
      </w:r>
      <w:r w:rsidR="00C51D67" w:rsidRPr="00D16F3B">
        <w:rPr>
          <w:sz w:val="20"/>
        </w:rPr>
        <w:t xml:space="preserve">): </w:t>
      </w:r>
      <w:r w:rsidRPr="00D16F3B">
        <w:rPr>
          <w:sz w:val="20"/>
        </w:rPr>
        <w:t>129.</w:t>
      </w:r>
      <w:r w:rsidRPr="00D16F3B">
        <w:rPr>
          <w:sz w:val="20"/>
        </w:rPr>
        <w:fldChar w:fldCharType="end"/>
      </w:r>
    </w:p>
  </w:footnote>
  <w:footnote w:id="11">
    <w:p w14:paraId="7DCA0E88" w14:textId="0CEE8CEB"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fldChar w:fldCharType="begin"/>
      </w:r>
      <w:r w:rsidR="001E12FD" w:rsidRPr="00D16F3B">
        <w:rPr>
          <w:sz w:val="20"/>
        </w:rPr>
        <w:instrText xml:space="preserve"> ADDIN ZOTERO_ITEM CSL_CITATION {"citationID":"lvGJzyS7","properties":{"formattedCitation":"Moch Marsa Taufiqurrohman {\\i{}dkk.}, \\uc0\\u8220{}MENINJAU PERANG SIBER: DAPATKAH KONVENSI-KONVENSI HUKUM HUMANITER INTERNASIONAL MENINJAU FENOMENA INI?,\\uc0\\u8221{} Vol. 1, No. 2, 2021, hlm. 21, pada hlm. 19.","plainCitation":"Moch Marsa Taufiqurrohman dkk., “MENINJAU PERANG SIBER: DAPATKAH KONVENSI-KONVENSI HUKUM HUMANITER INTERNASIONAL MENINJAU FENOMENA INI?,” Vol. 1, No. 2, 2021, hlm. 21, pada hlm. 19.","dontUpdate":true,"noteIndex":11},"citationItems":[{"id":2324,"uris":["http://zotero.org/users/4802390/items/D45THHCL"],"itemData":{"id":2324,"type":"article-journal","abstract":"Cyberwarfare is a form of warfare that cannot be explicitly addressed by existing international law. While most experts agree that legal restrictions should apply to this phenomenon. However, the international community has not been able to reach a consensus on how international humanitarian law (IHL) can be adapted. This article argues that this issue remains unresolved academically. Some passages in the Geneva Conventions and the Hague Convention may indeed be relevant to cyber warfare, but specifically the relevance does not respond to this phenomenon. Many cyberattacks inevitably inflict losses on parties, making these violations more likely to occur in cyber conflicts than in conventional wars. With this in mind, this article also argues that IHL should evolve to encourage the creation of a legal umbrella against cyberwarfare in some situations and provide better guidance.","issue":"2","language":"id","page":"21","source":"Zotero","title":"MENINJAU PERANG SIBER: DAPATKAH KONVENSI-KONVENSI HUKUM HUMANITER INTERNASIONAL MENINJAU FENOMENA INI?","volume":"1","author":[{"family":"Taufiqurrohman","given":"Moch Marsa"},{"family":"Fahri","given":"Muhammad Toriq"},{"family":"Wijaya","given":"Kurnia"},{"family":"Wiranata","given":"I Gede Putu"}],"issued":{"date-parts":[["2021"]]}},"locator":"19","label":"page"}],"schema":"https://github.com/citation-style-language/schema/raw/master/csl-citation.json"} </w:instrText>
      </w:r>
      <w:r w:rsidRPr="00D16F3B">
        <w:rPr>
          <w:sz w:val="20"/>
        </w:rPr>
        <w:fldChar w:fldCharType="separate"/>
      </w:r>
      <w:r w:rsidRPr="00D16F3B">
        <w:rPr>
          <w:sz w:val="20"/>
        </w:rPr>
        <w:t xml:space="preserve">Moch Marsa Taufiqurrohman </w:t>
      </w:r>
      <w:r w:rsidRPr="00D16F3B">
        <w:rPr>
          <w:i/>
          <w:iCs/>
          <w:sz w:val="20"/>
        </w:rPr>
        <w:t>dkk.</w:t>
      </w:r>
      <w:r w:rsidRPr="00D16F3B">
        <w:rPr>
          <w:sz w:val="20"/>
        </w:rPr>
        <w:t xml:space="preserve">, “Meninjau Perang Siber: Dapatkah Konvensi-Konvensi Hukum Humaniter Internasional Meninjau Fenomena Ini?,” </w:t>
      </w:r>
      <w:r w:rsidRPr="00D16F3B">
        <w:rPr>
          <w:i/>
          <w:iCs/>
          <w:sz w:val="20"/>
        </w:rPr>
        <w:t>Jurnal Kawruh Abiyasa</w:t>
      </w:r>
      <w:r w:rsidR="00C51D67" w:rsidRPr="00D16F3B">
        <w:rPr>
          <w:i/>
          <w:iCs/>
          <w:sz w:val="20"/>
        </w:rPr>
        <w:t>,</w:t>
      </w:r>
      <w:r w:rsidRPr="00D16F3B">
        <w:rPr>
          <w:sz w:val="20"/>
        </w:rPr>
        <w:t xml:space="preserve"> 1 </w:t>
      </w:r>
      <w:r w:rsidR="00C51D67" w:rsidRPr="00D16F3B">
        <w:rPr>
          <w:sz w:val="20"/>
        </w:rPr>
        <w:t>n</w:t>
      </w:r>
      <w:r w:rsidRPr="00D16F3B">
        <w:rPr>
          <w:sz w:val="20"/>
        </w:rPr>
        <w:t xml:space="preserve">o. 2 </w:t>
      </w:r>
      <w:r w:rsidR="00C51D67" w:rsidRPr="00D16F3B">
        <w:rPr>
          <w:sz w:val="20"/>
        </w:rPr>
        <w:t>(</w:t>
      </w:r>
      <w:r w:rsidRPr="00D16F3B">
        <w:rPr>
          <w:sz w:val="20"/>
        </w:rPr>
        <w:t>2021</w:t>
      </w:r>
      <w:r w:rsidR="00C51D67" w:rsidRPr="00D16F3B">
        <w:rPr>
          <w:sz w:val="20"/>
        </w:rPr>
        <w:t>):</w:t>
      </w:r>
      <w:r w:rsidRPr="00D16F3B">
        <w:rPr>
          <w:sz w:val="20"/>
        </w:rPr>
        <w:t xml:space="preserve"> 21.</w:t>
      </w:r>
      <w:r w:rsidRPr="00D16F3B">
        <w:rPr>
          <w:sz w:val="20"/>
        </w:rPr>
        <w:fldChar w:fldCharType="end"/>
      </w:r>
    </w:p>
  </w:footnote>
  <w:footnote w:id="12">
    <w:p w14:paraId="4D12A881" w14:textId="2E769440"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fldChar w:fldCharType="begin"/>
      </w:r>
      <w:r w:rsidR="00603A3B" w:rsidRPr="00D16F3B">
        <w:rPr>
          <w:sz w:val="20"/>
        </w:rPr>
        <w:instrText xml:space="preserve"> ADDIN ZOTERO_ITEM CSL_CITATION {"citationID":"zXHZsfjj","properties":{"formattedCitation":"Faizal Kurniawan, Moch Marsa Tau\\uc0\\u64257{}qurrohman, dan Xavier Nugraha, \\uc0\\u8220{}LEGAL PROTECTION OF TRADE SECRETS OVER THE POTENTIAL DISPOSAL OF TRADE SECRETS UNDER THE RE-ENGINEERING PRECAUTIONS,\\uc0\\u8221{} Vol. 16, No. 2, hlm. 17, pada hlm. 17.","plainCitation":"Faizal Kurniawan, Moch Marsa Tauﬁqurrohman, dan Xavier Nugraha, “LEGAL PROTECTION OF TRADE SECRETS OVER THE POTENTIAL DISPOSAL OF TRADE SECRETS UNDER THE RE-ENGINEERING PRECAUTIONS,” Vol. 16, No. 2, hlm. 17, pada hlm. 17.","dontUpdate":true,"noteIndex":12},"citationItems":[{"id":97,"uris":["http://zotero.org/users/4802390/items/ME9LPUAN"],"itemData":{"id":97,"type":"article-journal","abstract":"The Indonesian Trade Secrets Law Number 30/2000 (ITS Law) postulates exemptions for acts that are not considered infringements to protect trade secrets. One of them is the reverse engineering of other people’s trade secrets. The problem is that the ITS Law does not limit the extent to which reverse engineering can be justiﬁed. The absence of these limitations also allows attempts to disclose trade secrets under the pretext of reverse engineering. This problem ultimately results in the absence of legal certainty for the protection against trade secret disclosure, which is the sole responsibility of the trade secret owner. This article aims to re-analyze the protection provided by the ITS Law and examine the extent to which the limitations on reverse engineering can be justiﬁed in the ITS Law. This article used normative juridical research methods combined with statutory, conceptual, and case approaches. It revealed a paradox in the protection of trade secrets against the possibility of trade secret disclosure. This article concluded that changes are necessary to the ITS Law, speciﬁcally by adjusting to the basic principles of IPR protection, limiting the extent to which the reverse engineering of other people’s trade secrets can be justiﬁed, and adding a “Good Faith” clause in performing reverse engineering actions.","issue":"2","language":"en","page":"17","source":"Zotero","title":"LEGAL PROTECTION OF TRADE SECRETS OVER THE POTENTIAL DISPOSAL OF TRADE SECRETS UNDER THE RE-ENGINEERING PRECAUTIONS","volume":"16","author":[{"family":"Kurniawan","given":"Faizal"},{"family":"Tauﬁqurrohman","given":"Moch Marsa"},{"family":"Nugraha","given":"Xavier"}]},"locator":"17","label":"page"}],"schema":"https://github.com/citation-style-language/schema/raw/master/csl-citation.json"} </w:instrText>
      </w:r>
      <w:r w:rsidRPr="00D16F3B">
        <w:rPr>
          <w:sz w:val="20"/>
        </w:rPr>
        <w:fldChar w:fldCharType="separate"/>
      </w:r>
      <w:r w:rsidRPr="00D16F3B">
        <w:rPr>
          <w:sz w:val="20"/>
        </w:rPr>
        <w:t xml:space="preserve">Faizal Kurniawan, Moch Marsa Tauﬁqurrohman, dan Xavier Nugraha, “Legal Protection Of Trade Secrets Over The Potential Disposal Of Trade Secrets Under The Re-Engineering Precautions,” </w:t>
      </w:r>
      <w:r w:rsidR="00C51D67" w:rsidRPr="00D16F3B">
        <w:rPr>
          <w:i/>
          <w:iCs/>
          <w:sz w:val="20"/>
        </w:rPr>
        <w:t>Jurnal Kebijakan Ilmiah Hukum</w:t>
      </w:r>
      <w:r w:rsidR="00C51D67" w:rsidRPr="00D16F3B">
        <w:rPr>
          <w:sz w:val="20"/>
        </w:rPr>
        <w:t xml:space="preserve"> </w:t>
      </w:r>
      <w:r w:rsidRPr="00D16F3B">
        <w:rPr>
          <w:sz w:val="20"/>
        </w:rPr>
        <w:t xml:space="preserve">16, </w:t>
      </w:r>
      <w:r w:rsidR="00C51D67" w:rsidRPr="00D16F3B">
        <w:rPr>
          <w:sz w:val="20"/>
        </w:rPr>
        <w:t>n</w:t>
      </w:r>
      <w:r w:rsidRPr="00D16F3B">
        <w:rPr>
          <w:sz w:val="20"/>
        </w:rPr>
        <w:t>o. 2</w:t>
      </w:r>
      <w:r w:rsidR="00C51D67" w:rsidRPr="00D16F3B">
        <w:rPr>
          <w:sz w:val="20"/>
        </w:rPr>
        <w:t xml:space="preserve"> (2021):</w:t>
      </w:r>
      <w:r w:rsidRPr="00D16F3B">
        <w:rPr>
          <w:sz w:val="20"/>
        </w:rPr>
        <w:t xml:space="preserve"> 17.</w:t>
      </w:r>
      <w:r w:rsidRPr="00D16F3B">
        <w:rPr>
          <w:sz w:val="20"/>
        </w:rPr>
        <w:fldChar w:fldCharType="end"/>
      </w:r>
    </w:p>
  </w:footnote>
  <w:footnote w:id="13">
    <w:p w14:paraId="30D03F42" w14:textId="76BB4B81"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fldChar w:fldCharType="begin"/>
      </w:r>
      <w:r w:rsidR="00C51D67" w:rsidRPr="00D16F3B">
        <w:rPr>
          <w:sz w:val="20"/>
        </w:rPr>
        <w:instrText xml:space="preserve"> ADDIN ZOTERO_ITEM CSL_CITATION {"citationID":"A9Xk5845","properties":{"formattedCitation":"Christophe Samuel Hutchinson, Gulnara Fliurovna Ruchkina, and Sergei Guerasimovich Pavlikov, \\uc0\\u8220{}Tacit collusion on steroids: The potential risks for competition resulting from the use of algorithm technology by companies\\uc0\\u8221{}, MDPI {\\i{}Sustainability}, Vol. 13, No. 2, 2021, p. 951, at p. 7.","plainCitation":"Christophe Samuel Hutchinson, Gulnara Fliurovna Ruchkina, and Sergei Guerasimovich Pavlikov, “Tacit collusion on steroids: The potential risks for competition resulting from the use of algorithm technology by companies”, MDPI Sustainability, Vol. 13, No. 2, 2021, p. 951, at p. 7.","dontUpdate":true,"noteIndex":13},"citationItems":[{"id":6083,"uris":["http://zotero.org/users/4802390/items/7DCC3QKP"],"itemData":{"id":6083,"type":"article-journal","container-title":"Sustainability","issue":"2","note":"publisher: MDPI","page":"951","source":"Google Scholar","title":"Tacit collusion on steroids: The potential risks for competition resulting from the use of algorithm technology by companies","title-short":"Tacit collusion on steroids","volume":"13","author":[{"family":"Hutchinson","given":"Christophe Samuel"},{"family":"Ruchkina","given":"Gulnara Fliurovna"},{"family":"Pavlikov","given":"Sergei Guerasimovich"}],"issued":{"date-parts":[["2021"]]}},"locator":"7","label":"page"}],"schema":"https://github.com/citation-style-language/schema/raw/master/csl-citation.json"} </w:instrText>
      </w:r>
      <w:r w:rsidRPr="00D16F3B">
        <w:rPr>
          <w:sz w:val="20"/>
        </w:rPr>
        <w:fldChar w:fldCharType="separate"/>
      </w:r>
      <w:r w:rsidRPr="00D16F3B">
        <w:rPr>
          <w:sz w:val="20"/>
        </w:rPr>
        <w:t xml:space="preserve">Christophe Samuel Hutchinson, Gulnara Fliurovna Ruchkina, and Sergei Guerasimovich Pavlikov, “Tacit collusion on steroids: The potential risks for competition resulting from the use of algorithm technology by companies”, MDPI </w:t>
      </w:r>
      <w:r w:rsidRPr="00D16F3B">
        <w:rPr>
          <w:i/>
          <w:iCs/>
          <w:sz w:val="20"/>
        </w:rPr>
        <w:t>Sustainability</w:t>
      </w:r>
      <w:r w:rsidR="00C51D67" w:rsidRPr="00D16F3B">
        <w:rPr>
          <w:i/>
          <w:iCs/>
          <w:sz w:val="20"/>
        </w:rPr>
        <w:t xml:space="preserve"> </w:t>
      </w:r>
      <w:r w:rsidRPr="00D16F3B">
        <w:rPr>
          <w:sz w:val="20"/>
        </w:rPr>
        <w:t xml:space="preserve">13, </w:t>
      </w:r>
      <w:r w:rsidR="00C51D67" w:rsidRPr="00D16F3B">
        <w:rPr>
          <w:sz w:val="20"/>
        </w:rPr>
        <w:t>n</w:t>
      </w:r>
      <w:r w:rsidRPr="00D16F3B">
        <w:rPr>
          <w:sz w:val="20"/>
        </w:rPr>
        <w:t xml:space="preserve">o. 2 </w:t>
      </w:r>
      <w:r w:rsidR="00C51D67" w:rsidRPr="00D16F3B">
        <w:rPr>
          <w:sz w:val="20"/>
        </w:rPr>
        <w:t>(</w:t>
      </w:r>
      <w:r w:rsidRPr="00D16F3B">
        <w:rPr>
          <w:sz w:val="20"/>
        </w:rPr>
        <w:t>2021</w:t>
      </w:r>
      <w:r w:rsidR="00C51D67" w:rsidRPr="00D16F3B">
        <w:rPr>
          <w:sz w:val="20"/>
        </w:rPr>
        <w:t>)</w:t>
      </w:r>
      <w:r w:rsidRPr="00D16F3B">
        <w:rPr>
          <w:sz w:val="20"/>
        </w:rPr>
        <w:t>, hlm. 951.</w:t>
      </w:r>
      <w:r w:rsidRPr="00D16F3B">
        <w:rPr>
          <w:sz w:val="20"/>
        </w:rPr>
        <w:fldChar w:fldCharType="end"/>
      </w:r>
    </w:p>
  </w:footnote>
  <w:footnote w:id="14">
    <w:p w14:paraId="40178C6F" w14:textId="0377B9F3"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fldChar w:fldCharType="begin"/>
      </w:r>
      <w:r w:rsidR="00C51D67" w:rsidRPr="00D16F3B">
        <w:rPr>
          <w:sz w:val="20"/>
        </w:rPr>
        <w:instrText xml:space="preserve"> ADDIN ZOTERO_ITEM CSL_CITATION {"citationID":"9vcLqjhu","properties":{"formattedCitation":"Anwar Aridi and Urska Petrovcic, \\uc0\\u8220{}Big Tech, Small Tech, and the Data Economy\\uc0\\u8221{}, World Bank, Washington, DC, 2019, p. 19.","plainCitation":"Anwar Aridi and Urska Petrovcic, “Big Tech, Small Tech, and the Data Economy”, World Bank, Washington, DC, 2019, p. 19.","dontUpdate":true,"noteIndex":14},"citationItems":[{"id":6085,"uris":["http://zotero.org/users/4802390/items/QVMMIWT8"],"itemData":{"id":6085,"type":"article-journal","note":"publisher: World Bank, Washington, DC","source":"Google Scholar","title":"Big Tech, Small Tech, and the Data Economy","URL":"https://openknowledge.worldbank.org/handle/10986/33124","author":[{"family":"Aridi","given":"Anwar"},{"family":"Petrovcic","given":"Urska"}],"accessed":{"date-parts":[["2023",12,18]]},"issued":{"date-parts":[["2019"]]}},"locator":"19","label":"page"}],"schema":"https://github.com/citation-style-language/schema/raw/master/csl-citation.json"} </w:instrText>
      </w:r>
      <w:r w:rsidRPr="00D16F3B">
        <w:rPr>
          <w:sz w:val="20"/>
        </w:rPr>
        <w:fldChar w:fldCharType="separate"/>
      </w:r>
      <w:r w:rsidRPr="00D16F3B">
        <w:rPr>
          <w:sz w:val="20"/>
        </w:rPr>
        <w:t xml:space="preserve">Anwar Aridi and Urska Petrovcic, </w:t>
      </w:r>
      <w:r w:rsidRPr="00D16F3B">
        <w:rPr>
          <w:i/>
          <w:iCs/>
          <w:sz w:val="20"/>
        </w:rPr>
        <w:t>Big Tech, Small Tech, and the Data Economy</w:t>
      </w:r>
      <w:r w:rsidRPr="00D16F3B">
        <w:rPr>
          <w:sz w:val="20"/>
        </w:rPr>
        <w:t xml:space="preserve"> </w:t>
      </w:r>
      <w:r w:rsidR="00C51D67" w:rsidRPr="00D16F3B">
        <w:rPr>
          <w:sz w:val="20"/>
        </w:rPr>
        <w:t>(</w:t>
      </w:r>
      <w:r w:rsidRPr="00D16F3B">
        <w:rPr>
          <w:sz w:val="20"/>
        </w:rPr>
        <w:t>World Bank, 2019</w:t>
      </w:r>
      <w:r w:rsidR="00C51D67" w:rsidRPr="00D16F3B">
        <w:rPr>
          <w:sz w:val="20"/>
        </w:rPr>
        <w:t>)</w:t>
      </w:r>
      <w:r w:rsidRPr="00D16F3B">
        <w:rPr>
          <w:sz w:val="20"/>
        </w:rPr>
        <w:t>, 19.</w:t>
      </w:r>
      <w:r w:rsidRPr="00D16F3B">
        <w:rPr>
          <w:sz w:val="20"/>
        </w:rPr>
        <w:fldChar w:fldCharType="end"/>
      </w:r>
    </w:p>
  </w:footnote>
  <w:footnote w:id="15">
    <w:p w14:paraId="627366C6" w14:textId="7A9DE5A4"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 xml:space="preserve">Efek Jaringan adalah situasi di mana nilai suatu produk atau layanan bagi konsumen meningkat seiring dengan semakin banyaknya orang yang menggunakan produk atau layanan yang sama </w:t>
      </w:r>
      <w:r w:rsidRPr="00D16F3B">
        <w:rPr>
          <w:sz w:val="20"/>
        </w:rPr>
        <w:fldChar w:fldCharType="begin"/>
      </w:r>
      <w:r w:rsidR="00C51D67" w:rsidRPr="00D16F3B">
        <w:rPr>
          <w:sz w:val="20"/>
        </w:rPr>
        <w:instrText xml:space="preserve"> ADDIN ZOTERO_ITEM CSL_CITATION {"citationID":"u204sZsZ","properties":{"formattedCitation":"Ibid., p. 21.","plainCitation":"Ibid., p. 21.","dontUpdate":true,"noteIndex":15},"citationItems":[{"id":6085,"uris":["http://zotero.org/users/4802390/items/QVMMIWT8"],"itemData":{"id":6085,"type":"article-journal","note":"publisher: World Bank, Washington, DC","source":"Google Scholar","title":"Big Tech, Small Tech, and the Data Economy","URL":"https://openknowledge.worldbank.org/handle/10986/33124","author":[{"family":"Aridi","given":"Anwar"},{"family":"Petrovcic","given":"Urska"}],"accessed":{"date-parts":[["2023",12,18]]},"issued":{"date-parts":[["2019"]]}},"locator":"21","label":"page"}],"schema":"https://github.com/citation-style-language/schema/raw/master/csl-citation.json"} </w:instrText>
      </w:r>
      <w:r w:rsidRPr="00D16F3B">
        <w:rPr>
          <w:sz w:val="20"/>
        </w:rPr>
        <w:fldChar w:fldCharType="separate"/>
      </w:r>
      <w:r w:rsidRPr="00D16F3B">
        <w:rPr>
          <w:sz w:val="20"/>
        </w:rPr>
        <w:t>Ibid..</w:t>
      </w:r>
      <w:r w:rsidRPr="00D16F3B">
        <w:rPr>
          <w:sz w:val="20"/>
        </w:rPr>
        <w:fldChar w:fldCharType="end"/>
      </w:r>
    </w:p>
  </w:footnote>
  <w:footnote w:id="16">
    <w:p w14:paraId="5A150F9C" w14:textId="27F55977" w:rsidR="00EB65CB" w:rsidRPr="00D16F3B" w:rsidRDefault="00EB65CB"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C51D67" w:rsidRPr="00D16F3B">
        <w:rPr>
          <w:sz w:val="20"/>
        </w:rPr>
        <w:tab/>
      </w:r>
      <w:r w:rsidRPr="00D16F3B">
        <w:rPr>
          <w:sz w:val="20"/>
        </w:rPr>
        <w:fldChar w:fldCharType="begin"/>
      </w:r>
      <w:r w:rsidR="00C51D67" w:rsidRPr="00D16F3B">
        <w:rPr>
          <w:sz w:val="20"/>
        </w:rPr>
        <w:instrText xml:space="preserve"> ADDIN ZOTERO_ITEM CSL_CITATION {"citationID":"fySSPOed","properties":{"formattedCitation":"Hutchinson, Ruchkina, and Pavlikov, \\uc0\\u8220{}Tacit Collusion on Steroids,\\uc0\\u8221{} 8.","plainCitation":"Hutchinson, Ruchkina, and Pavlikov, “Tacit Collusion on Steroids,” 8.","noteIndex":16},"citationItems":[{"id":6083,"uris":["http://zotero.org/users/4802390/items/7DCC3QKP"],"itemData":{"id":6083,"type":"article-journal","container-title":"Sustainability","issue":"2","note":"publisher: MDPI","page":"951","source":"Google Scholar","title":"Tacit collusion on steroids: The potential risks for competition resulting from the use of algorithm technology by companies","title-short":"Tacit collusion on steroids","volume":"13","author":[{"family":"Hutchinson","given":"Christophe Samuel"},{"family":"Ruchkina","given":"Gulnara Fliurovna"},{"family":"Pavlikov","given":"Sergei Guerasimovich"}],"issued":{"date-parts":[["2021"]]}},"locator":"8","label":"page"}],"schema":"https://github.com/citation-style-language/schema/raw/master/csl-citation.json"} </w:instrText>
      </w:r>
      <w:r w:rsidRPr="00D16F3B">
        <w:rPr>
          <w:sz w:val="20"/>
        </w:rPr>
        <w:fldChar w:fldCharType="separate"/>
      </w:r>
      <w:r w:rsidRPr="00D16F3B">
        <w:rPr>
          <w:sz w:val="20"/>
        </w:rPr>
        <w:t>Hutchinson, Ruchkina, and Pavlikov, “Tacit Collusion on Steroids,” 8.</w:t>
      </w:r>
      <w:r w:rsidRPr="00D16F3B">
        <w:rPr>
          <w:sz w:val="20"/>
        </w:rPr>
        <w:fldChar w:fldCharType="end"/>
      </w:r>
    </w:p>
  </w:footnote>
  <w:footnote w:id="17">
    <w:p w14:paraId="5882A2D4" w14:textId="6DC12B5B" w:rsidR="00C51D67" w:rsidRPr="00D16F3B" w:rsidRDefault="00C51D67"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 xml:space="preserve">Raksasa teknologi seperti Amazon, Apple, Google, Facebook dan Microsoft telah menghabiskan miliaran dolar untuk perangkat keras komputasi dan pusat data yang menjalankan operasi mereka sendiri. </w:t>
      </w:r>
      <w:r w:rsidRPr="00D16F3B">
        <w:rPr>
          <w:sz w:val="20"/>
        </w:rPr>
        <w:fldChar w:fldCharType="begin"/>
      </w:r>
      <w:r w:rsidRPr="00D16F3B">
        <w:rPr>
          <w:sz w:val="20"/>
        </w:rPr>
        <w:instrText xml:space="preserve"> ADDIN ZOTERO_ITEM CSL_CITATION {"citationID":"2NjFsMes","properties":{"formattedCitation":"Ezrachi, {\\i{}Virtual Competition}, 149.","plainCitation":"Ezrachi, Virtual Competition, 149.","noteIndex":17},"citationItems":[{"id":6079,"uris":["http://zotero.org/users/4802390/items/7DF34LXG"],"itemData":{"id":6079,"type":"book","ISBN":"978-0-674-97333-6","note":"DOI: 10.4159/9780674973336","publisher":"Harvard University Press","source":"DOI.org (Crossref)","title":"Virtual Competition: The Promise and Perils of the Algorithm-Driven Economy","title-short":"Virtual Competition","URL":"https://www.degruyter.com/document/doi/10.4159/9780674973336/html","author":[{"family":"Ezrachi","given":"Ariel"}],"accessed":{"date-parts":[["2023",12,18]]},"issued":{"date-parts":[["2016",1,1]]}},"locator":"149","label":"page"}],"schema":"https://github.com/citation-style-language/schema/raw/master/csl-citation.json"} </w:instrText>
      </w:r>
      <w:r w:rsidRPr="00D16F3B">
        <w:rPr>
          <w:sz w:val="20"/>
        </w:rPr>
        <w:fldChar w:fldCharType="separate"/>
      </w:r>
      <w:r w:rsidRPr="00D16F3B">
        <w:rPr>
          <w:sz w:val="20"/>
        </w:rPr>
        <w:t xml:space="preserve">Ezrachi, </w:t>
      </w:r>
      <w:r w:rsidRPr="00D16F3B">
        <w:rPr>
          <w:i/>
          <w:iCs/>
          <w:sz w:val="20"/>
        </w:rPr>
        <w:t>Virtual Competition</w:t>
      </w:r>
      <w:r w:rsidRPr="00D16F3B">
        <w:rPr>
          <w:sz w:val="20"/>
        </w:rPr>
        <w:t>, 149.</w:t>
      </w:r>
      <w:r w:rsidRPr="00D16F3B">
        <w:rPr>
          <w:sz w:val="20"/>
        </w:rPr>
        <w:fldChar w:fldCharType="end"/>
      </w:r>
    </w:p>
  </w:footnote>
  <w:footnote w:id="18">
    <w:p w14:paraId="050DDBF7" w14:textId="1E43E251"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i/>
          <w:iCs/>
          <w:sz w:val="20"/>
        </w:rPr>
        <w:t xml:space="preserve">Gatekeepers </w:t>
      </w:r>
      <w:r w:rsidRPr="00D16F3B">
        <w:rPr>
          <w:sz w:val="20"/>
        </w:rPr>
        <w:t xml:space="preserve">adalah sebutan untuk platform digital dominan seperti Amazon, Apple, Google, Facebook, Microsoft Penjaga gerbang adalah perusahaan yang melalui penggunaan </w:t>
      </w:r>
      <w:r w:rsidR="002961BD" w:rsidRPr="00D16F3B">
        <w:rPr>
          <w:i/>
          <w:iCs/>
          <w:sz w:val="20"/>
        </w:rPr>
        <w:t>Big data</w:t>
      </w:r>
      <w:r w:rsidRPr="00D16F3B">
        <w:rPr>
          <w:sz w:val="20"/>
        </w:rPr>
        <w:t xml:space="preserve"> dan algoritmanya semakin bertindak sebagai pintu gerbang antara pengguna bisnis dan pengguna akhir serta menikmati posisi yang mengakar dan tahan lama. Bisnis-bisnis ini telah terbukti sangat menguntungkan, sehingga beberapa platform perhatian dan algoritma pencocokan masuk dalam 10 perusahaan paling berharga di dunia. Pada Juni 2021, kapitalisasi pasar masing-masing berkisar antara 965 miliar USD untuk Facebook, 1,6 triliun USD untuk Alphabet (Google), 1,7 triliun USD untuk Amazon, 1,9 triliun USD untuk Microsoft, dan hingga 2,3 triliun USD untuk Apple.</w:t>
      </w:r>
      <w:r w:rsidR="00C51D67" w:rsidRPr="00D16F3B">
        <w:rPr>
          <w:sz w:val="20"/>
        </w:rPr>
        <w:t xml:space="preserve"> </w:t>
      </w:r>
      <w:r w:rsidRPr="00D16F3B">
        <w:rPr>
          <w:sz w:val="20"/>
        </w:rPr>
        <w:fldChar w:fldCharType="begin"/>
      </w:r>
      <w:r w:rsidR="00C1190A" w:rsidRPr="00D16F3B">
        <w:rPr>
          <w:sz w:val="20"/>
        </w:rPr>
        <w:instrText xml:space="preserve"> ADDIN ZOTERO_ITEM CSL_CITATION {"citationID":"Qe0Hws1g","properties":{"formattedCitation":"Ibid., p. 150.","plainCitation":"Ibid., p. 150.","dontUpdate":true,"noteIndex":18},"citationItems":[{"id":6079,"uris":["http://zotero.org/users/4802390/items/7DF34LXG"],"itemData":{"id":6079,"type":"book","ISBN":"978-0-674-97333-6","note":"DOI: 10.4159/9780674973336","publisher":"Harvard University Press","source":"DOI.org (Crossref)","title":"Virtual Competition: The Promise and Perils of the Algorithm-Driven Economy","title-short":"Virtual Competition","URL":"https://www.degruyter.com/document/doi/10.4159/9780674973336/html","author":[{"family":"Ezrachi","given":"Ariel"}],"accessed":{"date-parts":[["2023",12,18]]},"issued":{"date-parts":[["2016",1,1]]}},"locator":"150","label":"page"}],"schema":"https://github.com/citation-style-language/schema/raw/master/csl-citation.json"} </w:instrText>
      </w:r>
      <w:r w:rsidRPr="00D16F3B">
        <w:rPr>
          <w:sz w:val="20"/>
        </w:rPr>
        <w:fldChar w:fldCharType="separate"/>
      </w:r>
      <w:r w:rsidRPr="00D16F3B">
        <w:rPr>
          <w:sz w:val="20"/>
        </w:rPr>
        <w:t>Ibid..</w:t>
      </w:r>
      <w:r w:rsidRPr="00D16F3B">
        <w:rPr>
          <w:sz w:val="20"/>
        </w:rPr>
        <w:fldChar w:fldCharType="end"/>
      </w:r>
    </w:p>
  </w:footnote>
  <w:footnote w:id="19">
    <w:p w14:paraId="7FBC4A53" w14:textId="606CA9F7"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fldChar w:fldCharType="begin"/>
      </w:r>
      <w:r w:rsidR="00C1190A" w:rsidRPr="00D16F3B">
        <w:rPr>
          <w:sz w:val="20"/>
        </w:rPr>
        <w:instrText xml:space="preserve"> ADDIN ZOTERO_ITEM CSL_CITATION {"citationID":"bQf7l25h","properties":{"formattedCitation":"Ibid.","plainCitation":"Ibid.","noteIndex":19},"citationItems":[{"id":6079,"uris":["http://zotero.org/users/4802390/items/7DF34LXG"],"itemData":{"id":6079,"type":"book","ISBN":"978-0-674-97333-6","note":"DOI: 10.4159/9780674973336","publisher":"Harvard University Press","source":"DOI.org (Crossref)","title":"Virtual Competition: The Promise and Perils of the Algorithm-Driven Economy","title-short":"Virtual Competition","URL":"https://www.degruyter.com/document/doi/10.4159/9780674973336/html","author":[{"family":"Ezrachi","given":"Ariel"}],"accessed":{"date-parts":[["2023",12,18]]},"issued":{"date-parts":[["2016",1,1]]}},"locator":"150","label":"page"}],"schema":"https://github.com/citation-style-language/schema/raw/master/csl-citation.json"} </w:instrText>
      </w:r>
      <w:r w:rsidRPr="00D16F3B">
        <w:rPr>
          <w:sz w:val="20"/>
        </w:rPr>
        <w:fldChar w:fldCharType="separate"/>
      </w:r>
      <w:r w:rsidR="00EB65CB" w:rsidRPr="00D16F3B">
        <w:rPr>
          <w:sz w:val="20"/>
        </w:rPr>
        <w:t>Ibid.</w:t>
      </w:r>
      <w:r w:rsidRPr="00D16F3B">
        <w:rPr>
          <w:sz w:val="20"/>
        </w:rPr>
        <w:fldChar w:fldCharType="end"/>
      </w:r>
    </w:p>
  </w:footnote>
  <w:footnote w:id="20">
    <w:p w14:paraId="757C49CF" w14:textId="1338D02D"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fldChar w:fldCharType="begin"/>
      </w:r>
      <w:r w:rsidR="00C1190A" w:rsidRPr="00D16F3B">
        <w:rPr>
          <w:sz w:val="20"/>
        </w:rPr>
        <w:instrText xml:space="preserve"> ADDIN ZOTERO_ITEM CSL_CITATION {"citationID":"yZOaYbje","properties":{"formattedCitation":"Ibid., p. 151.","plainCitation":"Ibid., p. 151.","dontUpdate":true,"noteIndex":20},"citationItems":[{"id":6079,"uris":["http://zotero.org/users/4802390/items/7DF34LXG"],"itemData":{"id":6079,"type":"book","ISBN":"978-0-674-97333-6","note":"DOI: 10.4159/9780674973336","publisher":"Harvard University Press","source":"DOI.org (Crossref)","title":"Virtual Competition: The Promise and Perils of the Algorithm-Driven Economy","title-short":"Virtual Competition","URL":"https://www.degruyter.com/document/doi/10.4159/9780674973336/html","author":[{"family":"Ezrachi","given":"Ariel"}],"accessed":{"date-parts":[["2023",12,18]]},"issued":{"date-parts":[["2016",1,1]]}},"locator":"151","label":"page"}],"schema":"https://github.com/citation-style-language/schema/raw/master/csl-citation.json"} </w:instrText>
      </w:r>
      <w:r w:rsidRPr="00D16F3B">
        <w:rPr>
          <w:sz w:val="20"/>
        </w:rPr>
        <w:fldChar w:fldCharType="separate"/>
      </w:r>
      <w:r w:rsidRPr="00D16F3B">
        <w:rPr>
          <w:sz w:val="20"/>
        </w:rPr>
        <w:t>Ibid.</w:t>
      </w:r>
      <w:r w:rsidRPr="00D16F3B">
        <w:rPr>
          <w:sz w:val="20"/>
        </w:rPr>
        <w:fldChar w:fldCharType="end"/>
      </w:r>
    </w:p>
  </w:footnote>
  <w:footnote w:id="21">
    <w:p w14:paraId="3C288D8D" w14:textId="199F97CF"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fldChar w:fldCharType="begin"/>
      </w:r>
      <w:r w:rsidR="00C1190A" w:rsidRPr="00D16F3B">
        <w:rPr>
          <w:sz w:val="20"/>
        </w:rPr>
        <w:instrText xml:space="preserve"> ADDIN ZOTERO_ITEM CSL_CITATION {"citationID":"d9kQ4B3i","properties":{"formattedCitation":"Ibid.","plainCitation":"Ibid.","noteIndex":21},"citationItems":[{"id":6079,"uris":["http://zotero.org/users/4802390/items/7DF34LXG"],"itemData":{"id":6079,"type":"book","ISBN":"978-0-674-97333-6","note":"DOI: 10.4159/9780674973336","publisher":"Harvard University Press","source":"DOI.org (Crossref)","title":"Virtual Competition: The Promise and Perils of the Algorithm-Driven Economy","title-short":"Virtual Competition","URL":"https://www.degruyter.com/document/doi/10.4159/9780674973336/html","author":[{"family":"Ezrachi","given":"Ariel"}],"accessed":{"date-parts":[["2023",12,18]]},"issued":{"date-parts":[["2016",1,1]]}},"locator":"151","label":"page"}],"schema":"https://github.com/citation-style-language/schema/raw/master/csl-citation.json"} </w:instrText>
      </w:r>
      <w:r w:rsidRPr="00D16F3B">
        <w:rPr>
          <w:sz w:val="20"/>
        </w:rPr>
        <w:fldChar w:fldCharType="separate"/>
      </w:r>
      <w:r w:rsidR="00EB65CB" w:rsidRPr="00D16F3B">
        <w:rPr>
          <w:sz w:val="20"/>
        </w:rPr>
        <w:t>Ibid.</w:t>
      </w:r>
      <w:r w:rsidRPr="00D16F3B">
        <w:rPr>
          <w:sz w:val="20"/>
        </w:rPr>
        <w:fldChar w:fldCharType="end"/>
      </w:r>
    </w:p>
  </w:footnote>
  <w:footnote w:id="22">
    <w:p w14:paraId="7ACB1DBB" w14:textId="38562779"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 xml:space="preserve">Sinta Dewi Rosadi, </w:t>
      </w:r>
      <w:r w:rsidRPr="00D16F3B">
        <w:rPr>
          <w:i/>
          <w:iCs/>
          <w:sz w:val="20"/>
        </w:rPr>
        <w:t>Pembahasan UU Perlindungan Data Pribadi (UU RI No. 27 Tahun 2022)</w:t>
      </w:r>
      <w:r w:rsidR="00C51D67" w:rsidRPr="00D16F3B">
        <w:rPr>
          <w:sz w:val="20"/>
        </w:rPr>
        <w:t>,</w:t>
      </w:r>
      <w:r w:rsidRPr="00D16F3B">
        <w:rPr>
          <w:sz w:val="20"/>
        </w:rPr>
        <w:t xml:space="preserve"> </w:t>
      </w:r>
      <w:r w:rsidR="00C51D67" w:rsidRPr="00D16F3B">
        <w:rPr>
          <w:sz w:val="20"/>
        </w:rPr>
        <w:t>(</w:t>
      </w:r>
      <w:r w:rsidRPr="00D16F3B">
        <w:rPr>
          <w:sz w:val="20"/>
        </w:rPr>
        <w:t>Sinar Grafika, 2023</w:t>
      </w:r>
      <w:r w:rsidR="00C51D67" w:rsidRPr="00D16F3B">
        <w:rPr>
          <w:sz w:val="20"/>
        </w:rPr>
        <w:t>)</w:t>
      </w:r>
      <w:r w:rsidRPr="00D16F3B">
        <w:rPr>
          <w:sz w:val="20"/>
        </w:rPr>
        <w:t>, 24.</w:t>
      </w:r>
    </w:p>
  </w:footnote>
  <w:footnote w:id="23">
    <w:p w14:paraId="5D408206" w14:textId="7C07FF46"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Pasal 20 ayat (2) huruf a UU 27/2022yang mengatur bahwa Pengendali Data Pribadi wajib memiliki dasar pemrosesan Data Pribadi. Pasal 21 ayat (1) UU 27/2022, yang mengatur bahwa pemrosesan Data Pribadi berdasarkan persetujuan Pengendali Data Pribadi wajib menyampaikan Informasi mengenai: a. legalitas dari pemrosesan Data Pribadi; b. tujuan pemrosesan Data Pribadi; c. jenis dan relevansi Data Pribadi yang akan diproses; d. jangka waktu retensi dokumen yang memuat Data Pribadi; e. rincian mengenai Informasi yang f. jangka waktu pemrosesan Data Pribadi; dan g. hak Subjek Data Pribadi.  Pasal 22 ayat (1) UU 27/2022 yang mengatur bahwa Persetujuan pemrosesan Data Pribadi dilakukan melalui persetujuan tertulis atau terekam. Pasal 26 ayat (3) UU 27/2022 yang mengatur bahwa Pemrosesan Data Pribadi penyandang disabilitas wajib mendapat persetujuan dari penyandang disabilitas dan/atau wali penyandang disabilitas. Pasal 40 UU 27/2022 yang mengatur bahwa Pengendali Data Pribadi wajib menghentikan pemrosesan Data Pribadi dalam hal Subjek Data Pribadi menarik kembali persetujuan pemrosesan Data Pribadi.</w:t>
      </w:r>
    </w:p>
  </w:footnote>
  <w:footnote w:id="24">
    <w:p w14:paraId="0EC8FA06" w14:textId="59D920EE"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Larangan yang diatur di dalam UU 27/2022 terbatas pada yang diatur di dalam Bab XIII Larangan Dalam Penggunaan Data Pribadi, yang meliputi: Pasal 65 UU 27/2022: (1) memperoleh atau mengumpulkan Data Pribadi yang bukan miliknya dengan maksud untuk menguntungkan diri sendiri atau orang lain yang dapat mengakibatkan kerugian Subjek Data Pribadi. Larangan mengungkapkan Data Pribadi yang bukan miliknya. (3) Larangan menggunakan Data Pribadi yang bukan miliknya. Pasal 66 UU 27/2022: Larangan membuat Data Pribadi palsu atau memalsukan Data Pribadi dengan maksud untuk menguntungkan diri sendiri atau orang lain yang dapat mengakibatkan kerugian bagi orang lain. Bab XIV Ketentuan Pidana, yang meliputi: Pasal 67 UU 27/2022: (1) Pidana terhadap pelanggaran Pasal 65 ayat (1); (2) Pidana terhadap pelanggaran Pasal 65 ayat (2); (3) Pidana terhadap pelanggaran Pasal 65 ayat (3).</w:t>
      </w:r>
    </w:p>
  </w:footnote>
  <w:footnote w:id="25">
    <w:p w14:paraId="4F2C637D" w14:textId="79D13814" w:rsidR="00C17BC1" w:rsidRPr="00D16F3B" w:rsidRDefault="00C17BC1"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Pasal 25 UU 5/1999 menyatakan: (1) Pelaku usaha dilarang menggunakan posisi dominan baik secara langsung maupun tidak langsung untuk: a. menetapkan syarat-syarat perdagangan dengan tujuan untuk mencegah dan atau menghalangi konsumen memperoleh barang dan atau jasa yang bersaing, baik dari segi harga maupun kualitas; atau b. membatasi pasar dan pengembangan teknologi; atau c. menghambat pelaku usaha lain yang berpotensi menjadi pesaing untuk memasuki pasar bersangkutan.</w:t>
      </w:r>
    </w:p>
  </w:footnote>
  <w:footnote w:id="26">
    <w:p w14:paraId="4AEB3854" w14:textId="3001DE76" w:rsidR="00A902A4" w:rsidRPr="00D16F3B" w:rsidRDefault="00A902A4"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{"citationID":"vxOzM8IB","properties":{"formattedCitation":"Siti Shalima Safitri, \\uc0\\u8220{}Interaksi Persaingan Usaha dan Perlindungan Data: Menelaah Bundeskartellamt v. Facebook,\\uc0\\u8221{} {\\i{}Jurnal Persaingan Usaha} 3, no. 1 (July 28, 2023): 44\\uc0\\u8211{}53, https://doi.org/10.55869/kppu.v3i1.99.","plainCitation":"Siti Shalima Safitri, “Interaksi Persaingan Usaha dan Perlindungan Data: Menelaah Bundeskartellamt v. Facebook,” Jurnal Persaingan Usaha 3, no. 1 (July 28, 2023): 44–53, https://doi.org/10.55869/kppu.v3i1.99.","dontUpdate":true,"noteIndex":26},"citationItems":[{"id":6249,"uris":["http://zotero.org/users/4802390/items/77UHNE3X"],"itemData":{"id":6249,"type":"article-journal","abstract":"Big Data brings new challenges in terms of competition law and data protection. The intersection of data regulation with competition law is due to the fact that most digital products are paid for by users and consumers online by providing their personal data. The author will discuss whether data breaches can be considered a violation of competition law, in light of the German Facebook case in which the Bundeskartellamt investigated whether alleged violations of data protection provisions could mean that Facebook abused its dominant position in the digital market. The research uses a normative legal method with a literature study. The results of the research show that abuse of the digital market cannot be drawn from mere dominance or unfair contract terms, but rather there needs to be a combination of market power and the absence of other options for contract terms. If Facebook users are given more choices regarding how their data is collected, they will be deemed to give voluntary consent under data protection law. This research can serve as a guideline for Indonesian lawmakers and competition authorities to adjust competition regulations, especially in the era of digitalization.","container-title":"Jurnal Persaingan Usaha","DOI":"10.55869/kppu.v3i1.99","ISSN":"2809-6304, 2087-0361","issue":"1","journalAbbreviation":"KPPU","language":"id","license":"https://creativecommons.org/licenses/by-sa/4.0","page":"44-53","source":"DOI.org (Crossref)","title":"Interaksi Persaingan Usaha dan Perlindungan Data: Menelaah Bundeskartellamt v. Facebook","title-short":"Interaksi Persaingan Usaha dan Perlindungan Data","volume":"3","author":[{"family":"Safitri","given":"Siti Shalima"}],"issued":{"date-parts":[["2023",7,28]]}}}],"schema":"https://github.com/citation-style-language/schema/raw/master/csl-citation.json"} </w:instrText>
      </w:r>
      <w:r w:rsidRPr="00D16F3B">
        <w:rPr>
          <w:sz w:val="20"/>
        </w:rPr>
        <w:fldChar w:fldCharType="separate"/>
      </w:r>
      <w:r w:rsidR="00EB65CB" w:rsidRPr="00D16F3B">
        <w:rPr>
          <w:sz w:val="20"/>
        </w:rPr>
        <w:t xml:space="preserve">Siti Shalima Safitri, “Interaksi Persaingan Usaha dan Perlindungan Data: Menelaah Bundeskartellamt v. Facebook,” </w:t>
      </w:r>
      <w:r w:rsidR="00EB65CB" w:rsidRPr="00D16F3B">
        <w:rPr>
          <w:i/>
          <w:iCs/>
          <w:sz w:val="20"/>
        </w:rPr>
        <w:t>Jurnal Persaingan Usaha</w:t>
      </w:r>
      <w:r w:rsidR="00EB65CB" w:rsidRPr="00D16F3B">
        <w:rPr>
          <w:sz w:val="20"/>
        </w:rPr>
        <w:t xml:space="preserve"> 3, no. 1 (2023): 44–53.</w:t>
      </w:r>
      <w:r w:rsidRPr="00D16F3B">
        <w:rPr>
          <w:sz w:val="20"/>
        </w:rPr>
        <w:fldChar w:fldCharType="end"/>
      </w:r>
    </w:p>
  </w:footnote>
  <w:footnote w:id="27">
    <w:p w14:paraId="17561BA4" w14:textId="501AB1D1" w:rsidR="00A902A4" w:rsidRPr="00D16F3B" w:rsidRDefault="00A902A4"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{"citationID":"FDDSKMpN","properties":{"formattedCitation":"Ria Setyawati and Rayhan Adhi Pradana, \\uc0\\u8220{}Penyalahgunaan Posisi Dominan Oleh Pelaku Usaha Dominan Melalui Penggunaan Algoritma Harga,\\uc0\\u8221{} {\\i{}UIR Law Review} 6, no. 2 (February 21, 2023): 103\\uc0\\u8211{}20, https://doi.org/10.25299/uirlrev.2022.vol6(2).11750.","plainCitation":"Ria Setyawati and Rayhan Adhi Pradana, “Penyalahgunaan Posisi Dominan Oleh Pelaku Usaha Dominan Melalui Penggunaan Algoritma Harga,” UIR Law Review 6, no. 2 (February 21, 2023): 103–20, https://doi.org/10.25299/uirlrev.2022.vol6(2).11750.","dontUpdate":true,"noteIndex":27},"citationItems":[{"id":6250,"uris":["http://zotero.org/users/4802390/items/Q4WXDEWG"],"itemData":{"id":6250,"type":"article-journal","abstract":"Advancement of technology resulted in a digitalized business world. Consequently, businesses start to use technology like algorithms to make business decisions, for example, introducing algorithms to set prices. Such algorithms are known as pricing algorithms. However, when these algorithms are utilized by a dominant firm, it exposes a risk of abuse. There is also a concern relating to available legal recourse by competition authorities in tackling this novel issue. Thus, this research aims to analyse the relationship between algorithmic pricing and abuse of dominant position, as well as providing solutions pertaining to available legal recourse that might be useful for competition authorities in facing this contemporary issue. To this end, this legal research employs statute, conceptual, case, and comparative approaches. Through these methodologies, this research analyses the usage of algorithmic pricing and abuse of dominant position in conformity to Indonesian law; and transforming the available legal recourse to be more accommodative in confronting the use of algorithmic pricing.The use of algorithmic pricing can entail an abuse of dominant position, considering the ability of algorithms to impose trade restrictions, hence excluding potential competitors and preventing consumers from attaining a fair price. Available legal recourse that can be considered by competition authorities are: increasing knowledge on algorithmic pricing, imposing regulations to support transparency and accountability, and using a structural approach. In terms of evidence, authorities should put more weigh on digital evidence, circumstantial evidence, and expert opinions.","container-title":"UIR Law Review","DOI":"10.25299/uirlrev.2022.vol6(2).11750","ISSN":"2548-768X, 2548-7671","issue":"2","journalAbbreviation":"UIRLRev","language":"id","page":"103-120","source":"DOI.org (Crossref)","title":"Penyalahgunaan Posisi Dominan Oleh Pelaku Usaha Dominan Melalui Penggunaan Algoritma Harga","volume":"6","author":[{"literal":"Ria Setyawati"},{"literal":"Rayhan Adhi Pradana"}],"issued":{"date-parts":[["2023",2,21]]}}}],"schema":"https://github.com/citation-style-language/schema/raw/master/csl-citation.json"} </w:instrText>
      </w:r>
      <w:r w:rsidRPr="00D16F3B">
        <w:rPr>
          <w:sz w:val="20"/>
        </w:rPr>
        <w:fldChar w:fldCharType="separate"/>
      </w:r>
      <w:r w:rsidR="00EB65CB" w:rsidRPr="00D16F3B">
        <w:rPr>
          <w:sz w:val="20"/>
        </w:rPr>
        <w:t xml:space="preserve">Ria Setyawati and Rayhan Adhi Pradana, “Penyalahgunaan Posisi Dominan Oleh Pelaku Usaha Dominan Melalui Penggunaan Algoritma Harga,” </w:t>
      </w:r>
      <w:r w:rsidR="00EB65CB" w:rsidRPr="00D16F3B">
        <w:rPr>
          <w:i/>
          <w:iCs/>
          <w:sz w:val="20"/>
        </w:rPr>
        <w:t>UIR Law Review</w:t>
      </w:r>
      <w:r w:rsidR="00EB65CB" w:rsidRPr="00D16F3B">
        <w:rPr>
          <w:sz w:val="20"/>
        </w:rPr>
        <w:t xml:space="preserve"> 6, no. 2 (2023): 10–20.</w:t>
      </w:r>
      <w:r w:rsidRPr="00D16F3B">
        <w:rPr>
          <w:sz w:val="20"/>
        </w:rPr>
        <w:fldChar w:fldCharType="end"/>
      </w:r>
    </w:p>
  </w:footnote>
  <w:footnote w:id="28">
    <w:p w14:paraId="4F5BF8F9" w14:textId="3CB48B2D" w:rsidR="00A902A4" w:rsidRPr="00D16F3B" w:rsidRDefault="00A902A4"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{"citationID":"qZtcln82","properties":{"formattedCitation":"Devina Tanzil and Kristianto Pustaha Halomoan, \\uc0\\u8220{}PELINDUNGAN DATA PRIBADI DALAM ANALISIS PENYALAHGUNAAN POSISI DOMINAN BERDASARKAN HUKUM PERSAINGAN USAHA,\\uc0\\u8221{} {\\i{}Jurnal Online Atmajaya} 1, accessed April 5, 2024, https://www.academia.edu/download/88760662/3359-File_Utama_Naskah-11770-2-10-20220616.pdf.","plainCitation":"Devina Tanzil and Kristianto Pustaha Halomoan, “PELINDUNGAN DATA PRIBADI DALAM ANALISIS PENYALAHGUNAAN POSISI DOMINAN BERDASARKAN HUKUM PERSAINGAN USAHA,” Jurnal Online Atmajaya 1, accessed April 5, 2024, https://www.academia.edu/download/88760662/3359-File_Utama_Naskah-11770-2-10-20220616.pdf.","dontUpdate":true,"noteIndex":28},"citationItems":[{"id":6243,"uris":["http://zotero.org/users/4802390/items/W782Q9QB"],"itemData":{"id":6243,"type":"article-journal","container-title":"Jurnal Online Atmajaya","source":"Google Scholar","title":"PELINDUNGAN DATA PRIBADI DALAM ANALISIS PENYALAHGUNAAN POSISI DOMINAN BERDASARKAN HUKUM PERSAINGAN USAHA","URL":"https://www.academia.edu/download/88760662/3359-File_Utama_Naskah-11770-2-10-20220616.pdf","volume":"1","author":[{"family":"Tanzil","given":"Devina"},{"family":"Halomoan","given":"Kristianto Pustaha"}],"accessed":{"date-parts":[["2024",4,5]]}}}],"schema":"https://github.com/citation-style-language/schema/raw/master/csl-citation.json"} </w:instrText>
      </w:r>
      <w:r w:rsidRPr="00D16F3B">
        <w:rPr>
          <w:sz w:val="20"/>
        </w:rPr>
        <w:fldChar w:fldCharType="separate"/>
      </w:r>
      <w:r w:rsidR="00EB65CB" w:rsidRPr="00D16F3B">
        <w:rPr>
          <w:sz w:val="20"/>
        </w:rPr>
        <w:t>Devina Tanzil and Kristianto Pustaha Halomoan, “</w:t>
      </w:r>
      <w:r w:rsidR="00C51D67" w:rsidRPr="00D16F3B">
        <w:rPr>
          <w:sz w:val="20"/>
        </w:rPr>
        <w:t>Pelindungan Data Pribadi Dalam Analisis Penyalahgunaan Posisi Dominan Berdasarkan Hukum Persaingan Usaha</w:t>
      </w:r>
      <w:r w:rsidR="00EB65CB" w:rsidRPr="00D16F3B">
        <w:rPr>
          <w:sz w:val="20"/>
        </w:rPr>
        <w:t xml:space="preserve">,” </w:t>
      </w:r>
      <w:r w:rsidR="00EB65CB" w:rsidRPr="00D16F3B">
        <w:rPr>
          <w:i/>
          <w:iCs/>
          <w:sz w:val="20"/>
        </w:rPr>
        <w:t>Jurnal Online Atmajaya</w:t>
      </w:r>
      <w:r w:rsidR="00EB65CB" w:rsidRPr="00D16F3B">
        <w:rPr>
          <w:sz w:val="20"/>
        </w:rPr>
        <w:t xml:space="preserve"> 1,</w:t>
      </w:r>
      <w:r w:rsidR="00C51D67" w:rsidRPr="00D16F3B">
        <w:rPr>
          <w:sz w:val="20"/>
        </w:rPr>
        <w:t xml:space="preserve"> no. 3 (2022): 1-18</w:t>
      </w:r>
      <w:r w:rsidR="00EB65CB" w:rsidRPr="00D16F3B">
        <w:rPr>
          <w:sz w:val="20"/>
        </w:rPr>
        <w:t>.</w:t>
      </w:r>
      <w:r w:rsidRPr="00D16F3B">
        <w:rPr>
          <w:sz w:val="20"/>
        </w:rPr>
        <w:fldChar w:fldCharType="end"/>
      </w:r>
    </w:p>
  </w:footnote>
  <w:footnote w:id="29">
    <w:p w14:paraId="6EE2DD80" w14:textId="3F22CCB2" w:rsidR="00715C10" w:rsidRPr="00D16F3B" w:rsidRDefault="00715C10" w:rsidP="00D16F3B">
      <w:pPr>
        <w:pStyle w:val="FootnoteText"/>
        <w:spacing w:after="0"/>
        <w:ind w:left="284" w:hanging="284"/>
        <w:rPr>
          <w:sz w:val="20"/>
          <w:lang w:val="sv-SE"/>
        </w:rPr>
      </w:pPr>
      <w:r w:rsidRPr="00D16F3B">
        <w:rPr>
          <w:rStyle w:val="FootnoteReference"/>
          <w:sz w:val="20"/>
        </w:rPr>
        <w:footnoteRef/>
      </w:r>
      <w:r w:rsidRPr="00D16F3B">
        <w:rPr>
          <w:sz w:val="20"/>
          <w:lang w:val="sv-SE"/>
        </w:rPr>
        <w:t xml:space="preserve"> </w:t>
      </w:r>
      <w:r w:rsidRPr="00D16F3B">
        <w:rPr>
          <w:sz w:val="20"/>
          <w:lang w:val="sv-SE"/>
        </w:rPr>
        <w:tab/>
      </w:r>
      <w:r w:rsidRPr="00D16F3B">
        <w:rPr>
          <w:sz w:val="20"/>
        </w:rPr>
        <w:fldChar w:fldCharType="begin"/>
      </w:r>
      <w:r w:rsidR="001E12FD" w:rsidRPr="00D16F3B">
        <w:rPr>
          <w:sz w:val="20"/>
          <w:lang w:val="sv-SE"/>
        </w:rPr>
        <w:instrText xml:space="preserve"> ADDIN ZOTERO_ITEM CSL_CITATION {"citationID":"bWPlbGZJ","properties":{"formattedCitation":"Aan Efendi, Dyah Ochtorina Susanti, and Rahmadi Indra Tektona, {\\i{}Penelitian Hukum Doktrinal} (Yogyakarta: LaksBang Justitia, n.d.), 34.","plainCitation":"Aan Efendi, Dyah Ochtorina Susanti, and Rahmadi Indra Tektona, Penelitian Hukum Doktrinal (Yogyakarta: LaksBang Justitia, n.d.), 34.","dontUpdate":true,"noteIndex":29},"citationItems":[{"id":1041,"uris":["http://zotero.org/users/4802390/items/U8MWJLEU",["http://zotero.org/users/4802390/items/U8MWJLEU"]],"itemData":{"id":1041,"type":"book","publisher":"Yogyakarta: LaksBang Justitia","source":"Google Scholar","title":"Penelitian Hukum Doktrinal","author":[{"family":"Efendi","given":"Aan"},{"family":"Susanti","given":"Dyah Ochtorina"},{"family":"Tektona","given":"Rahmadi Indra"}]},"locator":"34","label":"page"}],"schema":"https://github.com/citation-style-language/schema/raw/master/csl-citation.json"} </w:instrText>
      </w:r>
      <w:r w:rsidRPr="00D16F3B">
        <w:rPr>
          <w:sz w:val="20"/>
        </w:rPr>
        <w:fldChar w:fldCharType="separate"/>
      </w:r>
      <w:r w:rsidRPr="00D16F3B">
        <w:rPr>
          <w:sz w:val="20"/>
          <w:lang w:val="sv-SE"/>
        </w:rPr>
        <w:t xml:space="preserve">Aan Efendi, Dyah Ochtorina Susanti, dan Rahmadi Indra Tektona, </w:t>
      </w:r>
      <w:r w:rsidRPr="00D16F3B">
        <w:rPr>
          <w:i/>
          <w:iCs/>
          <w:sz w:val="20"/>
          <w:lang w:val="sv-SE"/>
        </w:rPr>
        <w:t>Penelitian Hukum Doktrinal</w:t>
      </w:r>
      <w:r w:rsidRPr="00D16F3B">
        <w:rPr>
          <w:sz w:val="20"/>
          <w:lang w:val="sv-SE"/>
        </w:rPr>
        <w:t xml:space="preserve"> (Yogyakarta: LaksBang Justitia, 2019)</w:t>
      </w:r>
      <w:r w:rsidR="00C51D67" w:rsidRPr="00D16F3B">
        <w:rPr>
          <w:sz w:val="20"/>
          <w:lang w:val="sv-SE"/>
        </w:rPr>
        <w:t>,</w:t>
      </w:r>
      <w:r w:rsidRPr="00D16F3B">
        <w:rPr>
          <w:sz w:val="20"/>
          <w:lang w:val="sv-SE"/>
        </w:rPr>
        <w:t xml:space="preserve"> 34.</w:t>
      </w:r>
      <w:r w:rsidRPr="00D16F3B">
        <w:rPr>
          <w:sz w:val="20"/>
        </w:rPr>
        <w:fldChar w:fldCharType="end"/>
      </w:r>
    </w:p>
  </w:footnote>
  <w:footnote w:id="30">
    <w:p w14:paraId="6EC23A32" w14:textId="7BB1760D" w:rsidR="00715C10" w:rsidRPr="00D16F3B" w:rsidRDefault="00715C10" w:rsidP="00D16F3B">
      <w:pPr>
        <w:pStyle w:val="FootnoteText"/>
        <w:spacing w:after="0"/>
        <w:ind w:left="284" w:hanging="284"/>
        <w:rPr>
          <w:sz w:val="20"/>
          <w:lang w:val="sv-SE"/>
        </w:rPr>
      </w:pPr>
      <w:r w:rsidRPr="00D16F3B">
        <w:rPr>
          <w:rStyle w:val="FootnoteReference"/>
          <w:sz w:val="20"/>
        </w:rPr>
        <w:footnoteRef/>
      </w:r>
      <w:r w:rsidRPr="00D16F3B">
        <w:rPr>
          <w:sz w:val="20"/>
          <w:lang w:val="sv-SE"/>
        </w:rPr>
        <w:t xml:space="preserve"> </w:t>
      </w:r>
      <w:r w:rsidRPr="00D16F3B">
        <w:rPr>
          <w:sz w:val="20"/>
          <w:lang w:val="sv-SE"/>
        </w:rPr>
        <w:tab/>
      </w:r>
      <w:r w:rsidRPr="00D16F3B">
        <w:rPr>
          <w:sz w:val="20"/>
        </w:rPr>
        <w:fldChar w:fldCharType="begin"/>
      </w:r>
      <w:r w:rsidR="001E12FD" w:rsidRPr="00D16F3B">
        <w:rPr>
          <w:sz w:val="20"/>
          <w:lang w:val="sv-SE"/>
        </w:rPr>
        <w:instrText xml:space="preserve"> ADDIN ZOTERO_ITEM CSL_CITATION {"citationID":"uEFYquxv","properties":{"formattedCitation":"Efendi, Susanti, dan Tektona, 34.","plainCitation":"Efendi, Susanti, dan Tektona, 34.","dontUpdate":true,"noteIndex":30},"citationItems":[{"id":1041,"uris":["http://zotero.org/users/4802390/items/U8MWJLEU",["http://zotero.org/users/4802390/items/U8MWJLEU"]],"itemData":{"id":1041,"type":"book","publisher":"Yogyakarta: LaksBang Justitia","source":"Google Scholar","title":"Penelitian Hukum Doktrinal","author":[{"family":"Efendi","given":"Aan"},{"family":"Susanti","given":"Dyah Ochtorina"},{"family":"Tektona","given":"Rahmadi Indra"}]},"locator":"34","label":"page"}],"schema":"https://github.com/citation-style-language/schema/raw/master/csl-citation.json"} </w:instrText>
      </w:r>
      <w:r w:rsidRPr="00D16F3B">
        <w:rPr>
          <w:sz w:val="20"/>
        </w:rPr>
        <w:fldChar w:fldCharType="separate"/>
      </w:r>
      <w:r w:rsidRPr="00D16F3B">
        <w:rPr>
          <w:sz w:val="20"/>
          <w:lang w:val="sv-SE"/>
        </w:rPr>
        <w:t>Ibid.</w:t>
      </w:r>
      <w:r w:rsidRPr="00D16F3B">
        <w:rPr>
          <w:sz w:val="20"/>
        </w:rPr>
        <w:fldChar w:fldCharType="end"/>
      </w:r>
    </w:p>
  </w:footnote>
  <w:footnote w:id="31">
    <w:p w14:paraId="5B27AE83" w14:textId="0D5C80FE" w:rsidR="00715C10" w:rsidRPr="00D16F3B" w:rsidRDefault="00715C10" w:rsidP="00D16F3B">
      <w:pPr>
        <w:pStyle w:val="FootnoteText"/>
        <w:spacing w:after="0"/>
        <w:ind w:left="284" w:hanging="284"/>
        <w:rPr>
          <w:sz w:val="20"/>
          <w:lang w:val="sv-SE"/>
        </w:rPr>
      </w:pPr>
      <w:r w:rsidRPr="00D16F3B">
        <w:rPr>
          <w:rStyle w:val="FootnoteReference"/>
          <w:sz w:val="20"/>
        </w:rPr>
        <w:footnoteRef/>
      </w:r>
      <w:r w:rsidRPr="00D16F3B">
        <w:rPr>
          <w:sz w:val="20"/>
          <w:lang w:val="sv-SE"/>
        </w:rPr>
        <w:t xml:space="preserve"> </w:t>
      </w:r>
      <w:r w:rsidRPr="00D16F3B">
        <w:rPr>
          <w:sz w:val="20"/>
          <w:lang w:val="sv-SE"/>
        </w:rPr>
        <w:tab/>
      </w:r>
      <w:r w:rsidRPr="00D16F3B">
        <w:rPr>
          <w:sz w:val="20"/>
        </w:rPr>
        <w:fldChar w:fldCharType="begin"/>
      </w:r>
      <w:r w:rsidR="001E12FD" w:rsidRPr="00D16F3B">
        <w:rPr>
          <w:sz w:val="20"/>
          <w:lang w:val="sv-SE"/>
        </w:rPr>
        <w:instrText xml:space="preserve"> ADDIN ZOTERO_ITEM CSL_CITATION {"citationID":"49kEXr8y","properties":{"formattedCitation":"Efendi, Susanti, dan Tektona, 34.","plainCitation":"Efendi, Susanti, dan Tektona, 34.","dontUpdate":true,"noteIndex":31},"citationItems":[{"id":1041,"uris":["http://zotero.org/users/4802390/items/U8MWJLEU",["http://zotero.org/users/4802390/items/U8MWJLEU"]],"itemData":{"id":1041,"type":"book","publisher":"Yogyakarta: LaksBang Justitia","source":"Google Scholar","title":"Penelitian Hukum Doktrinal","author":[{"family":"Efendi","given":"Aan"},{"family":"Susanti","given":"Dyah Ochtorina"},{"family":"Tektona","given":"Rahmadi Indra"}]},"locator":"34","label":"page"}],"schema":"https://github.com/citation-style-language/schema/raw/master/csl-citation.json"} </w:instrText>
      </w:r>
      <w:r w:rsidRPr="00D16F3B">
        <w:rPr>
          <w:sz w:val="20"/>
        </w:rPr>
        <w:fldChar w:fldCharType="separate"/>
      </w:r>
      <w:r w:rsidRPr="00D16F3B">
        <w:rPr>
          <w:sz w:val="20"/>
          <w:lang w:val="sv-SE"/>
        </w:rPr>
        <w:t>Ibid.</w:t>
      </w:r>
      <w:r w:rsidRPr="00D16F3B">
        <w:rPr>
          <w:sz w:val="20"/>
        </w:rPr>
        <w:fldChar w:fldCharType="end"/>
      </w:r>
    </w:p>
  </w:footnote>
  <w:footnote w:id="32">
    <w:p w14:paraId="6864ACD4" w14:textId="6EC97A5D" w:rsidR="00715C10" w:rsidRPr="00D16F3B" w:rsidRDefault="00715C10" w:rsidP="00D16F3B">
      <w:pPr>
        <w:pStyle w:val="FootnoteText"/>
        <w:spacing w:after="0"/>
        <w:ind w:left="284" w:hanging="284"/>
        <w:rPr>
          <w:sz w:val="20"/>
          <w:lang w:val="sv-SE"/>
        </w:rPr>
      </w:pPr>
      <w:r w:rsidRPr="00D16F3B">
        <w:rPr>
          <w:rStyle w:val="FootnoteReference"/>
          <w:sz w:val="20"/>
        </w:rPr>
        <w:footnoteRef/>
      </w:r>
      <w:r w:rsidRPr="00D16F3B">
        <w:rPr>
          <w:sz w:val="20"/>
          <w:lang w:val="sv-SE"/>
        </w:rPr>
        <w:t xml:space="preserve"> </w:t>
      </w:r>
      <w:r w:rsidRPr="00D16F3B">
        <w:rPr>
          <w:sz w:val="20"/>
          <w:lang w:val="sv-SE"/>
        </w:rPr>
        <w:tab/>
      </w:r>
      <w:r w:rsidRPr="00D16F3B">
        <w:rPr>
          <w:sz w:val="20"/>
        </w:rPr>
        <w:fldChar w:fldCharType="begin"/>
      </w:r>
      <w:r w:rsidR="001E12FD" w:rsidRPr="00D16F3B">
        <w:rPr>
          <w:sz w:val="20"/>
          <w:lang w:val="sv-SE"/>
        </w:rPr>
        <w:instrText xml:space="preserve"> ADDIN ZOTERO_ITEM CSL_CITATION {"citationID":"h2wS33CX","properties":{"formattedCitation":"Efendi, Susanti, dan Tektona, 34.","plainCitation":"Efendi, Susanti, dan Tektona, 34.","dontUpdate":true,"noteIndex":32},"citationItems":[{"id":1041,"uris":["http://zotero.org/users/4802390/items/U8MWJLEU",["http://zotero.org/users/4802390/items/U8MWJLEU"]],"itemData":{"id":1041,"type":"book","publisher":"Yogyakarta: LaksBang Justitia","source":"Google Scholar","title":"Penelitian Hukum Doktrinal","author":[{"family":"Efendi","given":"Aan"},{"family":"Susanti","given":"Dyah Ochtorina"},{"family":"Tektona","given":"Rahmadi Indra"}]},"locator":"34","label":"page"}],"schema":"https://github.com/citation-style-language/schema/raw/master/csl-citation.json"} </w:instrText>
      </w:r>
      <w:r w:rsidRPr="00D16F3B">
        <w:rPr>
          <w:sz w:val="20"/>
        </w:rPr>
        <w:fldChar w:fldCharType="separate"/>
      </w:r>
      <w:r w:rsidRPr="00D16F3B">
        <w:rPr>
          <w:sz w:val="20"/>
          <w:lang w:val="sv-SE"/>
        </w:rPr>
        <w:t>Ibid.</w:t>
      </w:r>
      <w:r w:rsidRPr="00D16F3B">
        <w:rPr>
          <w:sz w:val="20"/>
        </w:rPr>
        <w:fldChar w:fldCharType="end"/>
      </w:r>
    </w:p>
  </w:footnote>
  <w:footnote w:id="33">
    <w:p w14:paraId="4BC2BDE6" w14:textId="62A5C5C3" w:rsidR="00715C10" w:rsidRPr="00D16F3B" w:rsidRDefault="00715C10" w:rsidP="00D16F3B">
      <w:pPr>
        <w:pStyle w:val="FootnoteText"/>
        <w:spacing w:after="0"/>
        <w:ind w:left="284" w:hanging="284"/>
        <w:rPr>
          <w:sz w:val="20"/>
          <w:lang w:val="sv-SE"/>
        </w:rPr>
      </w:pPr>
      <w:r w:rsidRPr="00D16F3B">
        <w:rPr>
          <w:rStyle w:val="FootnoteReference"/>
          <w:sz w:val="20"/>
        </w:rPr>
        <w:footnoteRef/>
      </w:r>
      <w:r w:rsidRPr="00D16F3B">
        <w:rPr>
          <w:sz w:val="20"/>
          <w:lang w:val="sv-SE"/>
        </w:rPr>
        <w:t xml:space="preserve"> </w:t>
      </w:r>
      <w:r w:rsidRPr="00D16F3B">
        <w:rPr>
          <w:sz w:val="20"/>
          <w:lang w:val="sv-SE"/>
        </w:rPr>
        <w:tab/>
      </w:r>
      <w:r w:rsidRPr="00D16F3B">
        <w:rPr>
          <w:sz w:val="20"/>
        </w:rPr>
        <w:fldChar w:fldCharType="begin"/>
      </w:r>
      <w:r w:rsidR="001E12FD" w:rsidRPr="00D16F3B">
        <w:rPr>
          <w:sz w:val="20"/>
          <w:lang w:val="sv-SE"/>
        </w:rPr>
        <w:instrText xml:space="preserve"> ADDIN ZOTERO_ITEM CSL_CITATION {"citationID":"hE3q2vqW","properties":{"formattedCitation":"Efendi, Susanti, dan Tektona, 34.","plainCitation":"Efendi, Susanti, dan Tektona, 34.","dontUpdate":true,"noteIndex":33},"citationItems":[{"id":1041,"uris":["http://zotero.org/users/4802390/items/U8MWJLEU",["http://zotero.org/users/4802390/items/U8MWJLEU"]],"itemData":{"id":1041,"type":"book","publisher":"Yogyakarta: LaksBang Justitia","source":"Google Scholar","title":"Penelitian Hukum Doktrinal","author":[{"family":"Efendi","given":"Aan"},{"family":"Susanti","given":"Dyah Ochtorina"},{"family":"Tektona","given":"Rahmadi Indra"}]},"locator":"34","label":"page"}],"schema":"https://github.com/citation-style-language/schema/raw/master/csl-citation.json"} </w:instrText>
      </w:r>
      <w:r w:rsidRPr="00D16F3B">
        <w:rPr>
          <w:sz w:val="20"/>
        </w:rPr>
        <w:fldChar w:fldCharType="separate"/>
      </w:r>
      <w:r w:rsidRPr="00D16F3B">
        <w:rPr>
          <w:sz w:val="20"/>
          <w:lang w:val="sv-SE"/>
        </w:rPr>
        <w:t>Ibid.</w:t>
      </w:r>
      <w:r w:rsidRPr="00D16F3B">
        <w:rPr>
          <w:sz w:val="20"/>
        </w:rPr>
        <w:fldChar w:fldCharType="end"/>
      </w:r>
    </w:p>
  </w:footnote>
  <w:footnote w:id="34">
    <w:p w14:paraId="72B99977" w14:textId="40ADA9C0" w:rsidR="0078506B" w:rsidRPr="00D16F3B" w:rsidRDefault="0078506B" w:rsidP="00D16F3B">
      <w:pPr>
        <w:pStyle w:val="FootnoteText"/>
        <w:spacing w:after="0"/>
        <w:ind w:left="284" w:hanging="284"/>
        <w:rPr>
          <w:sz w:val="20"/>
          <w:lang w:val="sv-SE"/>
        </w:rPr>
      </w:pPr>
      <w:r w:rsidRPr="00D16F3B">
        <w:rPr>
          <w:rStyle w:val="FootnoteReference"/>
          <w:sz w:val="20"/>
        </w:rPr>
        <w:footnoteRef/>
      </w:r>
      <w:r w:rsidRPr="00D16F3B">
        <w:rPr>
          <w:sz w:val="20"/>
          <w:lang w:val="sv-SE"/>
        </w:rPr>
        <w:t xml:space="preserve"> </w:t>
      </w:r>
      <w:r w:rsidRPr="00D16F3B">
        <w:rPr>
          <w:sz w:val="20"/>
          <w:lang w:val="sv-SE"/>
        </w:rPr>
        <w:tab/>
      </w:r>
      <w:r w:rsidRPr="00D16F3B">
        <w:rPr>
          <w:sz w:val="20"/>
        </w:rPr>
        <w:fldChar w:fldCharType="begin"/>
      </w:r>
      <w:r w:rsidR="00C1190A" w:rsidRPr="00D16F3B">
        <w:rPr>
          <w:sz w:val="20"/>
          <w:lang w:val="sv-SE"/>
        </w:rPr>
        <w:instrText xml:space="preserve"> ADDIN ZOTERO_ITEM CSL_CITATION {"citationID":"1oIekU7V","properties":{"formattedCitation":"Muladi dan Dwidja Priyanto, {\\i{}PertanggungJawaban Pidana Korporasi} (Bandung: Kencana, 2010), 37.","plainCitation":"Muladi dan Dwidja Priyanto, PertanggungJawaban Pidana Korporasi (Bandung: Kencana, 2010), 37.","dontUpdate":true,"noteIndex":34},"citationItems":[{"id":"8C4CzSgy/loWzfznG","uris":["http://zotero.org/users/local/bjjBT8ug/items/MZXXPPVZ",["http://zotero.org/users/local/bjjBT8ug/items/MZXXPPVZ"]],"itemData":{"id":57,"type":"book","title":"PertanggungJawaban Pidana Korporasi","publisher":"Kencana","publisher-place":"Bandung","event-place":"Bandung","author":[{"literal":"Muladi dan Dwidja Priyanto"}],"issued":{"date-parts":[["2010"]]}},"locator":"37"}],"schema":"https://github.com/citation-style-language/schema/raw/master/csl-citation.json"} </w:instrText>
      </w:r>
      <w:r w:rsidRPr="00D16F3B">
        <w:rPr>
          <w:sz w:val="20"/>
        </w:rPr>
        <w:fldChar w:fldCharType="separate"/>
      </w:r>
      <w:r w:rsidRPr="00D16F3B">
        <w:rPr>
          <w:sz w:val="20"/>
          <w:lang w:val="sv-SE"/>
        </w:rPr>
        <w:t xml:space="preserve">Eddy O.S. Hiariej, </w:t>
      </w:r>
      <w:r w:rsidRPr="00D16F3B">
        <w:rPr>
          <w:i/>
          <w:iCs/>
          <w:sz w:val="20"/>
          <w:lang w:val="sv-SE"/>
        </w:rPr>
        <w:t>Prinsip Hukum Pidana: Edisi Revisi</w:t>
      </w:r>
      <w:r w:rsidRPr="00D16F3B">
        <w:rPr>
          <w:sz w:val="20"/>
          <w:lang w:val="sv-SE"/>
        </w:rPr>
        <w:t xml:space="preserve"> (Cahaya Atma Pustaka, 2016), 2.</w:t>
      </w:r>
      <w:r w:rsidRPr="00D16F3B">
        <w:rPr>
          <w:sz w:val="20"/>
        </w:rPr>
        <w:fldChar w:fldCharType="end"/>
      </w:r>
    </w:p>
  </w:footnote>
  <w:footnote w:id="35">
    <w:p w14:paraId="554166AF" w14:textId="0597E056" w:rsidR="0078506B" w:rsidRPr="00D16F3B" w:rsidRDefault="0078506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{"citationID":"POIO5qEu","properties":{"formattedCitation":"Moch Marsa Taufiqurrohman, \\uc0\\u8220{}ADOPTING OSMAN WARNING IN INDONESIA: AN EFFORT TO PROTECT POTENTIAL VICTIMS OF CRIME TARGET,\\uc0\\u8221{} {\\i{}Jurnal Hukum Dan Peradilan} 11, no. 3 (2022): 479.","plainCitation":"Moch Marsa Taufiqurrohman, “ADOPTING OSMAN WARNING IN INDONESIA: AN EFFORT TO PROTECT POTENTIAL VICTIMS OF CRIME TARGET,” Jurnal Hukum Dan Peradilan 11, no. 3 (2022): 479.","dontUpdate":true,"noteIndex":35},"citationItems":[{"id":231,"uris":["http://zotero.org/users/4802390/items/YGA73FV5"],"itemData":{"id":231,"type":"article-journal","abstract":"In the development of criminal law globally, experts believe that preventing crime is much better than taking action. This article exemplifies several criminal cases, especially serial murder cases in Indonesia, which show the lack of quality in the crime prevention system in Indonesia. In line with these consequences, this article considers that Indonesia needs a kind of “warning” system to increase efforts to prevent crimes. Furthermore, this article refers to the experience of implementing the Osman Warning in the UK, improving the quality of crime prevention. This article concludes that there are many problems in the crime prevention system in Indonesia. In responding to these problems, this article aims to answer three concerns. First, what are the difficulties in preventing crime in Indonesia? Second, what is the extent of the obligations of law enforcement in preventing crimes? Third, what is the probability of adopting the Osman Warning concept in Indonesia? Furthermore, this article claims that the probability of implementing the Osman Warning in Indonesia is relatively high and is suitable for implementation. Finally, this article provides a view that special regulations are needed in the laws and rules to accommodate the Osman Warning in the criminal law system in Indonesia.","container-title":"Jurnal Hukum dan Peradilan","issue":"3","language":"en","page":"22","source":"Zotero","title":"ADOPTING OSMAN WARNING IN INDONESIA: AN EFFORT TO PROTECT POTENTIAL VICTIMS OF CRIME TARGET","volume":"11","author":[{"family":"Taufiqurrohman","given":"Moch Marsa"}],"issued":{"date-parts":[["2022"]]}},"locator":"479","label":"page"}],"schema":"https://github.com/citation-style-language/schema/raw/master/csl-citation.json"} </w:instrText>
      </w:r>
      <w:r w:rsidRPr="00D16F3B">
        <w:rPr>
          <w:sz w:val="20"/>
        </w:rPr>
        <w:fldChar w:fldCharType="separate"/>
      </w:r>
      <w:r w:rsidRPr="00D16F3B">
        <w:rPr>
          <w:sz w:val="20"/>
        </w:rPr>
        <w:t xml:space="preserve">Moch Marsa Taufiqurrohman, “Adopting Osman Warning In Indonesia: An Effort To Protect Potential Victims Of Crime Target,” </w:t>
      </w:r>
      <w:r w:rsidRPr="00D16F3B">
        <w:rPr>
          <w:i/>
          <w:iCs/>
          <w:sz w:val="20"/>
        </w:rPr>
        <w:t>Jurnal Hukum Dan Peradila</w:t>
      </w:r>
      <w:r w:rsidR="00C51D67" w:rsidRPr="00D16F3B">
        <w:rPr>
          <w:i/>
          <w:iCs/>
          <w:sz w:val="20"/>
        </w:rPr>
        <w:t xml:space="preserve">n </w:t>
      </w:r>
      <w:r w:rsidRPr="00D16F3B">
        <w:rPr>
          <w:sz w:val="20"/>
        </w:rPr>
        <w:t>11, no. 3 (2022)</w:t>
      </w:r>
      <w:r w:rsidR="00C51D67" w:rsidRPr="00D16F3B">
        <w:rPr>
          <w:sz w:val="20"/>
        </w:rPr>
        <w:t>:</w:t>
      </w:r>
      <w:r w:rsidRPr="00D16F3B">
        <w:rPr>
          <w:sz w:val="20"/>
        </w:rPr>
        <w:t xml:space="preserve"> 479.</w:t>
      </w:r>
      <w:r w:rsidRPr="00D16F3B">
        <w:rPr>
          <w:sz w:val="20"/>
        </w:rPr>
        <w:fldChar w:fldCharType="end"/>
      </w:r>
    </w:p>
  </w:footnote>
  <w:footnote w:id="36">
    <w:p w14:paraId="2F288A03" w14:textId="54397D3E" w:rsidR="007C40BF" w:rsidRPr="00D16F3B" w:rsidRDefault="007C40BF"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Pasal 25 UU 5/1999 menyebutkan: (1) Pelaku usaha dilarang menggunakan posisi dominan baik secara langsung maupun tidak langsung untuk: a. menetapkan syarat-syarat perdagangan dengan tujuan untuk mencegah dan atau menghalangi konsumen memperoleh barang dan atau jasa yang bersaing, baik dari segi harga maupun kualitas; atau b. membatasi pasar dan pengembangan teknologi; atau c.</w:t>
      </w:r>
      <w:r w:rsidRPr="00D16F3B">
        <w:rPr>
          <w:sz w:val="20"/>
        </w:rPr>
        <w:tab/>
        <w:t>menghambat pelaku usaha lain yang berpotensi menjadi pesaing untuk memasuki pasar bersangkutan. (2) Pelaku usaha memiliki posisi dominan sebagaimana dimaksud ayat (1) apabila: a. satu pelaku usaha atau satu kelompok pelaku usaha menguasai 50% (lima puluh persen) atau lebih pangsa pasar satu jenis barang atau jasa tertentu; atau b. dua atau tiga pelaku usaha atau kelompok pelaku usaha menguasai 75% (tujuh puluh lima persen) atau lebih pangsa pasar satu jenis barang atau jasa tertentu.</w:t>
      </w:r>
    </w:p>
  </w:footnote>
  <w:footnote w:id="37">
    <w:p w14:paraId="10E4F76F" w14:textId="221E27A6" w:rsidR="001E12FD" w:rsidRPr="00D16F3B" w:rsidRDefault="001E12FD" w:rsidP="00D16F3B">
      <w:pPr>
        <w:pStyle w:val="FootnoteText"/>
        <w:spacing w:after="0"/>
        <w:ind w:left="284" w:hanging="284"/>
        <w:rPr>
          <w:sz w:val="20"/>
        </w:rPr>
      </w:pPr>
      <w:r w:rsidRPr="00D16F3B">
        <w:rPr>
          <w:rStyle w:val="FootnoteReference"/>
          <w:sz w:val="20"/>
        </w:rPr>
        <w:footnoteRef/>
      </w:r>
      <w:r w:rsidRPr="00D16F3B">
        <w:rPr>
          <w:sz w:val="20"/>
          <w:lang w:val="fr-FR"/>
        </w:rPr>
        <w:t xml:space="preserve"> </w:t>
      </w:r>
      <w:r w:rsidRPr="00D16F3B">
        <w:rPr>
          <w:sz w:val="20"/>
          <w:lang w:val="fr-FR"/>
        </w:rPr>
        <w:tab/>
        <w:t xml:space="preserve">Moch. Marsa </w:t>
      </w:r>
      <w:r w:rsidRPr="00D16F3B">
        <w:rPr>
          <w:sz w:val="20"/>
        </w:rPr>
        <w:fldChar w:fldCharType="begin"/>
      </w:r>
      <w:r w:rsidR="00C1190A" w:rsidRPr="00D16F3B">
        <w:rPr>
          <w:sz w:val="20"/>
          <w:lang w:val="fr-FR"/>
        </w:rPr>
        <w:instrText xml:space="preserve"> ADDIN ZOTERO_ITEM CSL_CITATION {"citationID":"zsOBGK44","properties":{"formattedCitation":"Taufiqurrohman et al., \\uc0\\u8220{}MENINJAU PERANG SIBER: DAPATKAH KONVENSI-KONVENSI HUKUM HUMANITER INTERNASIONAL MENINJAU FENOMENA INI?\\uc0\\u8221{}","plainCitation":"Taufiqurrohman et al., “MENINJAU PERANG SIBER: DAPATKAH KONVENSI-KONVENSI HUKUM HUMANITER INTERNASIONAL MENINJAU FENOMENA INI?”","dontUpdate":true,"noteIndex":37},"citationItems":[{"id":2324,"uris":["http://zotero.org/users/4802390/items/D45THHCL"],"itemData":{"id":2324,"type":"article-journal","abstract":"Cyberwarfare is a form of warfare that cannot be explicitly addressed by existing international law. While most experts agree that legal restrictions should apply to this phenomenon. However, the international community has not been able to reach a consensus on how international humanitarian law (IHL) can be adapted. This article argues that this issue remains unresolved academically. Some passages in the Geneva Conventions and the Hague Convention may indeed be relevant to cyber warfare, but specifically the relevance does not respond to this phenomenon. Many cyberattacks inevitably inflict losses on parties, making these violations more likely to occur in cyber conflicts than in conventional wars. With this in mind, this article also argues that IHL should evolve to encourage the creation of a legal umbrella against cyberwarfare in some situations and provide better guidance.","issue":"2","language":"id","page":"21","source":"Zotero","title":"MENINJAU PERANG SIBER: DAPATKAH KONVENSI-KONVENSI HUKUM HUMANITER INTERNASIONAL MENINJAU FENOMENA INI?","volume":"1","author":[{"family":"Taufiqurrohman","given":"Moch Marsa"},{"family":"Fahri","given":"Muhammad Toriq"},{"family":"Wijaya","given":"Kurnia"},{"family":"Wiranata","given":"I Gede Putu"}],"issued":{"date-parts":[["2021"]]}}}],"schema":"https://github.com/citation-style-language/schema/raw/master/csl-citation.json"} </w:instrText>
      </w:r>
      <w:r w:rsidRPr="00D16F3B">
        <w:rPr>
          <w:sz w:val="20"/>
        </w:rPr>
        <w:fldChar w:fldCharType="separate"/>
      </w:r>
      <w:r w:rsidRPr="00D16F3B">
        <w:rPr>
          <w:sz w:val="20"/>
          <w:lang w:val="fr-FR"/>
        </w:rPr>
        <w:t>Taufiqurrohman, et al., “Meninjau Perang Siber: Dapatkah Konvensi-Konvensi Hukum Humaniter Internasional Meninjau Fenomena Ini?”</w:t>
      </w:r>
      <w:r w:rsidRPr="00D16F3B">
        <w:rPr>
          <w:sz w:val="20"/>
        </w:rPr>
        <w:fldChar w:fldCharType="end"/>
      </w:r>
      <w:r w:rsidRPr="00D16F3B">
        <w:rPr>
          <w:sz w:val="20"/>
          <w:lang w:val="fr-FR"/>
        </w:rPr>
        <w:t xml:space="preserve"> </w:t>
      </w:r>
      <w:r w:rsidRPr="00D16F3B">
        <w:rPr>
          <w:i/>
          <w:iCs/>
          <w:sz w:val="20"/>
        </w:rPr>
        <w:t>Jurnal Kawruh Abiyasa</w:t>
      </w:r>
      <w:r w:rsidRPr="00D16F3B">
        <w:rPr>
          <w:sz w:val="20"/>
        </w:rPr>
        <w:t xml:space="preserve"> 1, no. 2 (2021): 145-165.</w:t>
      </w:r>
    </w:p>
  </w:footnote>
  <w:footnote w:id="38">
    <w:p w14:paraId="2FE1A1D3" w14:textId="5207ACE5" w:rsidR="008D3440" w:rsidRPr="00D16F3B" w:rsidRDefault="008D3440"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{"citationID":"FOFDW2Fj","properties":{"formattedCitation":"Linda Holkov\\uc0\\u225{} Lubyov\\uc0\\u225{}, \\uc0\\u8220{}Big Data in the EU Competition Law,\\uc0\\u8221{} {\\i{}Charles University in Prague Faculty of Law Research Paper No}, 2018, https://papers.ssrn.com/sol3/papers.cfm?abstract_id=3128400.","plainCitation":"Linda Holková Lubyová, “Big Data in the EU Competition Law,” Charles University in Prague Faculty of Law Research Paper No, 2018, https://papers.ssrn.com/sol3/papers.cfm?abstract_id=3128400.","dontUpdate":true,"noteIndex":38},"citationItems":[{"id":6255,"uris":["http://zotero.org/users/4802390/items/F76XA28U"],"itemData":{"id":6255,"type":"article-journal","container-title":"Charles University in Prague Faculty of Law Research Paper No","source":"Google Scholar","title":"Big Data in the EU Competition Law","URL":"https://papers.ssrn.com/sol3/papers.cfm?abstract_id=3128400","author":[{"family":"Holková Lubyová","given":"Linda"}],"accessed":{"date-parts":[["2024",4,5]]},"issued":{"date-parts":[["2018"]]}}}],"schema":"https://github.com/citation-style-language/schema/raw/master/csl-citation.json"} </w:instrText>
      </w:r>
      <w:r w:rsidRPr="00D16F3B">
        <w:rPr>
          <w:sz w:val="20"/>
        </w:rPr>
        <w:fldChar w:fldCharType="separate"/>
      </w:r>
      <w:r w:rsidRPr="00D16F3B">
        <w:rPr>
          <w:sz w:val="20"/>
        </w:rPr>
        <w:t>Linda Holková Lubyová, “</w:t>
      </w:r>
      <w:r w:rsidR="002961BD" w:rsidRPr="00D16F3B">
        <w:rPr>
          <w:i/>
          <w:iCs/>
          <w:sz w:val="20"/>
        </w:rPr>
        <w:t>Big data</w:t>
      </w:r>
      <w:r w:rsidRPr="00D16F3B">
        <w:rPr>
          <w:sz w:val="20"/>
        </w:rPr>
        <w:t xml:space="preserve"> in the EU Competition Law,” </w:t>
      </w:r>
      <w:r w:rsidRPr="00D16F3B">
        <w:rPr>
          <w:i/>
          <w:iCs/>
          <w:sz w:val="20"/>
        </w:rPr>
        <w:t>SSRN 18, No</w:t>
      </w:r>
      <w:r w:rsidRPr="00D16F3B">
        <w:rPr>
          <w:sz w:val="20"/>
        </w:rPr>
        <w:t>, 2 (2018): 19.</w:t>
      </w:r>
      <w:r w:rsidRPr="00D16F3B">
        <w:rPr>
          <w:sz w:val="20"/>
        </w:rPr>
        <w:fldChar w:fldCharType="end"/>
      </w:r>
    </w:p>
  </w:footnote>
  <w:footnote w:id="39">
    <w:p w14:paraId="78CF0EE6" w14:textId="7C26D3A7" w:rsidR="001E12FD" w:rsidRPr="00D16F3B" w:rsidRDefault="001E12FD"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550CCD" w:rsidRPr="00D16F3B">
        <w:rPr>
          <w:sz w:val="20"/>
        </w:rPr>
        <w:tab/>
      </w:r>
      <w:r w:rsidRPr="00D16F3B">
        <w:rPr>
          <w:sz w:val="20"/>
        </w:rPr>
        <w:fldChar w:fldCharType="begin"/>
      </w:r>
      <w:r w:rsidR="00C1190A" w:rsidRPr="00D16F3B">
        <w:rPr>
          <w:sz w:val="20"/>
        </w:rPr>
        <w:instrText xml:space="preserve"> ADDIN ZOTERO_ITEM CSL_CITATION {"citationID":"2gqQ7JwJ","properties":{"formattedCitation":"Organisation for Economic Co-operation and Development, {\\i{}Exploring Data-Driven Innovation as a New Source of Growth: Mapping the Policy Issues Raised by\" Big Data\"} (OECD Publishing, 2013).","plainCitation":"Organisation for Economic Co-operation and Development, Exploring Data-Driven Innovation as a New Source of Growth: Mapping the Policy Issues Raised by\" Big Data\" (OECD Publishing, 2013).","dontUpdate":true,"noteIndex":39},"citationItems":[{"id":6251,"uris":["http://zotero.org/users/4802390/items/GANNT5P2"],"itemData":{"id":6251,"type":"book","publisher":"OECD Publishing","source":"Google Scholar","title":"Exploring Data-Driven Innovation as a New Source of Growth: Mapping the Policy Issues Raised by\" Big Data\"","title-short":"Exploring Data-Driven Innovation as a New Source of Growth","author":[{"family":"Co-operation","given":"Organisation for Economic"},{"literal":"Development"}],"issued":{"date-parts":[["2013"]]}}}],"schema":"https://github.com/citation-style-language/schema/raw/master/csl-citation.json"} </w:instrText>
      </w:r>
      <w:r w:rsidRPr="00D16F3B">
        <w:rPr>
          <w:sz w:val="20"/>
        </w:rPr>
        <w:fldChar w:fldCharType="separate"/>
      </w:r>
      <w:r w:rsidRPr="00D16F3B">
        <w:rPr>
          <w:sz w:val="20"/>
        </w:rPr>
        <w:t xml:space="preserve">Organisation for Economic Co-operation and Development, </w:t>
      </w:r>
      <w:r w:rsidRPr="00D16F3B">
        <w:rPr>
          <w:i/>
          <w:iCs/>
          <w:sz w:val="20"/>
        </w:rPr>
        <w:t xml:space="preserve">Exploring Data-Driven Innovation as a New Source of Growth: Mapping the Policy Issues Raised by" </w:t>
      </w:r>
      <w:r w:rsidR="002961BD" w:rsidRPr="00D16F3B">
        <w:rPr>
          <w:i/>
          <w:iCs/>
          <w:sz w:val="20"/>
        </w:rPr>
        <w:t>Big data</w:t>
      </w:r>
      <w:r w:rsidRPr="00D16F3B">
        <w:rPr>
          <w:i/>
          <w:iCs/>
          <w:sz w:val="20"/>
        </w:rPr>
        <w:t>"</w:t>
      </w:r>
      <w:r w:rsidRPr="00D16F3B">
        <w:rPr>
          <w:sz w:val="20"/>
        </w:rPr>
        <w:t xml:space="preserve"> (OECD Publishing, 2013), 25.</w:t>
      </w:r>
      <w:r w:rsidRPr="00D16F3B">
        <w:rPr>
          <w:sz w:val="20"/>
        </w:rPr>
        <w:fldChar w:fldCharType="end"/>
      </w:r>
    </w:p>
  </w:footnote>
  <w:footnote w:id="40">
    <w:p w14:paraId="299B37E6" w14:textId="0F73EF87" w:rsidR="00167FB7" w:rsidRPr="00D16F3B" w:rsidRDefault="00167FB7"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The implications of the “winner-take-most” feature is set in stark relief by the difference between the market capitalization of two one-time rivals: Google’s market cap is currently in the US$ 600 juta range and Yahoo’s was only US$ 4.5 juta at the time of its final disposition. This differentiation in outcomes drives strategic behaviour. As Solomon (2016) observes: “Facebook and its elite brethren will do anything to make sure they are not the next Yahoo or Radio Shack, killed by disruption and failure to innovate.”</w:t>
      </w:r>
      <w:r w:rsidR="001E12FD" w:rsidRPr="00D16F3B">
        <w:rPr>
          <w:sz w:val="20"/>
        </w:rPr>
        <w:t xml:space="preserve"> Ibid.</w:t>
      </w:r>
    </w:p>
  </w:footnote>
  <w:footnote w:id="41">
    <w:p w14:paraId="73068C15" w14:textId="2C299312"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{"citationID":"7DdChIeY","properties":{"formattedCitation":"Noby Thomas Cyriac, {\\i{}Big Data and the Abuse of Dominance by Multi-Sided Platforms: An Analysis of Art. 102 TFEU}, vol. 85 (Nomos Verlag, 2022), 18, https://books.google.com/books?hl=id&amp;lr=&amp;id=-iOCEAAAQBAJ&amp;oi=fnd&amp;pg=PA1&amp;dq=multisided+market+dominance&amp;ots=2TX2llm43z&amp;sig=KZVL5yRpQldES6D1c6l_tK3FDBo.","plainCitation":"Noby Thomas Cyriac, Big Data and the Abuse of Dominance by Multi-Sided Platforms: An Analysis of Art. 102 TFEU, vol. 85 (Nomos Verlag, 2022), 18, https://books.google.com/books?hl=id&amp;lr=&amp;id=-iOCEAAAQBAJ&amp;oi=fnd&amp;pg=PA1&amp;dq=multisided+market+dominance&amp;ots=2TX2llm43z&amp;sig=KZVL5yRpQldES6D1c6l_tK3FDBo.","dontUpdate":true,"noteIndex":41},"citationItems":[{"id":6273,"uris":["http://zotero.org/users/4802390/items/SK8E2B7C"],"itemData":{"id":6273,"type":"book","publisher":"Nomos Verlag","source":"Google Scholar","title":"Big Data and the Abuse of Dominance by Multi-sided Platforms: An Analysis of Art. 102 TFEU","title-short":"Big Data and the Abuse of Dominance by Multi-sided Platforms","URL":"https://books.google.com/books?hl=id&amp;lr=&amp;id=-iOCEAAAQBAJ&amp;oi=fnd&amp;pg=PA1&amp;dq=multisided+market+dominance&amp;ots=2TX2llm43z&amp;sig=KZVL5yRpQldES6D1c6l_tK3FDBo","volume":"85","author":[{"family":"Cyriac","given":"Noby Thomas"}],"accessed":{"date-parts":[["2024",4,5]]},"issued":{"date-parts":[["2022"]]}},"locator":"18","label":"page"}],"schema":"https://github.com/citation-style-language/schema/raw/master/csl-citation.json"} </w:instrText>
      </w:r>
      <w:r w:rsidRPr="00D16F3B">
        <w:rPr>
          <w:sz w:val="20"/>
        </w:rPr>
        <w:fldChar w:fldCharType="separate"/>
      </w:r>
      <w:r w:rsidRPr="00D16F3B">
        <w:rPr>
          <w:sz w:val="20"/>
        </w:rPr>
        <w:t xml:space="preserve">Noby Thomas Cyriac, </w:t>
      </w:r>
      <w:r w:rsidRPr="00D16F3B">
        <w:rPr>
          <w:i/>
          <w:iCs/>
          <w:sz w:val="20"/>
        </w:rPr>
        <w:t>Big Data and the Abuse of Dominance by Multi-Sided Platforms: An Analysis of Art. 102 TFEU</w:t>
      </w:r>
      <w:r w:rsidRPr="00D16F3B">
        <w:rPr>
          <w:sz w:val="20"/>
        </w:rPr>
        <w:t>, vol. 85 (Nomos Verlag, 2022), 18.</w:t>
      </w:r>
      <w:r w:rsidRPr="00D16F3B">
        <w:rPr>
          <w:sz w:val="20"/>
        </w:rPr>
        <w:fldChar w:fldCharType="end"/>
      </w:r>
    </w:p>
  </w:footnote>
  <w:footnote w:id="42">
    <w:p w14:paraId="5BE670C5" w14:textId="0CA73AB9"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F7491D" w:rsidRPr="00D16F3B">
        <w:rPr>
          <w:sz w:val="20"/>
        </w:rPr>
        <w:instrText xml:space="preserve"> ADDIN ZOTERO_ITEM CSL_CITATION {"citationID":"7laFqF27","properties":{"formattedCitation":"David J. Teece et al., \\uc0\\u8220{}Managing Multi-Sided Platforms: Platform Origins and Go-to-Market Strategy,\\uc0\\u8221{} {\\i{}California Management Review} 64, no. 4 (August 2022): 12, https://doi.org/10.1177/00081256221109961.","plainCitation":"David J. Teece et al., “Managing Multi-Sided Platforms: Platform Origins and Go-to-Market Strategy,” California Management Review 64, no. 4 (August 2022): 12, https://doi.org/10.1177/00081256221109961.","dontUpdate":true,"noteIndex":42},"citationItems":[{"id":6272,"uris":["http://zotero.org/users/4802390/items/VZW2RCEU"],"itemData":{"id":6272,"type":"article-journal","abstract":"Multi-sided platforms (MSPs) are becoming increasingly important in contemporary economies. This special issue of California Management Review aims to stimulate collective discussion among researchers and practitioners on advancing diverse types of MSPs and on better understanding their future development. This article analyzes five contributions to this special issue and explores the growth trajectories of MSPs. There are three types of platforms: born-platform, platform-born adjacent, and incumbent-born. And they rely respectively on three market entry strategies: market creation, market broadening, and market deepening. This article also spotlights the coopetition dynamics of the platforms.","container-title":"California Management Review","DOI":"10.1177/00081256221109961","ISSN":"0008-1256, 2162-8564","issue":"4","journalAbbreviation":"California Management Review","language":"en","page":"5-19","source":"DOI.org (Crossref)","title":"Managing Multi-Sided Platforms: Platform Origins and Go-to-Market Strategy","title-short":"Managing Multi-Sided Platforms","volume":"64","author":[{"family":"Teece","given":"David J."},{"family":"Pundziene","given":"Asta"},{"family":"Heaton","given":"Sohvi"},{"family":"Vadi","given":"Maaja"}],"issued":{"date-parts":[["2022",8]]}},"locator":"12","label":"page"}],"schema":"https://github.com/citation-style-language/schema/raw/master/csl-citation.json"} </w:instrText>
      </w:r>
      <w:r w:rsidRPr="00D16F3B">
        <w:rPr>
          <w:sz w:val="20"/>
        </w:rPr>
        <w:fldChar w:fldCharType="separate"/>
      </w:r>
      <w:r w:rsidRPr="00D16F3B">
        <w:rPr>
          <w:sz w:val="20"/>
        </w:rPr>
        <w:t xml:space="preserve">David J. Teece et al., “Managing Multi-Sided Platforms: Platform Origins and Go-to-Market Strategy,” </w:t>
      </w:r>
      <w:r w:rsidRPr="00D16F3B">
        <w:rPr>
          <w:i/>
          <w:iCs/>
          <w:sz w:val="20"/>
        </w:rPr>
        <w:t>California Management Review</w:t>
      </w:r>
      <w:r w:rsidRPr="00D16F3B">
        <w:rPr>
          <w:sz w:val="20"/>
        </w:rPr>
        <w:t xml:space="preserve"> 64, no. 4 (2022): 12.</w:t>
      </w:r>
      <w:r w:rsidRPr="00D16F3B">
        <w:rPr>
          <w:sz w:val="20"/>
        </w:rPr>
        <w:fldChar w:fldCharType="end"/>
      </w:r>
    </w:p>
  </w:footnote>
  <w:footnote w:id="43">
    <w:p w14:paraId="03CCF80B" w14:textId="621F7424"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{"citationID":"eKujXYEM","properties":{"formattedCitation":"James Alleman, Edmond Baranes, and Paul N. Rappoport, \\uc0\\u8220{}Multisided Markets and Platform Dominance,\\uc0\\u8221{} in {\\i{}Applied Economics in the Digital Era}, ed. James Alleman, Paul N. Rappoport, and Mohsen Hamoudia (Cham: Springer International Publishing, 2020), 21, https://doi.org/10.1007/978-3-030-40601-1_14.","plainCitation":"James Alleman, Edmond Baranes, and Paul N. Rappoport, “Multisided Markets and Platform Dominance,” in Applied Economics in the Digital Era, ed. James Alleman, Paul N. Rappoport, and Mohsen Hamoudia (Cham: Springer International Publishing, 2020), 21, https://doi.org/10.1007/978-3-030-40601-1_14.","dontUpdate":true,"noteIndex":43},"citationItems":[{"id":6266,"uris":["http://zotero.org/users/4802390/items/FQCDLRAA"],"itemData":{"id":6266,"type":"chapter","container-title":"Applied Economics in the Digital Era","event-place":"Cham","ISBN":"978-3-030-40600-4","language":"en","note":"DOI: 10.1007/978-3-030-40601-1_14","page":"303-323","publisher":"Springer International Publishing","publisher-place":"Cham","source":"DOI.org (Crossref)","title":"Multisided Markets and Platform Dominance","URL":"http://link.springer.com/10.1007/978-3-030-40601-1_14","editor":[{"family":"Alleman","given":"James"},{"family":"Rappoport","given":"Paul N."},{"family":"Hamoudia","given":"Mohsen"}],"author":[{"family":"Alleman","given":"James"},{"family":"Baranes","given":"Edmond"},{"family":"Rappoport","given":"Paul N."}],"accessed":{"date-parts":[["2024",4,5]]},"issued":{"date-parts":[["2020"]]}},"locator":"21","label":"page"}],"schema":"https://github.com/citation-style-language/schema/raw/master/csl-citation.json"} </w:instrText>
      </w:r>
      <w:r w:rsidRPr="00D16F3B">
        <w:rPr>
          <w:sz w:val="20"/>
        </w:rPr>
        <w:fldChar w:fldCharType="separate"/>
      </w:r>
      <w:r w:rsidRPr="00D16F3B">
        <w:rPr>
          <w:sz w:val="20"/>
        </w:rPr>
        <w:t xml:space="preserve">James Alleman, Edmond Baranes, and Paul N. Rappoport, “Multisided Markets and Platform Dominance,” in </w:t>
      </w:r>
      <w:r w:rsidRPr="00D16F3B">
        <w:rPr>
          <w:i/>
          <w:iCs/>
          <w:sz w:val="20"/>
        </w:rPr>
        <w:t>Applied Economics in the Digital Era</w:t>
      </w:r>
      <w:r w:rsidRPr="00D16F3B">
        <w:rPr>
          <w:sz w:val="20"/>
        </w:rPr>
        <w:t>, ed. James Alleman, Paul N. Rappoport, and Mohsen Hamoudia (Cham: Springer International Publishing, 2020), 21.</w:t>
      </w:r>
      <w:r w:rsidRPr="00D16F3B">
        <w:rPr>
          <w:sz w:val="20"/>
        </w:rPr>
        <w:fldChar w:fldCharType="end"/>
      </w:r>
    </w:p>
  </w:footnote>
  <w:footnote w:id="44">
    <w:p w14:paraId="7459D1D9" w14:textId="5BD7BC93"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{"citationID":"xe2lXoTC","properties":{"formattedCitation":"Shuya Hayashi and Koki Arai, \\uc0\\u8220{}Competition in Multisided Markets,\\uc0\\u8221{} in {\\i{}Digitalization and Competition Policy in Japan}, by Shuya Hayashi and Koki Arai (Singapore: Springer Nature Singapore, 2024), 19, https://doi.org/10.1007/978-981-99-5310-3_8.","plainCitation":"Shuya Hayashi and Koki Arai, “Competition in Multisided Markets,” in Digitalization and Competition Policy in Japan, by Shuya Hayashi and Koki Arai (Singapore: Springer Nature Singapore, 2024), 19, https://doi.org/10.1007/978-981-99-5310-3_8.","dontUpdate":true,"noteIndex":44},"citationItems":[{"id":6271,"uris":["http://zotero.org/users/4802390/items/AZJEXQ6W"],"itemData":{"id":6271,"type":"chapter","container-title":"Digitalization and Competition Policy in Japan","event-place":"Singapore","ISBN":"978-981-9953-09-7","language":"en","note":"DOI: 10.1007/978-981-99-5310-3_8","page":"103-126","publisher":"Springer Nature Singapore","publisher-place":"Singapore","source":"DOI.org (Crossref)","title":"Competition in Multisided Markets","URL":"https://link.springer.com/10.1007/978-981-99-5310-3_8","container-author":[{"family":"Hayashi","given":"Shuya"},{"family":"Arai","given":"Koki"}],"author":[{"family":"Hayashi","given":"Shuya"},{"family":"Arai","given":"Koki"}],"accessed":{"date-parts":[["2024",4,5]]},"issued":{"date-parts":[["2024"]]}},"locator":"19","label":"page"}],"schema":"https://github.com/citation-style-language/schema/raw/master/csl-citation.json"} </w:instrText>
      </w:r>
      <w:r w:rsidRPr="00D16F3B">
        <w:rPr>
          <w:sz w:val="20"/>
        </w:rPr>
        <w:fldChar w:fldCharType="separate"/>
      </w:r>
      <w:r w:rsidRPr="00D16F3B">
        <w:rPr>
          <w:sz w:val="20"/>
        </w:rPr>
        <w:t xml:space="preserve">Shuya Hayashi and Koki Arai, “Competition in Multisided Markets,” in </w:t>
      </w:r>
      <w:r w:rsidRPr="00D16F3B">
        <w:rPr>
          <w:i/>
          <w:iCs/>
          <w:sz w:val="20"/>
        </w:rPr>
        <w:t>Digitalization and Competition Policy in Japan</w:t>
      </w:r>
      <w:r w:rsidRPr="00D16F3B">
        <w:rPr>
          <w:sz w:val="20"/>
        </w:rPr>
        <w:t>, by Shuya Hayashi and Koki Arai (Singapore: Springer Nature Singapore, 2024), 19.</w:t>
      </w:r>
      <w:r w:rsidRPr="00D16F3B">
        <w:rPr>
          <w:sz w:val="20"/>
        </w:rPr>
        <w:fldChar w:fldCharType="end"/>
      </w:r>
    </w:p>
  </w:footnote>
  <w:footnote w:id="45">
    <w:p w14:paraId="47658F38" w14:textId="3E199063"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{"citationID":"oZ75AC48","properties":{"formattedCitation":"Juan Manuel Sanchez\\uc0\\u8208{}Cartas and Gonzalo Le\\uc0\\u243{}n, \\uc0\\u8220{}MULTISIDED PLATFORMS AND MARKETS: A SURVEY OF THE THEORETICAL LITERATURE,\\uc0\\u8221{} {\\i{}Journal of Economic Surveys} 35, no. 2 (April 2021): 16, https://doi.org/10.1111/joes.12409.","plainCitation":"Juan Manuel Sanchez‐Cartas and Gonzalo León, “MULTISIDED PLATFORMS AND MARKETS: A SURVEY OF THE THEORETICAL LITERATURE,” Journal of Economic Surveys 35, no. 2 (April 2021): 16, https://doi.org/10.1111/joes.12409.","dontUpdate":true,"noteIndex":45},"citationItems":[{"id":6269,"uris":["http://zotero.org/users/4802390/items/8SJWWHP7"],"itemData":{"id":6269,"type":"article-journal","abstract":"Abstract\n            Platforms are everywhere. The rise of Uber, Netflix, and Facebook has attracted a lot of attention to this business model. However, despite its relevance and presence in the digital economy, the definition of platforms, their main characteristics, the intuitions about how they set prices, solve coordination issues, or choose their ownership structure seem to be scattered in many papers. This review attempts to organize the last two decades of research on multisided platforms around three essential elements of platforms: price structure, network effects, and control rights. We highlight which definitions are used in the literature, how they are related to the defining characteristics of platforms, and what research has been made on those characteristics. We pay special attention to the research done on pricing, coordination problems, and ownership structure. We conclude by reviewing the theoretical evidence around monopolization and competition policy in multisided markets.","container-title":"Journal of Economic Surveys","DOI":"10.1111/joes.12409","ISSN":"0950-0804, 1467-6419","issue":"2","journalAbbreviation":"Journal of Economic Surveys","language":"en","page":"452-487","source":"DOI.org (Crossref)","title":"MULTISIDED PLATFORMS AND MARKETS: A SURVEY OF THE THEORETICAL LITERATURE","title-short":"MULTISIDED PLATFORMS AND MARKETS","volume":"35","author":[{"family":"Sanchez‐Cartas","given":"Juan Manuel"},{"family":"León","given":"Gonzalo"}],"issued":{"date-parts":[["2021",4]]}},"locator":"16","label":"page"}],"schema":"https://github.com/citation-style-language/schema/raw/master/csl-citation.json"} </w:instrText>
      </w:r>
      <w:r w:rsidRPr="00D16F3B">
        <w:rPr>
          <w:sz w:val="20"/>
        </w:rPr>
        <w:fldChar w:fldCharType="separate"/>
      </w:r>
      <w:r w:rsidRPr="00D16F3B">
        <w:rPr>
          <w:sz w:val="20"/>
        </w:rPr>
        <w:t xml:space="preserve">Juan Manuel Sanchez‐Cartas and Gonzalo León, “Multisided Platforms And Markets: A Survey Of The Theoretical Literature,” </w:t>
      </w:r>
      <w:r w:rsidRPr="00D16F3B">
        <w:rPr>
          <w:i/>
          <w:iCs/>
          <w:sz w:val="20"/>
        </w:rPr>
        <w:t>Journal of Economic Surveys</w:t>
      </w:r>
      <w:r w:rsidRPr="00D16F3B">
        <w:rPr>
          <w:sz w:val="20"/>
        </w:rPr>
        <w:t xml:space="preserve"> 35, no. 2 (2021): 16.</w:t>
      </w:r>
      <w:r w:rsidRPr="00D16F3B">
        <w:rPr>
          <w:sz w:val="20"/>
        </w:rPr>
        <w:fldChar w:fldCharType="end"/>
      </w:r>
    </w:p>
  </w:footnote>
  <w:footnote w:id="46">
    <w:p w14:paraId="2B67C342" w14:textId="408E3E0C"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Pr="00D16F3B">
        <w:rPr>
          <w:sz w:val="20"/>
        </w:rPr>
        <w:instrText xml:space="preserve"> ADDIN ZOTERO_ITEM CSL_CITATION {"citationID":"Y6cU9aLU","properties":{"formattedCitation":"Ibid., 21.","plainCitation":"Ibid., 21.","noteIndex":46},"citationItems":[{"id":6269,"uris":["http://zotero.org/users/4802390/items/8SJWWHP7"],"itemData":{"id":6269,"type":"article-journal","abstract":"Abstract\n            Platforms are everywhere. The rise of Uber, Netflix, and Facebook has attracted a lot of attention to this business model. However, despite its relevance and presence in the digital economy, the definition of platforms, their main characteristics, the intuitions about how they set prices, solve coordination issues, or choose their ownership structure seem to be scattered in many papers. This review attempts to organize the last two decades of research on multisided platforms around three essential elements of platforms: price structure, network effects, and control rights. We highlight which definitions are used in the literature, how they are related to the defining characteristics of platforms, and what research has been made on those characteristics. We pay special attention to the research done on pricing, coordination problems, and ownership structure. We conclude by reviewing the theoretical evidence around monopolization and competition policy in multisided markets.","container-title":"Journal of Economic Surveys","DOI":"10.1111/joes.12409","ISSN":"0950-0804, 1467-6419","issue":"2","journalAbbreviation":"Journal of Economic Surveys","language":"en","page":"452-487","source":"DOI.org (Crossref)","title":"MULTISIDED PLATFORMS AND MARKETS: A SURVEY OF THE THEORETICAL LITERATURE","title-short":"MULTISIDED PLATFORMS AND MARKETS","volume":"35","author":[{"family":"Sanchez‐Cartas","given":"Juan Manuel"},{"family":"León","given":"Gonzalo"}],"issued":{"date-parts":[["2021",4]]}},"locator":"21","label":"page"}],"schema":"https://github.com/citation-style-language/schema/raw/master/csl-citation.json"} </w:instrText>
      </w:r>
      <w:r w:rsidRPr="00D16F3B">
        <w:rPr>
          <w:sz w:val="20"/>
        </w:rPr>
        <w:fldChar w:fldCharType="separate"/>
      </w:r>
      <w:r w:rsidRPr="00D16F3B">
        <w:rPr>
          <w:sz w:val="20"/>
        </w:rPr>
        <w:t>Ibid., 21.</w:t>
      </w:r>
      <w:r w:rsidRPr="00D16F3B">
        <w:rPr>
          <w:sz w:val="20"/>
        </w:rPr>
        <w:fldChar w:fldCharType="end"/>
      </w:r>
    </w:p>
  </w:footnote>
  <w:footnote w:id="47">
    <w:p w14:paraId="50F8F7DC" w14:textId="2BEF2010"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Pr="00D16F3B">
        <w:rPr>
          <w:sz w:val="20"/>
        </w:rPr>
        <w:instrText xml:space="preserve"> ADDIN ZOTERO_ITEM CSL_CITATION {"citationID":"pz5HYGjp","properties":{"formattedCitation":"Ibid., 22.","plainCitation":"Ibid., 22.","noteIndex":47},"citationItems":[{"id":6269,"uris":["http://zotero.org/users/4802390/items/8SJWWHP7"],"itemData":{"id":6269,"type":"article-journal","abstract":"Abstract\n            Platforms are everywhere. The rise of Uber, Netflix, and Facebook has attracted a lot of attention to this business model. However, despite its relevance and presence in the digital economy, the definition of platforms, their main characteristics, the intuitions about how they set prices, solve coordination issues, or choose their ownership structure seem to be scattered in many papers. This review attempts to organize the last two decades of research on multisided platforms around three essential elements of platforms: price structure, network effects, and control rights. We highlight which definitions are used in the literature, how they are related to the defining characteristics of platforms, and what research has been made on those characteristics. We pay special attention to the research done on pricing, coordination problems, and ownership structure. We conclude by reviewing the theoretical evidence around monopolization and competition policy in multisided markets.","container-title":"Journal of Economic Surveys","DOI":"10.1111/joes.12409","ISSN":"0950-0804, 1467-6419","issue":"2","journalAbbreviation":"Journal of Economic Surveys","language":"en","page":"452-487","source":"DOI.org (Crossref)","title":"MULTISIDED PLATFORMS AND MARKETS: A SURVEY OF THE THEORETICAL LITERATURE","title-short":"MULTISIDED PLATFORMS AND MARKETS","volume":"35","author":[{"family":"Sanchez‐Cartas","given":"Juan Manuel"},{"family":"León","given":"Gonzalo"}],"issued":{"date-parts":[["2021",4]]}},"locator":"22","label":"page"}],"schema":"https://github.com/citation-style-language/schema/raw/master/csl-citation.json"} </w:instrText>
      </w:r>
      <w:r w:rsidRPr="00D16F3B">
        <w:rPr>
          <w:sz w:val="20"/>
        </w:rPr>
        <w:fldChar w:fldCharType="separate"/>
      </w:r>
      <w:r w:rsidRPr="00D16F3B">
        <w:rPr>
          <w:sz w:val="20"/>
        </w:rPr>
        <w:t>Ibid., 22.</w:t>
      </w:r>
      <w:r w:rsidRPr="00D16F3B">
        <w:rPr>
          <w:sz w:val="20"/>
        </w:rPr>
        <w:fldChar w:fldCharType="end"/>
      </w:r>
    </w:p>
  </w:footnote>
  <w:footnote w:id="48">
    <w:p w14:paraId="18BDE5A2" w14:textId="4BCA5580"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F7491D" w:rsidRPr="00D16F3B">
        <w:rPr>
          <w:sz w:val="20"/>
        </w:rPr>
        <w:tab/>
      </w:r>
      <w:r w:rsidRPr="00D16F3B">
        <w:rPr>
          <w:sz w:val="20"/>
        </w:rPr>
        <w:fldChar w:fldCharType="begin"/>
      </w:r>
      <w:r w:rsidR="00C1190A" w:rsidRPr="00D16F3B">
        <w:rPr>
          <w:sz w:val="20"/>
        </w:rPr>
        <w:instrText xml:space="preserve"> ADDIN ZOTERO_ITEM CSL_CITATION {"citationID":"Tkq0Ueea","properties":{"formattedCitation":"Cassey Lee, \\uc0\\u8220{}Competition Policy in the Age of Algorithms: Challenges for Indonesia,\\uc0\\u8221{} {\\i{}Bulletin of Indonesian Economic Studies} 58, no. 3 (September 2, 2022): 19, https://doi.org/10.1080/00074918.2022.2125488.","plainCitation":"Cassey Lee, “Competition Policy in the Age of Algorithms: Challenges for Indonesia,” Bulletin of Indonesian Economic Studies 58, no. 3 (September 2, 2022): 19, https://doi.org/10.1080/00074918.2022.2125488.","dontUpdate":true,"noteIndex":48},"citationItems":[{"id":6276,"uris":["http://zotero.org/users/4802390/items/QY2BARC6"],"itemData":{"id":6276,"type":"article-journal","container-title":"Bulletin of Indonesian Economic Studies","DOI":"10.1080/00074918.2022.2125488","ISSN":"0007-4918, 1472-7234","issue":"3","journalAbbreviation":"Bulletin of Indonesian Economic Studies","language":"en","page":"297-312","source":"DOI.org (Crossref)","title":"Competition Policy in the Age of Algorithms: Challenges for Indonesia","title-short":"Competition Policy in the Age of Algorithms","volume":"58","author":[{"family":"Lee","given":"Cassey"}],"issued":{"date-parts":[["2022",9,2]]}},"locator":"19","label":"page"}],"schema":"https://github.com/citation-style-language/schema/raw/master/csl-citation.json"} </w:instrText>
      </w:r>
      <w:r w:rsidRPr="00D16F3B">
        <w:rPr>
          <w:sz w:val="20"/>
        </w:rPr>
        <w:fldChar w:fldCharType="separate"/>
      </w:r>
      <w:r w:rsidRPr="00D16F3B">
        <w:rPr>
          <w:sz w:val="20"/>
        </w:rPr>
        <w:t xml:space="preserve">Cassey Lee, “Competition Policy in the Age of Algorithms: Challenges for Indonesia,” </w:t>
      </w:r>
      <w:r w:rsidRPr="00D16F3B">
        <w:rPr>
          <w:i/>
          <w:iCs/>
          <w:sz w:val="20"/>
        </w:rPr>
        <w:t>Bulletin of Indonesian Economic Studies</w:t>
      </w:r>
      <w:r w:rsidRPr="00D16F3B">
        <w:rPr>
          <w:sz w:val="20"/>
        </w:rPr>
        <w:t xml:space="preserve"> 58, no. 3 (2022): 19.</w:t>
      </w:r>
      <w:r w:rsidRPr="00D16F3B">
        <w:rPr>
          <w:sz w:val="20"/>
        </w:rPr>
        <w:fldChar w:fldCharType="end"/>
      </w:r>
    </w:p>
  </w:footnote>
  <w:footnote w:id="49">
    <w:p w14:paraId="15C7A5D1" w14:textId="0A0DFDB8"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F7491D" w:rsidRPr="00D16F3B">
        <w:rPr>
          <w:sz w:val="20"/>
        </w:rPr>
        <w:tab/>
      </w:r>
      <w:r w:rsidRPr="00D16F3B">
        <w:rPr>
          <w:sz w:val="20"/>
        </w:rPr>
        <w:fldChar w:fldCharType="begin"/>
      </w:r>
      <w:r w:rsidRPr="00D16F3B">
        <w:rPr>
          <w:sz w:val="20"/>
        </w:rPr>
        <w:instrText xml:space="preserve"> ADDIN ZOTERO_ITEM CSL_CITATION {"citationID":"QH80GgDW","properties":{"formattedCitation":"Berkay Kurdoglu and Caglar Deniz Ata, \\uc0\\u8220{}Data Economics and Competition Law,\\uc0\\u8221{} {\\i{}Digital L. Rev.} 3 (2021): 23.","plainCitation":"Berkay Kurdoglu and Caglar Deniz Ata, “Data Economics and Competition Law,” Digital L. Rev. 3 (2021): 23.","noteIndex":49},"citationItems":[{"id":6277,"uris":["http://zotero.org/users/4802390/items/Q8BIBGKD"],"itemData":{"id":6277,"type":"article-journal","container-title":"Digital L. Rev.","note":"publisher: HeinOnline","page":"266","source":"Google Scholar","title":"Data Economics and Competition Law","volume":"3","author":[{"family":"Kurdoglu","given":"Berkay"},{"family":"Ata","given":"Caglar Deniz"}],"issued":{"date-parts":[["2021"]]}},"locator":"23","label":"page"}],"schema":"https://github.com/citation-style-language/schema/raw/master/csl-citation.json"} </w:instrText>
      </w:r>
      <w:r w:rsidRPr="00D16F3B">
        <w:rPr>
          <w:sz w:val="20"/>
        </w:rPr>
        <w:fldChar w:fldCharType="separate"/>
      </w:r>
      <w:r w:rsidRPr="00D16F3B">
        <w:rPr>
          <w:sz w:val="20"/>
        </w:rPr>
        <w:t xml:space="preserve">Berkay Kurdoglu and Caglar Deniz Ata, “Data Economics and Competition Law,” </w:t>
      </w:r>
      <w:r w:rsidRPr="00D16F3B">
        <w:rPr>
          <w:i/>
          <w:iCs/>
          <w:sz w:val="20"/>
        </w:rPr>
        <w:t>Digital L. Rev.</w:t>
      </w:r>
      <w:r w:rsidRPr="00D16F3B">
        <w:rPr>
          <w:sz w:val="20"/>
        </w:rPr>
        <w:t xml:space="preserve"> 3 (2021): 23.</w:t>
      </w:r>
      <w:r w:rsidRPr="00D16F3B">
        <w:rPr>
          <w:sz w:val="20"/>
        </w:rPr>
        <w:fldChar w:fldCharType="end"/>
      </w:r>
    </w:p>
  </w:footnote>
  <w:footnote w:id="50">
    <w:p w14:paraId="64A3E895" w14:textId="07F93C1E" w:rsidR="00231380" w:rsidRPr="00D16F3B" w:rsidRDefault="00231380"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 xml:space="preserve">Kebijakan Privasi yang dibuat secara </w:t>
      </w:r>
      <w:r w:rsidRPr="00D16F3B">
        <w:rPr>
          <w:i/>
          <w:iCs/>
          <w:sz w:val="20"/>
        </w:rPr>
        <w:t>non-negotiable</w:t>
      </w:r>
      <w:r w:rsidRPr="00D16F3B">
        <w:rPr>
          <w:sz w:val="20"/>
        </w:rPr>
        <w:t xml:space="preserve"> menghilangkan transparansi tentang pengumpulan dan penggunaan data pribadi yang tidak memungkinkan konsumen membuat keputusan yang tepat. Kedua kegagalan ini didukung oleh apa yang disebut “paradoks privasi”, yaitu situasi kontradiktif di mana konsumen sangat peduli dengan perlindungan privasi mereka, tetapi perilaku mereka di pasar sebenarnya tidak sesuai dengan preferensi privasi mereka yang mereka inginkan. </w:t>
      </w:r>
      <w:r w:rsidRPr="00D16F3B">
        <w:rPr>
          <w:sz w:val="20"/>
        </w:rPr>
        <w:fldChar w:fldCharType="begin"/>
      </w:r>
      <w:r w:rsidR="00C1190A" w:rsidRPr="00D16F3B">
        <w:rPr>
          <w:sz w:val="20"/>
        </w:rPr>
        <w:instrText xml:space="preserve"> ADDIN ZOTERO_ITEM CSL_CITATION {"citationID":"1GelMAcA","properties":{"formattedCitation":"Nina Gerber, Paul Gerber, and Melanie Volkamer, \\uc0\\u8220{}Explaining the privacy paradox: A systematic review of literature investigating privacy attitude and behavior\\uc0\\u8221{}, Elsevier {\\i{}Computers &amp; security}, Vol. 77, 2018, pp. 226\\uc0\\u8211{}261, at p. 78.","plainCitation":"Nina Gerber, Paul Gerber, and Melanie Volkamer, “Explaining the privacy paradox: A systematic review of literature investigating privacy attitude and behavior”, Elsevier Computers &amp; security, Vol. 77, 2018, pp. 226–261, at p. 78.","dontUpdate":true,"noteIndex":50},"citationItems":[{"id":5764,"uris":["http://zotero.org/users/4802390/items/38JZ38Z3"],"itemData":{"id":5764,"type":"article-journal","container-title":"Computers &amp; security","note":"publisher: Elsevier","page":"226–261","source":"Google Scholar","title":"Explaining the privacy paradox: A systematic review of literature investigating privacy attitude and behavior","title-short":"Explaining the privacy paradox","volume":"77","author":[{"family":"Gerber","given":"Nina"},{"family":"Gerber","given":"Paul"},{"family":"Volkamer","given":"Melanie"}],"issued":{"date-parts":[["2018"]]}},"locator":"78","label":"page"}],"schema":"https://github.com/citation-style-language/schema/raw/master/csl-citation.json"} </w:instrText>
      </w:r>
      <w:r w:rsidRPr="00D16F3B">
        <w:rPr>
          <w:sz w:val="20"/>
        </w:rPr>
        <w:fldChar w:fldCharType="separate"/>
      </w:r>
      <w:r w:rsidRPr="00D16F3B">
        <w:rPr>
          <w:sz w:val="20"/>
        </w:rPr>
        <w:t xml:space="preserve">Nina Gerber, Paul Gerber, and Melanie Volkamer, “Explaining the privacy paradox: A systematic review of literature investigating privacy attitude and behavior”, Elsevier </w:t>
      </w:r>
      <w:r w:rsidRPr="00D16F3B">
        <w:rPr>
          <w:i/>
          <w:iCs/>
          <w:sz w:val="20"/>
        </w:rPr>
        <w:t>Computers &amp; security</w:t>
      </w:r>
      <w:r w:rsidRPr="00D16F3B">
        <w:rPr>
          <w:sz w:val="20"/>
        </w:rPr>
        <w:t>, Vol. 77, 2018, hlm. 226.</w:t>
      </w:r>
      <w:r w:rsidRPr="00D16F3B">
        <w:rPr>
          <w:sz w:val="20"/>
        </w:rPr>
        <w:fldChar w:fldCharType="end"/>
      </w:r>
    </w:p>
  </w:footnote>
  <w:footnote w:id="51">
    <w:p w14:paraId="7F1E9AD4" w14:textId="081563D1" w:rsidR="00231380" w:rsidRPr="00D16F3B" w:rsidRDefault="00231380"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{"citationID":"etEnn1v3","properties":{"formattedCitation":"Mohammad Bernie, \\uc0\\u8220{}Tokopedia Ubah Kebijakan Privasi, Apa Dampaknya ke Data Pribadi?,\\uc0\\u8221{} tirto.id, accessed August 11, 2023, https://tirto.id/tokopedia-ubah-kebijakan-privasi-apa-dampaknya-ke-data-pribadi-gadU.","plainCitation":"Mohammad Bernie, “Tokopedia Ubah Kebijakan Privasi, Apa Dampaknya ke Data Pribadi?,” tirto.id, accessed August 11, 2023, https://tirto.id/tokopedia-ubah-kebijakan-privasi-apa-dampaknya-ke-data-pribadi-gadU.","noteIndex":51},"citationItems":[{"id":5768,"uris":["http://zotero.org/users/4802390/items/XTNT46BA"],"itemData":{"id":5768,"type":"webpage","abstract":"Aplikasi jual beli Tokopedia memperbarui seluruh kebijakan privasi data pengguna per 3 Februari 2021. Apa dampaknya ke pengungkapan data pribadi pengguna?","container-title":"tirto.id","language":"id","title":"Tokopedia Ubah Kebijakan Privasi, Apa Dampaknya ke Data Pribadi?","URL":"https://tirto.id/tokopedia-ubah-kebijakan-privasi-apa-dampaknya-ke-data-pribadi-gadU","author":[{"family":"Bernie","given":"Mohammad"}],"accessed":{"date-parts":[["2023",8,11]]}}}],"schema":"https://github.com/citation-style-language/schema/raw/master/csl-citation.json"} </w:instrText>
      </w:r>
      <w:r w:rsidRPr="00D16F3B">
        <w:rPr>
          <w:sz w:val="20"/>
        </w:rPr>
        <w:fldChar w:fldCharType="separate"/>
      </w:r>
      <w:r w:rsidR="00EB65CB" w:rsidRPr="00D16F3B">
        <w:rPr>
          <w:sz w:val="20"/>
        </w:rPr>
        <w:t>Mohammad Bernie, “Tokopedia Ubah Kebijakan Privasi, Apa Dampaknya ke Data Pribadi?,” tirto.id, accessed August 11, 2023, https://tirto.id/tokopedia-ubah-kebijakan-privasi-apa-dampaknya-ke-data-pribadi-gadU.</w:t>
      </w:r>
      <w:r w:rsidRPr="00D16F3B">
        <w:rPr>
          <w:sz w:val="20"/>
        </w:rPr>
        <w:fldChar w:fldCharType="end"/>
      </w:r>
    </w:p>
  </w:footnote>
  <w:footnote w:id="52">
    <w:p w14:paraId="5426BD23" w14:textId="2387CE7E" w:rsidR="00231380" w:rsidRPr="00D16F3B" w:rsidRDefault="00231380"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{"citationID":"vRdlQkuo","properties":{"formattedCitation":"Mohammad Bernie, \\uc0\\u8220{}Ketika Kebijakan Privasi Terbaru Tokopedia Ancam Data Pengguna,\\uc0\\u8221{} tirto.id, accessed August 11, 2023, https://tirto.id/ketika-kebijakan-privasi-terbaru-tokopedia-ancam-data-pengguna-gae9.","plainCitation":"Mohammad Bernie, “Ketika Kebijakan Privasi Terbaru Tokopedia Ancam Data Pengguna,” tirto.id, accessed August 11, 2023, https://tirto.id/ketika-kebijakan-privasi-terbaru-tokopedia-ancam-data-pengguna-gae9.","noteIndex":52},"citationItems":[{"id":5767,"uris":["http://zotero.org/users/4802390/items/MQ937CGG"],"itemData":{"id":5767,"type":"webpage","abstract":"Ketua Cyber Law Center Unpad Sinta Dewi sebut penting bagi Indonesia untuk segera menggodok dan mengesahkan RUU Perlindungan Data Pribadi.","container-title":"tirto.id","language":"id","title":"Ketika Kebijakan Privasi Terbaru Tokopedia Ancam Data Pengguna","URL":"https://tirto.id/ketika-kebijakan-privasi-terbaru-tokopedia-ancam-data-pengguna-gae9","author":[{"family":"Bernie","given":"Mohammad"}],"accessed":{"date-parts":[["2023",8,11]]}}}],"schema":"https://github.com/citation-style-language/schema/raw/master/csl-citation.json"} </w:instrText>
      </w:r>
      <w:r w:rsidRPr="00D16F3B">
        <w:rPr>
          <w:sz w:val="20"/>
        </w:rPr>
        <w:fldChar w:fldCharType="separate"/>
      </w:r>
      <w:r w:rsidR="00EB65CB" w:rsidRPr="00D16F3B">
        <w:rPr>
          <w:sz w:val="20"/>
        </w:rPr>
        <w:t>Mohammad Bernie, “Ketika Kebijakan Privasi Terbaru Tokopedia Ancam Data Pengguna,” tirto.id, accessed August 11, 2023, https://tirto.id/ketika-kebijakan-privasi-terbaru-tokopedia-ancam-data-pengguna-gae9.</w:t>
      </w:r>
      <w:r w:rsidRPr="00D16F3B">
        <w:rPr>
          <w:sz w:val="20"/>
        </w:rPr>
        <w:fldChar w:fldCharType="end"/>
      </w:r>
    </w:p>
  </w:footnote>
  <w:footnote w:id="53">
    <w:p w14:paraId="6D32C6F2" w14:textId="0ABB8C66" w:rsidR="00231380" w:rsidRPr="00D16F3B" w:rsidRDefault="00231380"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{"citationID":"67UZL53z","properties":{"formattedCitation":"Grahanusa Mediatama, \\uc0\\u8220{}Benarkah kebijakan privasi baru WhatsApp serahkan data ke Facebook? ini penjelasannya,\\uc0\\u8221{} PT. Kontan Grahanusa Mediatama, January 10, 2021, https://lifestyle.kontan.co.id/news/benarkah-kebijakan-privasi-baru-whatsapp-serahkan-data-ke-facebook-ini-penjelasannya-1.","plainCitation":"Grahanusa Mediatama, “Benarkah kebijakan privasi baru WhatsApp serahkan data ke Facebook? ini penjelasannya,” PT. Kontan Grahanusa Mediatama, January 10, 2021, https://lifestyle.kontan.co.id/news/benarkah-kebijakan-privasi-baru-whatsapp-serahkan-data-ke-facebook-ini-penjelasannya-1.","noteIndex":53},"citationItems":[{"id":5773,"uris":["http://zotero.org/users/4802390/items/PGIJ7KBD"],"itemData":{"id":5773,"type":"webpage","abstract":"Benarkah demikian kebijakan privasi baru WhatsApp bakal serahkan data penggunanya ke Facebook? Berikut penjelasasnnya.","container-title":"PT. Kontan Grahanusa Mediatama","language":"id","note":"section: lifestyle","title":"Benarkah kebijakan privasi baru WhatsApp serahkan data ke Facebook? ini penjelasannya","title-short":"Benarkah kebijakan privasi baru WhatsApp serahkan data ke Facebook?","URL":"https://lifestyle.kontan.co.id/news/benarkah-kebijakan-privasi-baru-whatsapp-serahkan-data-ke-facebook-ini-penjelasannya-1","author":[{"family":"Mediatama","given":"Grahanusa"}],"accessed":{"date-parts":[["2023",8,11]]},"issued":{"date-parts":[["2021",1,10]]}}}],"schema":"https://github.com/citation-style-language/schema/raw/master/csl-citation.json"} </w:instrText>
      </w:r>
      <w:r w:rsidRPr="00D16F3B">
        <w:rPr>
          <w:sz w:val="20"/>
        </w:rPr>
        <w:fldChar w:fldCharType="separate"/>
      </w:r>
      <w:r w:rsidR="00EB65CB" w:rsidRPr="00D16F3B">
        <w:rPr>
          <w:sz w:val="20"/>
        </w:rPr>
        <w:t>Grahanusa Mediatama, “Benarkah kebijakan privasi baru WhatsApp serahkan data ke Facebook? ini penjelasannya,” PT. Kontan Grahanusa Mediatama, January 10, 2021, https://lifestyle.kontan.co.id/news/benarkah-kebijakan-privasi-baru-whatsapp-serahkan-data-ke-facebook-ini-penjelasannya-1.</w:t>
      </w:r>
      <w:r w:rsidRPr="00D16F3B">
        <w:rPr>
          <w:sz w:val="20"/>
        </w:rPr>
        <w:fldChar w:fldCharType="end"/>
      </w:r>
    </w:p>
  </w:footnote>
  <w:footnote w:id="54">
    <w:p w14:paraId="50072CF2" w14:textId="10636CF9" w:rsidR="00231380" w:rsidRPr="00D16F3B" w:rsidRDefault="00231380"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{"citationID":"vJkUBLZS","properties":{"formattedCitation":"\\uc0\\u8220{}8 Poin Kebijakan Privasi Baru WhatsApp Paksa Setor Data Ke Fb,\\uc0\\u8221{} accessed August 11, 2023, https://www.cnnindonesia.com/teknologi/20210107140044-185-590685/8-poin-kebijakan-privasi-baru-whatsapp-paksa-setor-data-ke-fb.","plainCitation":"“8 Poin Kebijakan Privasi Baru WhatsApp Paksa Setor Data Ke Fb,” accessed August 11, 2023, https://www.cnnindonesia.com/teknologi/20210107140044-185-590685/8-poin-kebijakan-privasi-baru-whatsapp-paksa-setor-data-ke-fb.","noteIndex":54},"citationItems":[{"id":5770,"uris":["http://zotero.org/users/4802390/items/4EAMKZWW"],"itemData":{"id":5770,"type":"webpage","title":"8 Poin Kebijakan Privasi Baru WhatsApp Paksa Setor Data ke Fb","URL":"https://www.cnnindonesia.com/teknologi/20210107140044-185-590685/8-poin-kebijakan-privasi-baru-whatsapp-paksa-setor-data-ke-fb","accessed":{"date-parts":[["2023",8,11]]}}}],"schema":"https://github.com/citation-style-language/schema/raw/master/csl-citation.json"} </w:instrText>
      </w:r>
      <w:r w:rsidRPr="00D16F3B">
        <w:rPr>
          <w:sz w:val="20"/>
        </w:rPr>
        <w:fldChar w:fldCharType="separate"/>
      </w:r>
      <w:r w:rsidR="00EB65CB" w:rsidRPr="00D16F3B">
        <w:rPr>
          <w:sz w:val="20"/>
        </w:rPr>
        <w:t>“8 Poin Kebijakan Privasi Baru WhatsApp Paksa Setor Data Ke Fb,” accessed August 11, 2023, https://www.cnnindonesia.com/teknologi/20210107140044-185-590685/8-poin-kebijakan-privasi-baru-whatsapp-paksa-setor-data-ke-fb.</w:t>
      </w:r>
      <w:r w:rsidRPr="00D16F3B">
        <w:rPr>
          <w:sz w:val="20"/>
        </w:rPr>
        <w:fldChar w:fldCharType="end"/>
      </w:r>
    </w:p>
  </w:footnote>
  <w:footnote w:id="55">
    <w:p w14:paraId="21B26A66" w14:textId="62EEBE6C"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Dalam praktinya, proses ini disebut dengan “Ambil atau Tinggalkan (</w:t>
      </w:r>
      <w:r w:rsidRPr="00D16F3B">
        <w:rPr>
          <w:i/>
          <w:iCs/>
          <w:sz w:val="20"/>
        </w:rPr>
        <w:t>Take or Leave it</w:t>
      </w:r>
      <w:r w:rsidRPr="00D16F3B">
        <w:rPr>
          <w:sz w:val="20"/>
        </w:rPr>
        <w:t>).</w:t>
      </w:r>
    </w:p>
  </w:footnote>
  <w:footnote w:id="56">
    <w:p w14:paraId="54A88F9D" w14:textId="6DBEBC03" w:rsidR="00603A3B" w:rsidRPr="00D16F3B" w:rsidRDefault="00603A3B"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Pr="00D16F3B">
        <w:rPr>
          <w:sz w:val="20"/>
        </w:rPr>
        <w:instrText xml:space="preserve"> ADDIN ZOTERO_ITEM CSL_CITATION {"citationID":"94YwERY7","properties":{"formattedCitation":"Faizal Kurniawan, Moch Marsa Tau\\uc0\\u64257{}qurrohman, dan Xavier Nugraha, \\uc0\\u8220{}LEGAL PROTECTION OF TRADE SECRETS OVER THE POTENTIAL DISPOSAL OF TRADE SECRETS UNDER THE RE-ENGINEERING PRECAUTIONS,\\uc0\\u8221{} Vol. 16, No. 2, hlm. 17, pada hlm. 17.","plainCitation":"Faizal Kurniawan, Moch Marsa Tauﬁqurrohman, dan Xavier Nugraha, “LEGAL PROTECTION OF TRADE SECRETS OVER THE POTENTIAL DISPOSAL OF TRADE SECRETS UNDER THE RE-ENGINEERING PRECAUTIONS,” Vol. 16, No. 2, hlm. 17, pada hlm. 17.","dontUpdate":true,"noteIndex":56},"citationItems":[{"id":97,"uris":["http://zotero.org/users/4802390/items/ME9LPUAN"],"itemData":{"id":97,"type":"article-journal","abstract":"The Indonesian Trade Secrets Law Number 30/2000 (ITS Law) postulates exemptions for acts that are not considered infringements to protect trade secrets. One of them is the reverse engineering of other people’s trade secrets. The problem is that the ITS Law does not limit the extent to which reverse engineering can be justiﬁed. The absence of these limitations also allows attempts to disclose trade secrets under the pretext of reverse engineering. This problem ultimately results in the absence of legal certainty for the protection against trade secret disclosure, which is the sole responsibility of the trade secret owner. This article aims to re-analyze the protection provided by the ITS Law and examine the extent to which the limitations on reverse engineering can be justiﬁed in the ITS Law. This article used normative juridical research methods combined with statutory, conceptual, and case approaches. It revealed a paradox in the protection of trade secrets against the possibility of trade secret disclosure. This article concluded that changes are necessary to the ITS Law, speciﬁcally by adjusting to the basic principles of IPR protection, limiting the extent to which the reverse engineering of other people’s trade secrets can be justiﬁed, and adding a “Good Faith” clause in performing reverse engineering actions.","issue":"2","language":"en","page":"17","source":"Zotero","title":"LEGAL PROTECTION OF TRADE SECRETS OVER THE POTENTIAL DISPOSAL OF TRADE SECRETS UNDER THE RE-ENGINEERING PRECAUTIONS","volume":"16","author":[{"family":"Kurniawan","given":"Faizal"},{"family":"Tauﬁqurrohman","given":"Moch Marsa"},{"family":"Nugraha","given":"Xavier"}]},"locator":"17","label":"page"}],"schema":"https://github.com/citation-style-language/schema/raw/master/csl-citation.json"} </w:instrText>
      </w:r>
      <w:r w:rsidRPr="00D16F3B">
        <w:rPr>
          <w:sz w:val="20"/>
        </w:rPr>
        <w:fldChar w:fldCharType="separate"/>
      </w:r>
      <w:r w:rsidRPr="00D16F3B">
        <w:rPr>
          <w:sz w:val="20"/>
        </w:rPr>
        <w:t>Faizal Kurniawan, Moch Marsa Tauﬁqurrohman, dan Xavier Nugraha, “Legal Protection Of Trade Secrets Over The Potential Disposal Of Trade Secrets Under The Re-Engineering Precautions,” Vol. 16, No. 2, hlm. 17.</w:t>
      </w:r>
      <w:r w:rsidRPr="00D16F3B">
        <w:rPr>
          <w:sz w:val="20"/>
        </w:rPr>
        <w:fldChar w:fldCharType="end"/>
      </w:r>
    </w:p>
  </w:footnote>
  <w:footnote w:id="57">
    <w:p w14:paraId="32C7FF7D" w14:textId="52707215" w:rsidR="00603A3B" w:rsidRPr="00D16F3B" w:rsidRDefault="00603A3B" w:rsidP="00D16F3B">
      <w:pPr>
        <w:pStyle w:val="FootnoteText"/>
        <w:spacing w:after="0"/>
        <w:ind w:left="284" w:hanging="284"/>
        <w:rPr>
          <w:sz w:val="20"/>
          <w:lang w:val="en-ID"/>
        </w:rPr>
      </w:pPr>
      <w:r w:rsidRPr="00D16F3B">
        <w:rPr>
          <w:rStyle w:val="FootnoteReference"/>
          <w:sz w:val="20"/>
        </w:rPr>
        <w:footnoteRef/>
      </w:r>
      <w:r w:rsidRPr="00D16F3B">
        <w:rPr>
          <w:sz w:val="20"/>
          <w:lang w:val="en-ID"/>
        </w:rPr>
        <w:t xml:space="preserve"> </w:t>
      </w:r>
      <w:r w:rsidRPr="00D16F3B">
        <w:rPr>
          <w:sz w:val="20"/>
          <w:lang w:val="en-ID"/>
        </w:rPr>
        <w:tab/>
        <w:t>Kebijakan privasi menetapkan kondisi melalui mana layanan yang disediakan sebagai imbalan atas informasi pribadi pengguna. Dalam kasus menolak syarat kebijakan privasi, Pengguna Layanan dicegah dari menggunakan layanan platform. Dalam hal ini, transaksi antara Penyedia Layanan dan Pengguna Layanan dianggap selesai ketika pengguna memberikan persetujuan mereka terhadap pemrosesan data berikutnya. Sebagai contoh, syarat penggunaan LinkedIn menetapkan bahwa “Anda setuju bahwa dengan mengklik “</w:t>
      </w:r>
      <w:r w:rsidRPr="00D16F3B">
        <w:rPr>
          <w:i/>
          <w:iCs/>
          <w:sz w:val="20"/>
          <w:lang w:val="en-ID"/>
        </w:rPr>
        <w:t>Join Now</w:t>
      </w:r>
      <w:r w:rsidRPr="00D16F3B">
        <w:rPr>
          <w:sz w:val="20"/>
          <w:lang w:val="en-ID"/>
        </w:rPr>
        <w:t>”, “</w:t>
      </w:r>
      <w:r w:rsidRPr="00D16F3B">
        <w:rPr>
          <w:i/>
          <w:iCs/>
          <w:sz w:val="20"/>
          <w:lang w:val="en-ID"/>
        </w:rPr>
        <w:t>Join LinkedIn</w:t>
      </w:r>
      <w:r w:rsidRPr="00D16F3B">
        <w:rPr>
          <w:sz w:val="20"/>
          <w:lang w:val="en-ID"/>
        </w:rPr>
        <w:t>”, “</w:t>
      </w:r>
      <w:r w:rsidRPr="00D16F3B">
        <w:rPr>
          <w:i/>
          <w:iCs/>
          <w:sz w:val="20"/>
          <w:lang w:val="en-ID"/>
        </w:rPr>
        <w:t>Sign Up</w:t>
      </w:r>
      <w:r w:rsidRPr="00D16F3B">
        <w:rPr>
          <w:sz w:val="20"/>
          <w:lang w:val="en-ID"/>
        </w:rPr>
        <w:t xml:space="preserve">” atau serupa, mendaftar, mengakses, atau menggunakan layanan kami (yang dijelaskan di bawah), Anda setuju untuk masuk ke dalam kontrak yang mengikat secara hukum dengan LinkedIn (meskipun Anda menggunakan Layanan kami atas nama sebuah perusahaan)” dan “Penggunaan Anda terhadap Layanan kami juga tunduk pada Kebijakan </w:t>
      </w:r>
      <w:r w:rsidRPr="00D16F3B">
        <w:rPr>
          <w:i/>
          <w:iCs/>
          <w:sz w:val="20"/>
          <w:lang w:val="en-ID"/>
        </w:rPr>
        <w:t>Cookie</w:t>
      </w:r>
      <w:r w:rsidRPr="00D16F3B">
        <w:rPr>
          <w:sz w:val="20"/>
          <w:lang w:val="en-ID"/>
        </w:rPr>
        <w:t xml:space="preserve"> kami dan Kebijakan Privasi kami, yang mencakup bagaimana kami mengumpulkan, menggunakan, membagikan, dan menyimpan informasi pribadi Anda.” Selanjutnya, syarat penggunaan Amazon menyatakan bahwa “Harap tinjau Pemberitahuan Privasi kami, yang juga mengatur penggunaan Layanan Amazon, untuk memahami praktik kami.” Dalam konteks ini, jelas bahwa Pengguna Layanan menggunakan layanan yang ditawarkan oleh Penyedia Layanan secara gratis, tanpa memberikan kompensasi finansial (harga nol/gratis), tetapi sebagai pertukaran mereka memberikan data pribadi mereka. Dalam perspektif ini, persetujuan yang mereka berikan terhadap pemrosesan data pribadi mereka setidaknya sebagian berfungsi sebagai pembayaran. </w:t>
      </w:r>
      <w:r w:rsidRPr="00D16F3B">
        <w:rPr>
          <w:sz w:val="20"/>
        </w:rPr>
        <w:fldChar w:fldCharType="begin"/>
      </w:r>
      <w:r w:rsidRPr="00D16F3B">
        <w:rPr>
          <w:sz w:val="20"/>
          <w:lang w:val="en-ID"/>
        </w:rPr>
        <w:instrText xml:space="preserve"> ADDIN ZOTERO_ITEM CSL_CITATION {"citationID":"UXhoxS7i","properties":{"formattedCitation":"Castellanos Pfeiffer, \\uc0\\u8220{}Digital Economy, Big Data and Competition Law,\\uc0\\u8221{} 11.","plainCitation":"Castellanos Pfeiffer, “Digital Economy, Big Data and Competition Law,” 11.","noteIndex":57},"citationItems":[{"id":206,"uris":["http://zotero.org/users/4802390/items/SZVWH5K3"],"itemData":{"id":206,"type":"article-journal","container-title":"Mkt. &amp; Competition L. Rev.","note":"publisher: HeinOnline","page":"53","source":"Google Scholar","title":"Digital economy, big data and competition law","volume":"3","author":[{"family":"Castellanos Pfeiffer","given":"Roberto Augusto"}],"issued":{"date-parts":[["2019"]]}},"locator":"11","label":"page"}],"schema":"https://github.com/citation-style-language/schema/raw/master/csl-citation.json"} </w:instrText>
      </w:r>
      <w:r w:rsidRPr="00D16F3B">
        <w:rPr>
          <w:sz w:val="20"/>
        </w:rPr>
        <w:fldChar w:fldCharType="separate"/>
      </w:r>
      <w:r w:rsidRPr="00D16F3B">
        <w:rPr>
          <w:sz w:val="20"/>
        </w:rPr>
        <w:t>Castellanos Pfeiffer, “Digital Economy, Big Data and Competition Law,” 11.</w:t>
      </w:r>
      <w:r w:rsidRPr="00D16F3B">
        <w:rPr>
          <w:sz w:val="20"/>
        </w:rPr>
        <w:fldChar w:fldCharType="end"/>
      </w:r>
    </w:p>
  </w:footnote>
  <w:footnote w:id="58">
    <w:p w14:paraId="4B2B1EB8" w14:textId="196F7669" w:rsidR="00D16F3B" w:rsidRPr="00D16F3B" w:rsidRDefault="00D16F3B" w:rsidP="00D16F3B">
      <w:pPr>
        <w:pStyle w:val="FootnoteText"/>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Pr="00D16F3B">
        <w:rPr>
          <w:sz w:val="20"/>
        </w:rPr>
        <w:instrText xml:space="preserve"> ADDIN ZOTERO_ITEM CSL_CITATION {"citationID":"e7fnRayQ","properties":{"formattedCitation":"Moch. Marsa Taufiqurrohman, Zaki Priambudi, and Avina Nakita Octavia, \\uc0\\u8220{}MENGATUR PETISI DI DALAM PERATURAN PERUNDANG-UNDANGAN: UPAYA PENGUATAN POSISI MASYARAKAT TERHADAP NEGARA DALAM KERANGKA PERLINDUNGAN KEBEBASAN BERPENDAPAT,\\uc0\\u8221{} {\\i{}Jurnal Legislasi Indonesia} 18, no. 1 (March 31, 2021): 1, https://doi.org/10.54629/jli.v18i1.750.","plainCitation":"Moch. Marsa Taufiqurrohman, Zaki Priambudi, and Avina Nakita Octavia, “MENGATUR PETISI DI DALAM PERATURAN PERUNDANG-UNDANGAN: UPAYA PENGUATAN POSISI MASYARAKAT TERHADAP NEGARA DALAM KERANGKA PERLINDUNGAN KEBEBASAN BERPENDAPAT,” Jurnal Legislasi Indonesia 18, no. 1 (March 31, 2021): 1, https://doi.org/10.54629/jli.v18i1.750.","noteIndex":58},"citationItems":[{"id":2325,"uris":["http://zotero.org/users/4802390/items/65DQ6WWT"],"itemData":{"id":2325,"type":"article-journal","abstract":"Freedom of speech polemic has become a severe problem in Indonesia. The lack of participation channels makes arrangements for freedom of speech and opinion needs a re-examination. Although in democracy, society occupies the highest position in the constitutional system, so far, the form of public participation is only considered limited in elections. Therefore, people need an effective and efficient means to voice their aspirations. This article tries to provide an insight into how to petition arrangements influenced the increase of public participation. By combining doctrinal, socio-legal research methods, and considering Britain and Estonia as a comparison, this article would like to show the strategy of implementing petitions into the national legislative system to strengthen the position of the community in manifesting the right to freedom of speech. This study’s results indicate the application of online petitions in several countries is capable of being a medium that connects the people and the country. The effectiveness of online petitions lies in their ability to maintain public participation and influence decision making to overcome injustices. Finally, this article considers several options available in establishing a legal protection for freedom of speech and expressing optimal opinions as an effort to protect and promote human rights.","container-title":"Jurnal Legislasi Indonesia","DOI":"10.54629/jli.v18i1.750","ISSN":"2579-5562, 0216-1338","issue":"1","journalAbbreviation":"j. legislasi. indones.","language":"id","page":"1","source":"DOI.org (Crossref)","title":"MENGATUR PETISI DI DALAM PERATURAN PERUNDANG-UNDANGAN: UPAYA PENGUATAN POSISI MASYARAKAT TERHADAP NEGARA DALAM KERANGKA PERLINDUNGAN KEBEBASAN BERPENDAPAT","title-short":"MENGATUR PETISI DI DALAM PERATURAN PERUNDANG-UNDANGAN","volume":"18","author":[{"family":"Taufiqurrohman","given":"Moch. Marsa"},{"family":"Priambudi","given":"Zaki"},{"family":"Octavia","given":"Avina Nakita"}],"issued":{"date-parts":[["2021",3,31]]}}}],"schema":"https://github.com/citation-style-language/schema/raw/master/csl-citation.json"} </w:instrText>
      </w:r>
      <w:r w:rsidRPr="00D16F3B">
        <w:rPr>
          <w:sz w:val="20"/>
        </w:rPr>
        <w:fldChar w:fldCharType="separate"/>
      </w:r>
      <w:r w:rsidRPr="00D16F3B">
        <w:rPr>
          <w:sz w:val="20"/>
        </w:rPr>
        <w:t xml:space="preserve">Moch. Marsa Taufiqurrohman, Zaki Priambudi, and Avina Nakita Octavia, “Mengatur Petisi Di Dalam Peraturan Perundang-Undangan: Upaya Penguatan Posisi Masyarakat Terhadap Negara Dalam Kerangka Perlindungan Kebebasan Berpendapat,” </w:t>
      </w:r>
      <w:r w:rsidRPr="00D16F3B">
        <w:rPr>
          <w:i/>
          <w:iCs/>
          <w:sz w:val="20"/>
        </w:rPr>
        <w:t>Jurnal Legislasi Indonesia</w:t>
      </w:r>
      <w:r w:rsidRPr="00D16F3B">
        <w:rPr>
          <w:sz w:val="20"/>
        </w:rPr>
        <w:t xml:space="preserve"> 18, no. 1 (2021): 12.</w:t>
      </w:r>
      <w:r w:rsidRPr="00D16F3B">
        <w:rPr>
          <w:sz w:val="20"/>
        </w:rPr>
        <w:fldChar w:fldCharType="end"/>
      </w:r>
    </w:p>
  </w:footnote>
  <w:footnote w:id="59">
    <w:p w14:paraId="7258C8B0" w14:textId="69F6B657" w:rsidR="00F7491D" w:rsidRPr="00D16F3B" w:rsidRDefault="00F7491D" w:rsidP="00D16F3B">
      <w:pPr>
        <w:pStyle w:val="FootnoteText"/>
        <w:spacing w:after="0"/>
        <w:ind w:left="284" w:hanging="284"/>
        <w:rPr>
          <w:sz w:val="20"/>
          <w:lang w:val="en-ID"/>
        </w:rPr>
      </w:pPr>
      <w:r w:rsidRPr="00D16F3B">
        <w:rPr>
          <w:rStyle w:val="FootnoteReference"/>
          <w:sz w:val="20"/>
        </w:rPr>
        <w:footnoteRef/>
      </w:r>
      <w:r w:rsidRPr="00D16F3B">
        <w:rPr>
          <w:sz w:val="20"/>
          <w:lang w:val="en-ID"/>
        </w:rPr>
        <w:t xml:space="preserve"> </w:t>
      </w:r>
      <w:r w:rsidRPr="00D16F3B">
        <w:rPr>
          <w:sz w:val="20"/>
          <w:lang w:val="en-ID"/>
        </w:rPr>
        <w:tab/>
      </w:r>
      <w:r w:rsidRPr="00D16F3B">
        <w:rPr>
          <w:sz w:val="20"/>
        </w:rPr>
        <w:fldChar w:fldCharType="begin"/>
      </w:r>
      <w:r w:rsidR="00C1190A" w:rsidRPr="00D16F3B">
        <w:rPr>
          <w:sz w:val="20"/>
          <w:lang w:val="en-ID"/>
        </w:rPr>
        <w:instrText xml:space="preserve"> ADDIN ZOTERO_ITEM CSL_CITATION {"citationID":"cdgzucGV","properties":{"formattedCitation":"Michael Sullivan, \\uc0\\u8220{}Price Controls in a Multi-Sided Market\\uc0\\u8221{} (Technical Report, Working paper, 2022), https://www.tse-fr.eu/sites/default/files/TSE/documents/sem2023/jobmarket/sullivan_michael_jmp.pdf.","plainCitation":"Michael Sullivan, “Price Controls in a Multi-Sided Market” (Technical Report, Working paper, 2022), https://www.tse-fr.eu/sites/default/files/TSE/documents/sem2023/jobmarket/sullivan_michael_jmp.pdf.","dontUpdate":true,"noteIndex":58},"citationItems":[{"id":6284,"uris":["http://zotero.org/users/4802390/items/LZYVDRWN"],"itemData":{"id":6284,"type":"report","publisher":"Technical Report, Working paper","source":"Google Scholar","title":"Price controls in a multi-sided market","URL":"https://www.tse-fr.eu/sites/default/files/TSE/documents/sem2023/jobmarket/sullivan_michael_jmp.pdf","author":[{"family":"Sullivan","given":"Michael"}],"accessed":{"date-parts":[["2024",4,5]]},"issued":{"date-parts":[["2022"]]}}}],"schema":"https://github.com/citation-style-language/schema/raw/master/csl-citation.json"} </w:instrText>
      </w:r>
      <w:r w:rsidRPr="00D16F3B">
        <w:rPr>
          <w:sz w:val="20"/>
        </w:rPr>
        <w:fldChar w:fldCharType="separate"/>
      </w:r>
      <w:r w:rsidRPr="00D16F3B">
        <w:rPr>
          <w:sz w:val="20"/>
        </w:rPr>
        <w:t>Michael Sullivan, “Price Controls in a Multi-Sided Market” (Technical Report, Working paper, 2022), 19.</w:t>
      </w:r>
      <w:r w:rsidRPr="00D16F3B">
        <w:rPr>
          <w:sz w:val="20"/>
        </w:rPr>
        <w:fldChar w:fldCharType="end"/>
      </w:r>
    </w:p>
  </w:footnote>
  <w:footnote w:id="60">
    <w:p w14:paraId="61ABDFBA" w14:textId="283A9994" w:rsidR="001D0259" w:rsidRPr="00D16F3B" w:rsidRDefault="001D0259" w:rsidP="00D16F3B">
      <w:pPr>
        <w:pStyle w:val="FootnoteText"/>
        <w:ind w:left="284" w:hanging="284"/>
        <w:rPr>
          <w:sz w:val="20"/>
        </w:rPr>
      </w:pPr>
      <w:r w:rsidRPr="00D16F3B">
        <w:rPr>
          <w:rStyle w:val="FootnoteReference"/>
          <w:sz w:val="20"/>
        </w:rPr>
        <w:footnoteRef/>
      </w:r>
      <w:r w:rsidRPr="00D16F3B">
        <w:rPr>
          <w:sz w:val="20"/>
        </w:rPr>
        <w:t xml:space="preserve"> </w:t>
      </w:r>
      <w:r w:rsidRPr="00D16F3B">
        <w:rPr>
          <w:sz w:val="20"/>
        </w:rPr>
        <w:fldChar w:fldCharType="begin"/>
      </w:r>
      <w:r w:rsidRPr="00D16F3B">
        <w:rPr>
          <w:sz w:val="20"/>
        </w:rPr>
        <w:instrText xml:space="preserve"> ADDIN ZOTERO_ITEM CSL_CITATION {"citationID":"oBwBOLmr","properties":{"formattedCitation":"Marsinta Simanjuntak, \\uc0\\u8220{}Disgorgement Fund to Create Corrective Justice as a Legal Protection Measure for Investors in The Capital Market (Legal Protection of Investors Against Disgorgement Fund to Realize Corrective Justice),\\uc0\\u8221{} {\\i{}Jurnal Penelitian Hukum De Jure} 23, no. 4 (2023): 473\\uc0\\u8211{}82.","plainCitation":"Marsinta Simanjuntak, “Disgorgement Fund to Create Corrective Justice as a Legal Protection Measure for Investors in The Capital Market (Legal Protection of Investors Against Disgorgement Fund to Realize Corrective Justice),” Jurnal Penelitian Hukum De Jure 23, no. 4 (2023): 473–82.","noteIndex":59},"citationItems":[{"id":6296,"uris":["http://zotero.org/users/4802390/items/A8H3LKC2"],"itemData":{"id":6296,"type":"article-journal","container-title":"Jurnal Penelitian Hukum De Jure","issue":"4","page":"473–482","source":"Google Scholar","title":"Disgorgement Fund to Create Corrective Justice as a Legal Protection Measure for Investors in The Capital Market (Legal Protection of Investors Against Disgorgement Fund to Realize Corrective Justice)","volume":"23","author":[{"family":"Simanjuntak","given":"Marsinta"}],"issued":{"date-parts":[["2023"]]}}}],"schema":"https://github.com/citation-style-language/schema/raw/master/csl-citation.json"} </w:instrText>
      </w:r>
      <w:r w:rsidRPr="00D16F3B">
        <w:rPr>
          <w:sz w:val="20"/>
        </w:rPr>
        <w:fldChar w:fldCharType="separate"/>
      </w:r>
      <w:r w:rsidRPr="00D16F3B">
        <w:rPr>
          <w:sz w:val="20"/>
        </w:rPr>
        <w:t xml:space="preserve">Marsinta Simanjuntak, “Disgorgement Fund to Create Corrective Justice as a Legal Protection Measure for Investors in The Capital Market (Legal Protection of Investors Against Disgorgement Fund to Realize Corrective Justice),” </w:t>
      </w:r>
      <w:r w:rsidRPr="00D16F3B">
        <w:rPr>
          <w:i/>
          <w:iCs/>
          <w:sz w:val="20"/>
        </w:rPr>
        <w:t>Jurnal Penelitian Hukum De Jure</w:t>
      </w:r>
      <w:r w:rsidRPr="00D16F3B">
        <w:rPr>
          <w:sz w:val="20"/>
        </w:rPr>
        <w:t xml:space="preserve"> 23, no. 4 (2023): 473–82.</w:t>
      </w:r>
      <w:r w:rsidRPr="00D16F3B">
        <w:rPr>
          <w:sz w:val="20"/>
        </w:rPr>
        <w:fldChar w:fldCharType="end"/>
      </w:r>
    </w:p>
  </w:footnote>
  <w:footnote w:id="61">
    <w:p w14:paraId="0D7BA000" w14:textId="2E910376" w:rsidR="00F7491D" w:rsidRPr="00D16F3B" w:rsidRDefault="00F7491D"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{"citationID":"YTqMYaDd","properties":{"formattedCitation":"Inge Graef, 2016, {\\i{}EU Competition Law, Data Protection and Online Platforms: Data as Essential Facility: Data as Essential Facility}, Kluwer Law International BV, p. 90.","plainCitation":"Inge Graef, 2016, EU Competition Law, Data Protection and Online Platforms: Data as Essential Facility: Data as Essential Facility, Kluwer Law International BV, p. 90.","dontUpdate":true,"noteIndex":59},"citationItems":[{"id":6033,"uris":["http://zotero.org/users/4802390/items/CMEU4MP9"],"itemData":{"id":6033,"type":"book","publisher":"Kluwer Law International BV","source":"Google Scholar","title":"EU Competition Law, Data Protection and Online Platforms: Data as Essential Facility: Data as Essential Facility","title-short":"EU Competition Law, Data Protection and Online Platforms","URL":"https://books.google.com/books?hl=id&amp;lr=&amp;id=aIyWDwAAQBAJ&amp;oi=fnd&amp;pg=PT14&amp;dq=Essential+Facility+&amp;ots=HWBzYthpOd&amp;sig=_fwA_7N-1FdrUz4zF9W-cPwmpbM","author":[{"family":"Graef","given":"Inge"}],"accessed":{"date-parts":[["2023",10,11]]},"issued":{"date-parts":[["2016"]]}},"locator":"90","label":"page"}],"schema":"https://github.com/citation-style-language/schema/raw/master/csl-citation.json"} </w:instrText>
      </w:r>
      <w:r w:rsidRPr="00D16F3B">
        <w:rPr>
          <w:sz w:val="20"/>
        </w:rPr>
        <w:fldChar w:fldCharType="separate"/>
      </w:r>
      <w:r w:rsidRPr="00D16F3B">
        <w:rPr>
          <w:sz w:val="20"/>
        </w:rPr>
        <w:t>Inge Graef, “</w:t>
      </w:r>
      <w:r w:rsidRPr="00D16F3B">
        <w:rPr>
          <w:i/>
          <w:iCs/>
          <w:sz w:val="20"/>
        </w:rPr>
        <w:t>EU Competition Law, Data Protection and Online Platforms: Data as Essential Facility: Data as Essential Facility</w:t>
      </w:r>
      <w:r w:rsidRPr="00D16F3B">
        <w:rPr>
          <w:sz w:val="20"/>
        </w:rPr>
        <w:t>” (Kluwer Law International BV, 2021), 90.</w:t>
      </w:r>
      <w:r w:rsidRPr="00D16F3B">
        <w:rPr>
          <w:sz w:val="20"/>
        </w:rPr>
        <w:fldChar w:fldCharType="end"/>
      </w:r>
    </w:p>
  </w:footnote>
  <w:footnote w:id="62">
    <w:p w14:paraId="5AB5E0A9" w14:textId="47E68217" w:rsidR="00F7491D" w:rsidRPr="00D16F3B" w:rsidRDefault="00F7491D"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{"citationID":"Pq90Kw8v","properties":{"formattedCitation":"Dian Parluhutan, \\uc0\\u8220{}Analisis Hukum Kompetisi terhadap\" Big Data\" dan Doktrin\" Essential Facility\" dalam Transaksi Merger di Indonesia\\uc0\\u8221{}, {\\i{}Jurnal Persaingan Usaha}, Vol. 1, No. 1, 2021, pp. 83\\uc0\\u8211{}96, at p. 13.","plainCitation":"Dian Parluhutan, “Analisis Hukum Kompetisi terhadap\" Big Data\" dan Doktrin\" Essential Facility\" dalam Transaksi Merger di Indonesia”, Jurnal Persaingan Usaha, Vol. 1, No. 1, 2021, pp. 83–96, at p. 13.","dontUpdate":true,"noteIndex":60},"citationItems":[{"id":6034,"uris":["http://zotero.org/users/4802390/items/NVDI2G7H"],"itemData":{"id":6034,"type":"article-journal","container-title":"Jurnal Persaingan Usaha","issue":"1","page":"83–96","source":"Google Scholar","title":"Analisis Hukum Kompetisi terhadap\" Big Data\" dan Doktrin\" Essential Facility\" dalam Transaksi Merger di Indonesia","volume":"1","author":[{"family":"Parluhutan","given":"Dian"}],"issued":{"date-parts":[["2021"]]}},"locator":"13","label":"page"}],"schema":"https://github.com/citation-style-language/schema/raw/master/csl-citation.json"} </w:instrText>
      </w:r>
      <w:r w:rsidRPr="00D16F3B">
        <w:rPr>
          <w:sz w:val="20"/>
        </w:rPr>
        <w:fldChar w:fldCharType="separate"/>
      </w:r>
      <w:r w:rsidRPr="00D16F3B">
        <w:rPr>
          <w:sz w:val="20"/>
        </w:rPr>
        <w:t xml:space="preserve">Dian Parluhutan, “Analisis Hukum Kompetisi terhadap "Big Data" dan Doktrin "Essential Facility" dalam Transaksi Merger di Indonesia”, </w:t>
      </w:r>
      <w:r w:rsidRPr="00D16F3B">
        <w:rPr>
          <w:i/>
          <w:iCs/>
          <w:sz w:val="20"/>
        </w:rPr>
        <w:t>Jurnal Persaingan Usaha</w:t>
      </w:r>
      <w:r w:rsidRPr="00D16F3B">
        <w:rPr>
          <w:sz w:val="20"/>
        </w:rPr>
        <w:t xml:space="preserve"> 1, no. 1 (2021): 85.</w:t>
      </w:r>
      <w:r w:rsidRPr="00D16F3B">
        <w:rPr>
          <w:sz w:val="20"/>
        </w:rPr>
        <w:fldChar w:fldCharType="end"/>
      </w:r>
    </w:p>
  </w:footnote>
  <w:footnote w:id="63">
    <w:p w14:paraId="0E78AA3C" w14:textId="79989929" w:rsidR="00F7491D" w:rsidRPr="00D16F3B" w:rsidRDefault="00F7491D"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{"citationID":"qv7Nl3VW","properties":{"formattedCitation":"Barry Doherty, \\uc0\\u8220{}Just what are essential facilities?\\uc0\\u8221{}, {\\i{}Common Market Law Review}, Vol. 38, No. 2, 2001, p. 16.","plainCitation":"Barry Doherty, “Just what are essential facilities?”, Common Market Law Review, Vol. 38, No. 2, 2001, p. 16.","dontUpdate":true,"noteIndex":61},"citationItems":[{"id":6037,"uris":["http://zotero.org/users/4802390/items/ETNKLADZ"],"itemData":{"id":6037,"type":"article-journal","container-title":"Common Market Law Review","issue":"2","source":"Google Scholar","title":"Just what are essential facilities?","URL":"https://kluwerlawonline.com/api/Product/CitationPDFURL?file=Journals\\COLA\\334307.pdf","volume":"38","author":[{"family":"Doherty","given":"Barry"}],"accessed":{"date-parts":[["2023",10,11]]},"issued":{"date-parts":[["2001"]]}},"locator":"16","label":"page"}],"schema":"https://github.com/citation-style-language/schema/raw/master/csl-citation.json"} </w:instrText>
      </w:r>
      <w:r w:rsidRPr="00D16F3B">
        <w:rPr>
          <w:sz w:val="20"/>
        </w:rPr>
        <w:fldChar w:fldCharType="separate"/>
      </w:r>
      <w:r w:rsidRPr="00D16F3B">
        <w:rPr>
          <w:sz w:val="20"/>
        </w:rPr>
        <w:t xml:space="preserve">Barry Doherty, “Just what are essential facilities?”, </w:t>
      </w:r>
      <w:r w:rsidRPr="00D16F3B">
        <w:rPr>
          <w:i/>
          <w:iCs/>
          <w:sz w:val="20"/>
        </w:rPr>
        <w:t>Common Market Law Review</w:t>
      </w:r>
      <w:r w:rsidRPr="00D16F3B">
        <w:rPr>
          <w:sz w:val="20"/>
        </w:rPr>
        <w:t xml:space="preserve"> 38, no. 2 (2001): 16.</w:t>
      </w:r>
      <w:r w:rsidRPr="00D16F3B">
        <w:rPr>
          <w:sz w:val="20"/>
        </w:rPr>
        <w:fldChar w:fldCharType="end"/>
      </w:r>
    </w:p>
  </w:footnote>
  <w:footnote w:id="64">
    <w:p w14:paraId="4627766B" w14:textId="243CE390" w:rsidR="00F7491D" w:rsidRPr="00D16F3B" w:rsidRDefault="00F7491D"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{"citationID":"oh2QwwoU","properties":{"formattedCitation":"Brett Frischmann and Spencer Weber Waller, \\uc0\\u8220{}Revitalizing essential facilities\\uc0\\u8221{}, HeinOnline {\\i{}AntitrUSt lJ}, Vol. 75, 2008, p. 1, at p. 17.","plainCitation":"Brett Frischmann and Spencer Weber Waller, “Revitalizing essential facilities”, HeinOnline AntitrUSt lJ, Vol. 75, 2008, p. 1, at p. 17.","dontUpdate":true,"noteIndex":62},"citationItems":[{"id":6038,"uris":["http://zotero.org/users/4802390/items/5QNT8H3P"],"itemData":{"id":6038,"type":"article-journal","container-title":"AntitrUSt lJ","note":"publisher: HeinOnline","page":"1","source":"Google Scholar","title":"Revitalizing essential facilities","volume":"75","author":[{"family":"Frischmann","given":"Brett"},{"family":"Waller","given":"Spencer Weber"}],"issued":{"date-parts":[["2008"]]}},"locator":"17","label":"page"}],"schema":"https://github.com/citation-style-language/schema/raw/master/csl-citation.json"} </w:instrText>
      </w:r>
      <w:r w:rsidRPr="00D16F3B">
        <w:rPr>
          <w:sz w:val="20"/>
        </w:rPr>
        <w:fldChar w:fldCharType="separate"/>
      </w:r>
      <w:r w:rsidRPr="00D16F3B">
        <w:rPr>
          <w:sz w:val="20"/>
        </w:rPr>
        <w:t xml:space="preserve">Brett Frischmann and Spencer Weber Waller, “Revitalizing essential facilities”, HeinOnline </w:t>
      </w:r>
      <w:r w:rsidRPr="00D16F3B">
        <w:rPr>
          <w:i/>
          <w:iCs/>
          <w:sz w:val="20"/>
        </w:rPr>
        <w:t>AntitrUSt lJ</w:t>
      </w:r>
      <w:r w:rsidRPr="00D16F3B">
        <w:rPr>
          <w:sz w:val="20"/>
        </w:rPr>
        <w:t xml:space="preserve"> 75, no.1 (2008): 17.</w:t>
      </w:r>
      <w:r w:rsidRPr="00D16F3B">
        <w:rPr>
          <w:sz w:val="20"/>
        </w:rPr>
        <w:fldChar w:fldCharType="end"/>
      </w:r>
    </w:p>
  </w:footnote>
  <w:footnote w:id="65">
    <w:p w14:paraId="01B01C3F" w14:textId="53908899" w:rsidR="00F7491D" w:rsidRPr="00D16F3B" w:rsidRDefault="00F7491D"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 xml:space="preserve">Penerapan doktrin </w:t>
      </w:r>
      <w:r w:rsidRPr="00D16F3B">
        <w:rPr>
          <w:i/>
          <w:iCs/>
          <w:sz w:val="20"/>
        </w:rPr>
        <w:t>Essential Facility</w:t>
      </w:r>
      <w:r w:rsidRPr="00D16F3B">
        <w:rPr>
          <w:sz w:val="20"/>
        </w:rPr>
        <w:t xml:space="preserve"> dapat dilakukan untuk mengkuantifikasi secara akurat kekuatan pasar para pelaku usaha di pasar digital serta melihat secara holistik dampak dari kepemilikan Data oleh pelaku usaha terhadap efektivitas kompetisi (</w:t>
      </w:r>
      <w:r w:rsidRPr="00D16F3B">
        <w:rPr>
          <w:i/>
          <w:iCs/>
          <w:sz w:val="20"/>
        </w:rPr>
        <w:t>effective/ workable competition</w:t>
      </w:r>
      <w:r w:rsidRPr="00D16F3B">
        <w:rPr>
          <w:sz w:val="20"/>
        </w:rPr>
        <w:t xml:space="preserve">) di pasar digital. Definisi doktrin </w:t>
      </w:r>
      <w:r w:rsidRPr="00D16F3B">
        <w:rPr>
          <w:i/>
          <w:iCs/>
          <w:sz w:val="20"/>
        </w:rPr>
        <w:t>Essential Facility</w:t>
      </w:r>
      <w:r w:rsidRPr="00D16F3B">
        <w:rPr>
          <w:sz w:val="20"/>
        </w:rPr>
        <w:t xml:space="preserve"> secara luas adalah suatu fasilitas yang dikatakan essential atau strategis ketika fasilitas itu tidak dapat dipisahkan dari operasional aktivitas bisnis dari pelaku usaha yang bergerak di pasar bersangkutan yang sam. Dengan demikian tidak ada fasilitas pengganti yang tersedia baik secara factual maupun secara potensial. </w:t>
      </w:r>
      <w:r w:rsidRPr="00D16F3B">
        <w:rPr>
          <w:sz w:val="20"/>
        </w:rPr>
        <w:fldChar w:fldCharType="begin"/>
      </w:r>
      <w:r w:rsidR="00C1190A" w:rsidRPr="00D16F3B">
        <w:rPr>
          <w:sz w:val="20"/>
        </w:rPr>
        <w:instrText xml:space="preserve"> ADDIN ZOTERO_ITEM CSL_CITATION {"citationID":"O4E11yeU","properties":{"formattedCitation":"Catherine Tucker, \\uc0\\u8220{}Digital Data, Platforms and the Usual [Antitrust] Suspects: Network Effects, Switching Costs, Essential Facility\\uc0\\u8221{}, {\\i{}Review of Industrial Organization}, Vol. 54, No. 4, June, 2019, pp. 683\\uc0\\u8211{}694, at p. 21.","plainCitation":"Catherine Tucker, “Digital Data, Platforms and the Usual [Antitrust] Suspects: Network Effects, Switching Costs, Essential Facility”, Review of Industrial Organization, Vol. 54, No. 4, June, 2019, pp. 683–694, at p. 21.","dontUpdate":true,"noteIndex":63},"citationItems":[{"id":6042,"uris":["http://zotero.org/users/4802390/items/ZCFMC5YL"],"itemData":{"id":6042,"type":"article-journal","container-title":"Review of Industrial Organization","DOI":"10.1007/s11151-019-09693-7","ISSN":"0889-938X, 1573-7160","issue":"4","journalAbbreviation":"Rev Ind Organ","language":"en","page":"683-694","source":"DOI.org (Crossref)","title":"Digital Data, Platforms and the Usual [Antitrust] Suspects: Network Effects, Switching Costs, Essential Facility","title-short":"Digital Data, Platforms and the Usual [Antitrust] Suspects","volume":"54","author":[{"family":"Tucker","given":"Catherine"}],"issued":{"date-parts":[["2019",6]]}},"locator":"21","label":"page"}],"schema":"https://github.com/citation-style-language/schema/raw/master/csl-citation.json"} </w:instrText>
      </w:r>
      <w:r w:rsidRPr="00D16F3B">
        <w:rPr>
          <w:sz w:val="20"/>
        </w:rPr>
        <w:fldChar w:fldCharType="separate"/>
      </w:r>
      <w:r w:rsidRPr="00D16F3B">
        <w:rPr>
          <w:sz w:val="20"/>
        </w:rPr>
        <w:t xml:space="preserve">Catherine Tucker, “Digital Data, Platforms and the Usual [Antitrust] Suspects: Network Effects, Switching Costs, Essential Facility”, </w:t>
      </w:r>
      <w:r w:rsidRPr="00D16F3B">
        <w:rPr>
          <w:i/>
          <w:iCs/>
          <w:sz w:val="20"/>
        </w:rPr>
        <w:t>Review of Industrial Organization</w:t>
      </w:r>
      <w:r w:rsidRPr="00D16F3B">
        <w:rPr>
          <w:sz w:val="20"/>
        </w:rPr>
        <w:t xml:space="preserve"> 54, no. 4 (2019): 683.</w:t>
      </w:r>
      <w:r w:rsidRPr="00D16F3B">
        <w:rPr>
          <w:sz w:val="20"/>
        </w:rPr>
        <w:fldChar w:fldCharType="end"/>
      </w:r>
    </w:p>
  </w:footnote>
  <w:footnote w:id="66">
    <w:p w14:paraId="76DA7911" w14:textId="6F49B6F4" w:rsidR="00F7491D" w:rsidRPr="00D16F3B" w:rsidRDefault="00F7491D"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{"citationID":"GN2qZHJl","properties":{"formattedCitation":"Lisa Mays, \\uc0\\u8220{}The Consequences of Search Bias: How Application of the Essential Facilities Doctrine Remedies Google\\uc0\\u8217{}s Unrestricted Monopoly on Search in the United States and Europe\\uc0\\u8221{}, HeinOnline {\\i{}Geo. Wash. L. Rev.}, Vol. 83, 2014, p. 721, at p. 41.","plainCitation":"Lisa Mays, “The Consequences of Search Bias: How Application of the Essential Facilities Doctrine Remedies Google’s Unrestricted Monopoly on Search in the United States and Europe”, HeinOnline Geo. Wash. L. Rev., Vol. 83, 2014, p. 721, at p. 41.","dontUpdate":true,"noteIndex":64},"citationItems":[{"id":6052,"uris":["http://zotero.org/users/4802390/items/5MJG932K"],"itemData":{"id":6052,"type":"article-journal","container-title":"Geo. Wash. L. Rev.","note":"publisher: HeinOnline","page":"721","source":"Google Scholar","title":"The Consequences of Search Bias: How Application of the Essential Facilities Doctrine Remedies Google's Unrestricted Monopoly on Search in the United States and Europe","title-short":"The Consequences of Search Bias","volume":"83","author":[{"family":"Mays","given":"Lisa"}],"issued":{"date-parts":[["2014"]]}},"locator":"41","label":"page"}],"schema":"https://github.com/citation-style-language/schema/raw/master/csl-citation.json"} </w:instrText>
      </w:r>
      <w:r w:rsidRPr="00D16F3B">
        <w:rPr>
          <w:sz w:val="20"/>
        </w:rPr>
        <w:fldChar w:fldCharType="separate"/>
      </w:r>
      <w:r w:rsidRPr="00D16F3B">
        <w:rPr>
          <w:sz w:val="20"/>
        </w:rPr>
        <w:t xml:space="preserve">Lisa Mays, “The Consequences of Search Bias: How Application of the Essential Facilities Doctrine Remedies Google’s Unrestricted Monopoly on Search in the United States and Europe”, HeinOnline </w:t>
      </w:r>
      <w:r w:rsidRPr="00D16F3B">
        <w:rPr>
          <w:i/>
          <w:iCs/>
          <w:sz w:val="20"/>
        </w:rPr>
        <w:t>Geo. Wash. L. Rev.</w:t>
      </w:r>
      <w:r w:rsidRPr="00D16F3B">
        <w:rPr>
          <w:sz w:val="20"/>
        </w:rPr>
        <w:t xml:space="preserve"> 83, no. 3 (2014): 721.</w:t>
      </w:r>
      <w:r w:rsidRPr="00D16F3B">
        <w:rPr>
          <w:sz w:val="20"/>
        </w:rPr>
        <w:fldChar w:fldCharType="end"/>
      </w:r>
    </w:p>
  </w:footnote>
  <w:footnote w:id="67">
    <w:p w14:paraId="1A954058" w14:textId="7070C494" w:rsidR="00F7491D" w:rsidRPr="00D16F3B" w:rsidRDefault="00F7491D"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 xml:space="preserve">Kemampuan Penyedia Layanan untuk mengumpulkan sejumlah besar data pribadi Pengguna Layanan sehubungan dengan penggunaan berbagai teknologi pemrosesan data yang canggih, termasuk menggunakan </w:t>
      </w:r>
      <w:r w:rsidRPr="00D16F3B">
        <w:rPr>
          <w:i/>
          <w:iCs/>
          <w:sz w:val="20"/>
        </w:rPr>
        <w:t>Machine Learning</w:t>
      </w:r>
      <w:r w:rsidRPr="00D16F3B">
        <w:rPr>
          <w:sz w:val="20"/>
        </w:rPr>
        <w:t xml:space="preserve">, menghasilkan berbagai wawasan tentang preferensi pengguna mereka. Akibatnya, Penyedia Layanan dapat mengeksploitasi bias perilaku konsumen dan membuat mereka rentan terhadap iklan yang ditargetkan, </w:t>
      </w:r>
      <w:r w:rsidRPr="00D16F3B">
        <w:rPr>
          <w:i/>
          <w:iCs/>
          <w:sz w:val="20"/>
        </w:rPr>
        <w:t>micro-targeting</w:t>
      </w:r>
      <w:r w:rsidRPr="00D16F3B">
        <w:rPr>
          <w:sz w:val="20"/>
        </w:rPr>
        <w:t xml:space="preserve">, dan manipulasi, bahkan penawaran individual yang mendekati diskriminasi harga yang sempurna. </w:t>
      </w:r>
      <w:r w:rsidRPr="00D16F3B">
        <w:rPr>
          <w:sz w:val="20"/>
        </w:rPr>
        <w:fldChar w:fldCharType="begin"/>
      </w:r>
      <w:r w:rsidR="00C1190A" w:rsidRPr="00D16F3B">
        <w:rPr>
          <w:sz w:val="20"/>
        </w:rPr>
        <w:instrText xml:space="preserve"> ADDIN ZOTERO_ITEM CSL_CITATION {"citationID":"d9QlpihM","properties":{"formattedCitation":"Marina Lao, \\uc0\\u8220{}Search, Essential Facilities, and the Antitrust Duty to Deal\\uc0\\u8221{}, HeinOnline {\\i{}Nw. J. Tech. &amp; Intell. Prop.}, Vol. 11, 2012, p. 275, at p. 24.","plainCitation":"Marina Lao, “Search, Essential Facilities, and the Antitrust Duty to Deal”, HeinOnline Nw. J. Tech. &amp; Intell. Prop., Vol. 11, 2012, p. 275, at p. 24.","dontUpdate":true,"noteIndex":65},"citationItems":[{"id":6048,"uris":["http://zotero.org/users/4802390/items/W4DLWBP6"],"itemData":{"id":6048,"type":"article-journal","container-title":"Nw. J. Tech. &amp; Intell. Prop.","note":"publisher: HeinOnline","page":"275","source":"Google Scholar","title":"Search, Essential Facilities, and the Antitrust Duty to Deal","volume":"11","author":[{"family":"Lao","given":"Marina"}],"issued":{"date-parts":[["2012"]]}},"locator":"24","label":"page"}],"schema":"https://github.com/citation-style-language/schema/raw/master/csl-citation.json"} </w:instrText>
      </w:r>
      <w:r w:rsidRPr="00D16F3B">
        <w:rPr>
          <w:sz w:val="20"/>
        </w:rPr>
        <w:fldChar w:fldCharType="separate"/>
      </w:r>
      <w:r w:rsidRPr="00D16F3B">
        <w:rPr>
          <w:sz w:val="20"/>
        </w:rPr>
        <w:t xml:space="preserve">Marina Lao, “Search, Essential Facilities, and the Antitrust Duty to Deal”, HeinOnline </w:t>
      </w:r>
      <w:r w:rsidRPr="00D16F3B">
        <w:rPr>
          <w:i/>
          <w:iCs/>
          <w:sz w:val="20"/>
        </w:rPr>
        <w:t>Nw. J. Tech. &amp; Intell. Prop.</w:t>
      </w:r>
      <w:r w:rsidRPr="00D16F3B">
        <w:rPr>
          <w:sz w:val="20"/>
        </w:rPr>
        <w:t xml:space="preserve"> 11, no. 3 (2012): 275.</w:t>
      </w:r>
      <w:r w:rsidRPr="00D16F3B">
        <w:rPr>
          <w:sz w:val="20"/>
        </w:rPr>
        <w:fldChar w:fldCharType="end"/>
      </w:r>
    </w:p>
  </w:footnote>
  <w:footnote w:id="68">
    <w:p w14:paraId="194F5BD8" w14:textId="1306AAAA" w:rsidR="00F7491D" w:rsidRPr="00D16F3B" w:rsidRDefault="00F7491D"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t xml:space="preserve">Penyedia Layanan dapat mengumpulkan data tidak hanya melalui layanan mereka sendiri tetapi juga dengan mengumpulkan data pribadi Pengguna Layanan dari situs web dan aplikasi seluler melalui persetujuan Pengguna Layanan. Lebih rinci, teknologi pelacakan canggih, seperti </w:t>
      </w:r>
      <w:r w:rsidRPr="00D16F3B">
        <w:rPr>
          <w:i/>
          <w:iCs/>
          <w:sz w:val="20"/>
        </w:rPr>
        <w:t>cookie browser</w:t>
      </w:r>
      <w:r w:rsidRPr="00D16F3B">
        <w:rPr>
          <w:sz w:val="20"/>
        </w:rPr>
        <w:t xml:space="preserve">, piksel, dll., telah memungkinkan pelacakan aktivitas online pengguna di seluruh situs web dan aplikasi seluler yang menghasilkan pengumpulan dan penyimpanan sejumlah besar data yang terkait dengan pengguna dan perangkat. Akibatnya, pelacak dapat mengumpulkan dan mengaitkan berbagai informasi pribadi yang memungkinkan mereka untuk membangun profil yang komprehensif dan lengkap dari pengguna dan aktivitas, minat, dan pendapat mereka. </w:t>
      </w:r>
      <w:r w:rsidRPr="00D16F3B">
        <w:rPr>
          <w:sz w:val="20"/>
        </w:rPr>
        <w:fldChar w:fldCharType="begin"/>
      </w:r>
      <w:r w:rsidR="00C1190A" w:rsidRPr="00D16F3B">
        <w:rPr>
          <w:sz w:val="20"/>
        </w:rPr>
        <w:instrText xml:space="preserve"> ADDIN ZOTERO_ITEM CSL_CITATION {"citationID":"dLqcUUCF","properties":{"formattedCitation":"Zachary Abrahamson, \\uc0\\u8220{}Essential data\\uc0\\u8221{}, HeinOnline {\\i{}Yale LJ}, Vol. 124, 2014, p. 867, at p. 15.","plainCitation":"Zachary Abrahamson, “Essential data”, HeinOnline Yale LJ, Vol. 124, 2014, p. 867, at p. 15.","dontUpdate":true,"noteIndex":66},"citationItems":[{"id":6040,"uris":["http://zotero.org/users/4802390/items/Q7IP33P5"],"itemData":{"id":6040,"type":"article-journal","container-title":"Yale LJ","note":"publisher: HeinOnline","page":"867","source":"Google Scholar","title":"Essential data","volume":"124","author":[{"family":"Abrahamson","given":"Zachary"}],"issued":{"date-parts":[["2014"]]}},"locator":"15","label":"page"}],"schema":"https://github.com/citation-style-language/schema/raw/master/csl-citation.json"} </w:instrText>
      </w:r>
      <w:r w:rsidRPr="00D16F3B">
        <w:rPr>
          <w:sz w:val="20"/>
        </w:rPr>
        <w:fldChar w:fldCharType="separate"/>
      </w:r>
      <w:r w:rsidRPr="00D16F3B">
        <w:rPr>
          <w:sz w:val="20"/>
        </w:rPr>
        <w:t xml:space="preserve">Zachary Abrahamson, “Essential data”, HeinOnline </w:t>
      </w:r>
      <w:r w:rsidRPr="00D16F3B">
        <w:rPr>
          <w:i/>
          <w:iCs/>
          <w:sz w:val="20"/>
        </w:rPr>
        <w:t>Yale LJ</w:t>
      </w:r>
      <w:r w:rsidRPr="00D16F3B">
        <w:rPr>
          <w:sz w:val="20"/>
        </w:rPr>
        <w:t xml:space="preserve"> 124, no.2 (2014): 867.</w:t>
      </w:r>
      <w:r w:rsidRPr="00D16F3B">
        <w:rPr>
          <w:sz w:val="20"/>
        </w:rPr>
        <w:fldChar w:fldCharType="end"/>
      </w:r>
    </w:p>
  </w:footnote>
  <w:footnote w:id="69">
    <w:p w14:paraId="25CC82D1" w14:textId="6210B3AE" w:rsidR="00C1190A" w:rsidRPr="00D16F3B" w:rsidRDefault="00C1190A" w:rsidP="00D16F3B">
      <w:pPr>
        <w:pStyle w:val="FootnoteText"/>
        <w:ind w:left="284" w:hanging="284"/>
        <w:rPr>
          <w:sz w:val="20"/>
        </w:rPr>
      </w:pPr>
      <w:r w:rsidRPr="00D16F3B">
        <w:rPr>
          <w:rStyle w:val="FootnoteReference"/>
          <w:sz w:val="20"/>
        </w:rPr>
        <w:footnoteRef/>
      </w:r>
      <w:r w:rsidRPr="00D16F3B">
        <w:rPr>
          <w:sz w:val="20"/>
        </w:rPr>
        <w:t xml:space="preserve"> </w:t>
      </w:r>
      <w:r w:rsidR="001D0259" w:rsidRPr="00D16F3B">
        <w:rPr>
          <w:sz w:val="20"/>
        </w:rPr>
        <w:tab/>
      </w:r>
      <w:r w:rsidRPr="00D16F3B">
        <w:rPr>
          <w:sz w:val="20"/>
        </w:rPr>
        <w:fldChar w:fldCharType="begin"/>
      </w:r>
      <w:r w:rsidRPr="00D16F3B">
        <w:rPr>
          <w:sz w:val="20"/>
        </w:rPr>
        <w:instrText xml:space="preserve"> ADDIN ZOTERO_ITEM CSL_CITATION {"citationID":"CfRtITTC","properties":{"formattedCitation":"Moch. Marsa Taufiqurrohman et al., \\uc0\\u8220{}The Use of Necessitas Non Habet Legem and Wederspanningheid in Law Enforcement for Covid-19 Vaccination in Indonesia,\\uc0\\u8221{} {\\i{}Jurnal Penelitian Hukum De Jure} 21, no. 4 (December 31, 2021): 17, https://doi.org/10.30641/dejure.2021.V21.473-488.","plainCitation":"Moch. Marsa Taufiqurrohman et al., “The Use of Necessitas Non Habet Legem and Wederspanningheid in Law Enforcement for Covid-19 Vaccination in Indonesia,” Jurnal Penelitian Hukum De Jure 21, no. 4 (December 31, 2021): 17, https://doi.org/10.30641/dejure.2021.V21.473-488.","noteIndex":67},"citationItems":[{"id":2326,"uris":["http://zotero.org/users/4802390/items/E2JE4YJB"],"itemData":{"id":2326,"type":"article-journal","abstract":"The majority of scientific research in the world agrees that vaccination is a vital instrument that aims to solve the problem of the Covid-19 pandemic. In achieving this goal, the government is trying to ensure that vaccinations run as they should. Even though it is regulated in laws and regulations, the enforcement of vaccination law is not easy to implement. This article aims to examine the formulation of the legal basis that can ensure effective enforcement of vaccination law in Indonesia. By using normative legal research, this study aims to answer several problems. First, is vaccination a right or obligation for every citizen? Second, what are the legal bases that can be used to enforce the vaccination law in Indonesia? Third, what is the state’s responsibility for adverse events following vaccination in return for the vaccination obligation? This article provides a view that the principle of emergency reason does not know the law (necessitas non habet legem) can be an indicator of a shift in vaccination status which was originally only a right to become obligation. In addition, the wederspanningheid article in the Criminal Code (KUHP) regarding resistance to officers carrying out state obligations can be the legal basis for enforcing vaccination law. Furthermore, the enforcement of vaccination law must also go hand in hand with the state’s responsibility for adverse events following vaccination. Responsibilities can be in the form of vaccine testing, treatment, care, and court lawsuits if there is a default or unlawful act.","container-title":"Jurnal Penelitian Hukum De Jure","DOI":"10.30641/dejure.2021.V21.473-488","ISSN":"2579-8561, 1410-5632","issue":"4","journalAbbreviation":"j. penelit. huk. dejure","language":"en","page":"473","source":"DOI.org (Crossref)","title":"The Use of Necessitas Non Habet Legem and Wederspanningheid in Law Enforcement for Covid-19 Vaccination in Indonesia","volume":"21","author":[{"family":"Taufiqurrohman","given":"Moch. Marsa"},{"family":"Fahri","given":"Muhammad Toriq"},{"family":"Wijaya","given":"Robi Kurnia"},{"family":"Wiranata","given":"I Gede Putu"}],"issued":{"date-parts":[["2021",12,31]]}},"locator":"17","label":"page"}],"schema":"https://github.com/citation-style-language/schema/raw/master/csl-citation.json"} </w:instrText>
      </w:r>
      <w:r w:rsidRPr="00D16F3B">
        <w:rPr>
          <w:sz w:val="20"/>
        </w:rPr>
        <w:fldChar w:fldCharType="separate"/>
      </w:r>
      <w:r w:rsidRPr="00D16F3B">
        <w:rPr>
          <w:sz w:val="20"/>
        </w:rPr>
        <w:t xml:space="preserve">Moch. Marsa Taufiqurrohman et al., “The Use of Necessitas Non Habet Legem and Wederspanningheid in Law Enforcement for Covid-19 Vaccination in Indonesia,” </w:t>
      </w:r>
      <w:r w:rsidRPr="00D16F3B">
        <w:rPr>
          <w:i/>
          <w:iCs/>
          <w:sz w:val="20"/>
        </w:rPr>
        <w:t>Jurnal Penelitian Hukum De Jure</w:t>
      </w:r>
      <w:r w:rsidRPr="00D16F3B">
        <w:rPr>
          <w:sz w:val="20"/>
        </w:rPr>
        <w:t xml:space="preserve"> 21, no. 4 (2021): 473.</w:t>
      </w:r>
      <w:r w:rsidRPr="00D16F3B">
        <w:rPr>
          <w:sz w:val="20"/>
        </w:rPr>
        <w:fldChar w:fldCharType="end"/>
      </w:r>
    </w:p>
  </w:footnote>
  <w:footnote w:id="70">
    <w:p w14:paraId="73C99ADD" w14:textId="35CA1133" w:rsidR="00C1190A" w:rsidRPr="00D16F3B" w:rsidRDefault="00C1190A" w:rsidP="00D16F3B">
      <w:pPr>
        <w:pStyle w:val="FootnoteText"/>
        <w:ind w:left="284" w:hanging="284"/>
        <w:rPr>
          <w:sz w:val="20"/>
        </w:rPr>
      </w:pPr>
      <w:r w:rsidRPr="00D16F3B">
        <w:rPr>
          <w:rStyle w:val="FootnoteReference"/>
          <w:sz w:val="20"/>
        </w:rPr>
        <w:footnoteRef/>
      </w:r>
      <w:r w:rsidRPr="00D16F3B">
        <w:rPr>
          <w:sz w:val="20"/>
        </w:rPr>
        <w:t xml:space="preserve"> </w:t>
      </w:r>
      <w:r w:rsidR="001D0259" w:rsidRPr="00D16F3B">
        <w:rPr>
          <w:sz w:val="20"/>
        </w:rPr>
        <w:tab/>
      </w:r>
      <w:r w:rsidRPr="00D16F3B">
        <w:rPr>
          <w:sz w:val="20"/>
        </w:rPr>
        <w:fldChar w:fldCharType="begin"/>
      </w:r>
      <w:r w:rsidRPr="00D16F3B">
        <w:rPr>
          <w:sz w:val="20"/>
        </w:rPr>
        <w:instrText xml:space="preserve"> ADDIN ZOTERO_ITEM CSL_CITATION {"citationID":"zLDCXCR2","properties":{"formattedCitation":"Edy Santoso and Andriana Andriana, \\uc0\\u8220{}Insecurity to Consumer Data Protection in The eHealth Sector,\\uc0\\u8221{} {\\i{}Jurnal Penelitian Hukum De Jure} 23, no. 1 (2023): 115\\uc0\\u8211{}30.","plainCitation":"Edy Santoso and Andriana Andriana, “Insecurity to Consumer Data Protection in The eHealth Sector,” Jurnal Penelitian Hukum De Jure 23, no. 1 (2023): 115–30.","noteIndex":68},"citationItems":[{"id":6286,"uris":["http://zotero.org/users/4802390/items/JGSQGE4J"],"itemData":{"id":6286,"type":"article-journal","container-title":"Jurnal Penelitian Hukum De Jure","issue":"1","page":"115–130","source":"Google Scholar","title":"Insecurity to Consumer Data Protection in The eHealth Sector","volume":"23","author":[{"family":"Santoso","given":"Edy"},{"family":"Andriana","given":"Andriana"}],"issued":{"date-parts":[["2023"]]}}}],"schema":"https://github.com/citation-style-language/schema/raw/master/csl-citation.json"} </w:instrText>
      </w:r>
      <w:r w:rsidRPr="00D16F3B">
        <w:rPr>
          <w:sz w:val="20"/>
        </w:rPr>
        <w:fldChar w:fldCharType="separate"/>
      </w:r>
      <w:r w:rsidRPr="00D16F3B">
        <w:rPr>
          <w:sz w:val="20"/>
        </w:rPr>
        <w:t xml:space="preserve">Edy Santoso and Andriana Andriana, “Insecurity to Consumer Data Protection in The eHealth Sector,” </w:t>
      </w:r>
      <w:r w:rsidRPr="00D16F3B">
        <w:rPr>
          <w:i/>
          <w:iCs/>
          <w:sz w:val="20"/>
        </w:rPr>
        <w:t>Jurnal Penelitian Hukum De Jure</w:t>
      </w:r>
      <w:r w:rsidRPr="00D16F3B">
        <w:rPr>
          <w:sz w:val="20"/>
        </w:rPr>
        <w:t xml:space="preserve"> 23, no. 1 (2023): 115.</w:t>
      </w:r>
      <w:r w:rsidRPr="00D16F3B">
        <w:rPr>
          <w:sz w:val="20"/>
        </w:rPr>
        <w:fldChar w:fldCharType="end"/>
      </w:r>
    </w:p>
  </w:footnote>
  <w:footnote w:id="71">
    <w:p w14:paraId="1A1C4C61" w14:textId="02385245" w:rsidR="00F7491D" w:rsidRPr="00D16F3B" w:rsidRDefault="00F7491D" w:rsidP="00D16F3B">
      <w:pPr>
        <w:pStyle w:val="FootnoteText"/>
        <w:spacing w:after="0"/>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00C1190A" w:rsidRPr="00D16F3B">
        <w:rPr>
          <w:sz w:val="20"/>
        </w:rPr>
        <w:instrText xml:space="preserve"> ADDIN ZOTERO_ITEM CSL_CITATION {"citationID":"WYWbmVDh","properties":{"formattedCitation":"Inge Graef, \\uc0\\u8220{}Rethinking the essential facilities doctrine for the EU digital economy\\uc0\\u8221{}, HeinOnline {\\i{}RJT ns}, Vol. 53, 2019, p. 33, at p. 21.","plainCitation":"Inge Graef, “Rethinking the essential facilities doctrine for the EU digital economy”, HeinOnline RJT ns, Vol. 53, 2019, p. 33, at p. 21.","dontUpdate":true,"noteIndex":68},"citationItems":[{"id":6046,"uris":["http://zotero.org/users/4802390/items/MVPKUKSG"],"itemData":{"id":6046,"type":"article-journal","container-title":"RJT ns","note":"publisher: HeinOnline","page":"33","source":"Google Scholar","title":"Rethinking the essential facilities doctrine for the EU digital economy","volume":"53","author":[{"family":"Graef","given":"Inge"}],"issued":{"date-parts":[["2019"]]}},"locator":"21","label":"page"}],"schema":"https://github.com/citation-style-language/schema/raw/master/csl-citation.json"} </w:instrText>
      </w:r>
      <w:r w:rsidRPr="00D16F3B">
        <w:rPr>
          <w:sz w:val="20"/>
        </w:rPr>
        <w:fldChar w:fldCharType="separate"/>
      </w:r>
      <w:r w:rsidRPr="00D16F3B">
        <w:rPr>
          <w:sz w:val="20"/>
        </w:rPr>
        <w:t xml:space="preserve">Inge Graef, “Rethinking the essential facilities doctrine for the EU digital economy”, HeinOnline </w:t>
      </w:r>
      <w:r w:rsidRPr="00D16F3B">
        <w:rPr>
          <w:i/>
          <w:iCs/>
          <w:sz w:val="20"/>
        </w:rPr>
        <w:t>RJT ns</w:t>
      </w:r>
      <w:r w:rsidRPr="00D16F3B">
        <w:rPr>
          <w:sz w:val="20"/>
        </w:rPr>
        <w:t>, Vol. 53, 2019, hlm. 33.</w:t>
      </w:r>
      <w:r w:rsidRPr="00D16F3B">
        <w:rPr>
          <w:sz w:val="20"/>
        </w:rPr>
        <w:fldChar w:fldCharType="end"/>
      </w:r>
    </w:p>
  </w:footnote>
  <w:footnote w:id="72">
    <w:p w14:paraId="1BA9C206" w14:textId="24029617" w:rsidR="00C1190A" w:rsidRPr="00D16F3B" w:rsidRDefault="00C1190A" w:rsidP="00D16F3B">
      <w:pPr>
        <w:pStyle w:val="FootnoteText"/>
        <w:ind w:left="284" w:hanging="284"/>
        <w:rPr>
          <w:sz w:val="20"/>
        </w:rPr>
      </w:pPr>
      <w:r w:rsidRPr="00D16F3B">
        <w:rPr>
          <w:rStyle w:val="FootnoteReference"/>
          <w:sz w:val="20"/>
        </w:rPr>
        <w:footnoteRef/>
      </w:r>
      <w:r w:rsidRPr="00D16F3B">
        <w:rPr>
          <w:sz w:val="20"/>
        </w:rPr>
        <w:t xml:space="preserve"> </w:t>
      </w:r>
      <w:r w:rsidR="001D0259" w:rsidRPr="00D16F3B">
        <w:rPr>
          <w:sz w:val="20"/>
        </w:rPr>
        <w:tab/>
      </w:r>
      <w:r w:rsidRPr="00D16F3B">
        <w:rPr>
          <w:sz w:val="20"/>
        </w:rPr>
        <w:fldChar w:fldCharType="begin"/>
      </w:r>
      <w:r w:rsidR="001D0259" w:rsidRPr="00D16F3B">
        <w:rPr>
          <w:sz w:val="20"/>
        </w:rPr>
        <w:instrText xml:space="preserve"> ADDIN ZOTERO_ITEM CSL_CITATION {"citationID":"9jXKoNxy","properties":{"formattedCitation":"Marulak Pardede, \\uc0\\u8220{}Investment Regulatorly Reform in Indonesia (an Effort to Increase the Competitiveness Climate of Investment),\\uc0\\u8221{} {\\i{}Jurnal Penelitian Hukum De Jure} 23, no. 2 (2023): 231\\uc0\\u8211{}44.","plainCitation":"Marulak Pardede, “Investment Regulatorly Reform in Indonesia (an Effort to Increase the Competitiveness Climate of Investment),” Jurnal Penelitian Hukum De Jure 23, no. 2 (2023): 231–44.","noteIndex":70},"citationItems":[{"id":6289,"uris":["http://zotero.org/users/4802390/items/TCXNPI2H"],"itemData":{"id":6289,"type":"article-journal","container-title":"Jurnal Penelitian Hukum De Jure","issue":"2","page":"231–244","source":"Google Scholar","title":"Investment Regulatorly Reform in Indonesia (an Effort to Increase the Competitiveness Climate of Investment)","volume":"23","author":[{"family":"Pardede","given":"Marulak"}],"issued":{"date-parts":[["2023"]]}}}],"schema":"https://github.com/citation-style-language/schema/raw/master/csl-citation.json"} </w:instrText>
      </w:r>
      <w:r w:rsidRPr="00D16F3B">
        <w:rPr>
          <w:sz w:val="20"/>
        </w:rPr>
        <w:fldChar w:fldCharType="separate"/>
      </w:r>
      <w:r w:rsidR="001D0259" w:rsidRPr="00D16F3B">
        <w:rPr>
          <w:sz w:val="20"/>
        </w:rPr>
        <w:t xml:space="preserve">Marulak Pardede, “Investment Regulatorly Reform in Indonesia (an Effort to Increase the Competitiveness Climate of Investment),” </w:t>
      </w:r>
      <w:r w:rsidR="001D0259" w:rsidRPr="00D16F3B">
        <w:rPr>
          <w:i/>
          <w:iCs/>
          <w:sz w:val="20"/>
        </w:rPr>
        <w:t>Jurnal Penelitian Hukum De Jure</w:t>
      </w:r>
      <w:r w:rsidR="001D0259" w:rsidRPr="00D16F3B">
        <w:rPr>
          <w:sz w:val="20"/>
        </w:rPr>
        <w:t xml:space="preserve"> 23, no. 2 (2023): 231.</w:t>
      </w:r>
      <w:r w:rsidRPr="00D16F3B">
        <w:rPr>
          <w:sz w:val="20"/>
        </w:rPr>
        <w:fldChar w:fldCharType="end"/>
      </w:r>
    </w:p>
  </w:footnote>
  <w:footnote w:id="73">
    <w:p w14:paraId="004B0D60" w14:textId="1244AB8D" w:rsidR="00C1190A" w:rsidRPr="00D16F3B" w:rsidRDefault="00C1190A" w:rsidP="00D16F3B">
      <w:pPr>
        <w:pStyle w:val="FootnoteText"/>
        <w:ind w:left="284" w:hanging="284"/>
        <w:rPr>
          <w:sz w:val="20"/>
          <w:lang w:val="en-ID"/>
        </w:rPr>
      </w:pPr>
      <w:r w:rsidRPr="00D16F3B">
        <w:rPr>
          <w:rStyle w:val="FootnoteReference"/>
          <w:sz w:val="20"/>
        </w:rPr>
        <w:footnoteRef/>
      </w:r>
      <w:r w:rsidRPr="00D16F3B">
        <w:rPr>
          <w:sz w:val="20"/>
          <w:lang w:val="en-ID"/>
        </w:rPr>
        <w:t xml:space="preserve"> </w:t>
      </w:r>
      <w:r w:rsidR="001D0259" w:rsidRPr="00D16F3B">
        <w:rPr>
          <w:sz w:val="20"/>
          <w:lang w:val="en-ID"/>
        </w:rPr>
        <w:tab/>
      </w:r>
      <w:r w:rsidRPr="00D16F3B">
        <w:rPr>
          <w:sz w:val="20"/>
        </w:rPr>
        <w:fldChar w:fldCharType="begin"/>
      </w:r>
      <w:r w:rsidRPr="00D16F3B">
        <w:rPr>
          <w:sz w:val="20"/>
          <w:lang w:val="en-ID"/>
        </w:rPr>
        <w:instrText xml:space="preserve"> ADDIN ZOTERO_ITEM CSL_CITATION {"citationID":"vSruUcAD","properties":{"formattedCitation":"Tasya Safiranita et al., \\uc0\\u8220{}The Role of E-Commerce in Escalation of Digital Economy in The New Normal Era Based on Law Number 27 of 2022 Concerning Personal Data Protection,\\uc0\\u8221{} {\\i{}Jurnal Penelitian Hukum De Jure} 22, no. 4 (2022): 437\\uc0\\u8211{}50.","plainCitation":"Tasya Safiranita et al., “The Role of E-Commerce in Escalation of Digital Economy in The New Normal Era Based on Law Number 27 of 2022 Concerning Personal Data Protection,” Jurnal Penelitian Hukum De Jure 22, no. 4 (2022): 437–50.","noteIndex":70},"citationItems":[{"id":6287,"uris":["http://zotero.org/users/4802390/items/7SHNXKW9"],"itemData":{"id":6287,"type":"article-journal","container-title":"Jurnal Penelitian Hukum De Jure","issue":"4","page":"437–450","source":"Google Scholar","title":"The Role of E-Commerce in Escalation of Digital Economy in The New Normal Era Based on Law Number 27 of 2022 Concerning Personal Data Protection","volume":"22","author":[{"family":"Safiranita","given":"Tasya"},{"family":"Ramli","given":"Ahmad M."},{"family":"Olivia","given":"Denidah"},{"family":"Ramadayanti","given":"Ega"}],"issued":{"date-parts":[["2022"]]}}}],"schema":"https://github.com/citation-style-language/schema/raw/master/csl-citation.json"} </w:instrText>
      </w:r>
      <w:r w:rsidRPr="00D16F3B">
        <w:rPr>
          <w:sz w:val="20"/>
        </w:rPr>
        <w:fldChar w:fldCharType="separate"/>
      </w:r>
      <w:r w:rsidRPr="00D16F3B">
        <w:rPr>
          <w:sz w:val="20"/>
        </w:rPr>
        <w:t xml:space="preserve">Tasya Safiranita et al., “The Role of E-Commerce in Escalation of Digital Economy in The New Normal Era Based on Law Number 27 of 2022 Concerning Personal Data Protection,” </w:t>
      </w:r>
      <w:r w:rsidRPr="00D16F3B">
        <w:rPr>
          <w:i/>
          <w:iCs/>
          <w:sz w:val="20"/>
        </w:rPr>
        <w:t>Jurnal Penelitian Hukum De Jure</w:t>
      </w:r>
      <w:r w:rsidRPr="00D16F3B">
        <w:rPr>
          <w:sz w:val="20"/>
        </w:rPr>
        <w:t xml:space="preserve"> 22, no. 4 (2022): 437.</w:t>
      </w:r>
      <w:r w:rsidRPr="00D16F3B">
        <w:rPr>
          <w:sz w:val="20"/>
        </w:rPr>
        <w:fldChar w:fldCharType="end"/>
      </w:r>
    </w:p>
  </w:footnote>
  <w:footnote w:id="74">
    <w:p w14:paraId="2D6CB877" w14:textId="6F7606BA" w:rsidR="00C1190A" w:rsidRPr="00D16F3B" w:rsidRDefault="00C1190A" w:rsidP="00D16F3B">
      <w:pPr>
        <w:pStyle w:val="FootnoteText"/>
        <w:ind w:left="284" w:hanging="284"/>
        <w:rPr>
          <w:sz w:val="20"/>
          <w:lang w:val="en-ID"/>
        </w:rPr>
      </w:pPr>
      <w:r w:rsidRPr="00D16F3B">
        <w:rPr>
          <w:rStyle w:val="FootnoteReference"/>
          <w:sz w:val="20"/>
        </w:rPr>
        <w:footnoteRef/>
      </w:r>
      <w:r w:rsidRPr="00D16F3B">
        <w:rPr>
          <w:sz w:val="20"/>
          <w:lang w:val="en-ID"/>
        </w:rPr>
        <w:t xml:space="preserve"> </w:t>
      </w:r>
      <w:r w:rsidR="001D0259" w:rsidRPr="00D16F3B">
        <w:rPr>
          <w:sz w:val="20"/>
          <w:lang w:val="en-ID"/>
        </w:rPr>
        <w:tab/>
      </w:r>
      <w:r w:rsidRPr="00D16F3B">
        <w:rPr>
          <w:sz w:val="20"/>
        </w:rPr>
        <w:fldChar w:fldCharType="begin"/>
      </w:r>
      <w:r w:rsidRPr="00D16F3B">
        <w:rPr>
          <w:sz w:val="20"/>
          <w:lang w:val="en-ID"/>
        </w:rPr>
        <w:instrText xml:space="preserve"> ADDIN ZOTERO_ITEM CSL_CITATION {"citationID":"j4xKkI2G","properties":{"formattedCitation":"Faiz Rahman and Dian Agung Wicaksono, \\uc0\\u8220{}Researching References on Interpretation of Personal Data in the Indonesian Constitution,\\uc0\\u8221{} {\\i{}Jurnal Penelitian Hukum De Jure} 21, no. 2 (2021): 187\\uc0\\u8211{}200.","plainCitation":"Faiz Rahman and Dian Agung Wicaksono, “Researching References on Interpretation of Personal Data in the Indonesian Constitution,” Jurnal Penelitian Hukum De Jure 21, no. 2 (2021): 187–200.","noteIndex":71},"citationItems":[{"id":6288,"uris":["http://zotero.org/users/4802390/items/IUZQTQAN"],"itemData":{"id":6288,"type":"article-journal","container-title":"Jurnal Penelitian Hukum De Jure","issue":"2","page":"187–200","source":"Google Scholar","title":"Researching References on Interpretation of Personal Data in the Indonesian Constitution","volume":"21","author":[{"family":"Rahman","given":"Faiz"},{"family":"Wicaksono","given":"Dian Agung"}],"issued":{"date-parts":[["2021"]]}}}],"schema":"https://github.com/citation-style-language/schema/raw/master/csl-citation.json"} </w:instrText>
      </w:r>
      <w:r w:rsidRPr="00D16F3B">
        <w:rPr>
          <w:sz w:val="20"/>
        </w:rPr>
        <w:fldChar w:fldCharType="separate"/>
      </w:r>
      <w:r w:rsidRPr="00D16F3B">
        <w:rPr>
          <w:sz w:val="20"/>
        </w:rPr>
        <w:t xml:space="preserve">Faiz Rahman and Dian Agung Wicaksono, “Researching References on Interpretation of Personal Data in the Indonesian Constitution,” </w:t>
      </w:r>
      <w:r w:rsidRPr="00D16F3B">
        <w:rPr>
          <w:i/>
          <w:iCs/>
          <w:sz w:val="20"/>
        </w:rPr>
        <w:t>Jurnal Penelitian Hukum De Jure</w:t>
      </w:r>
      <w:r w:rsidRPr="00D16F3B">
        <w:rPr>
          <w:sz w:val="20"/>
        </w:rPr>
        <w:t xml:space="preserve"> 21, no. 2 (2021): 187.</w:t>
      </w:r>
      <w:r w:rsidRPr="00D16F3B">
        <w:rPr>
          <w:sz w:val="20"/>
        </w:rPr>
        <w:fldChar w:fldCharType="end"/>
      </w:r>
    </w:p>
  </w:footnote>
  <w:footnote w:id="75">
    <w:p w14:paraId="68E7EFEC" w14:textId="1DED0ADA" w:rsidR="001D0259" w:rsidRPr="00D16F3B" w:rsidRDefault="001D0259" w:rsidP="00D16F3B">
      <w:pPr>
        <w:pStyle w:val="FootnoteText"/>
        <w:ind w:left="284" w:hanging="284"/>
        <w:rPr>
          <w:sz w:val="20"/>
          <w:lang w:val="en-ID"/>
        </w:rPr>
      </w:pPr>
      <w:r w:rsidRPr="00D16F3B">
        <w:rPr>
          <w:rStyle w:val="FootnoteReference"/>
          <w:sz w:val="20"/>
        </w:rPr>
        <w:footnoteRef/>
      </w:r>
      <w:r w:rsidRPr="00D16F3B">
        <w:rPr>
          <w:sz w:val="20"/>
          <w:lang w:val="en-ID"/>
        </w:rPr>
        <w:t xml:space="preserve"> </w:t>
      </w:r>
      <w:r w:rsidRPr="00D16F3B">
        <w:rPr>
          <w:sz w:val="20"/>
          <w:lang w:val="en-ID"/>
        </w:rPr>
        <w:tab/>
      </w:r>
      <w:r w:rsidRPr="00D16F3B">
        <w:rPr>
          <w:sz w:val="20"/>
        </w:rPr>
        <w:fldChar w:fldCharType="begin"/>
      </w:r>
      <w:r w:rsidRPr="00D16F3B">
        <w:rPr>
          <w:sz w:val="20"/>
          <w:lang w:val="en-ID"/>
        </w:rPr>
        <w:instrText xml:space="preserve"> ADDIN ZOTERO_ITEM CSL_CITATION {"citationID":"btAkbfxy","properties":{"formattedCitation":"Huta Disyon and Elisatris Gultom, \\uc0\\u8220{}Critical Review of the Implementation of the Making of SOE as a Holding from Anti-Monopoly and Unfair Business Competition Perspective,\\uc0\\u8221{} {\\i{}Jurnal Penelitian Hukum De Jure} 22, no. 2 (2022): 191\\uc0\\u8211{}204.","plainCitation":"Huta Disyon and Elisatris Gultom, “Critical Review of the Implementation of the Making of SOE as a Holding from Anti-Monopoly and Unfair Business Competition Perspective,” Jurnal Penelitian Hukum De Jure 22, no. 2 (2022): 191–204.","noteIndex":73},"citationItems":[{"id":6290,"uris":["http://zotero.org/users/4802390/items/PZ52VR8I"],"itemData":{"id":6290,"type":"article-journal","container-title":"Jurnal Penelitian Hukum De Jure","issue":"2","page":"191–204","source":"Google Scholar","title":"Critical Review of the Implementation of the Making of SOE as a Holding from Anti-Monopoly and Unfair Business Competition Perspective","volume":"22","author":[{"family":"Disyon","given":"Huta"},{"family":"Gultom","given":"Elisatris"}],"issued":{"date-parts":[["2022"]]}}}],"schema":"https://github.com/citation-style-language/schema/raw/master/csl-citation.json"} </w:instrText>
      </w:r>
      <w:r w:rsidRPr="00D16F3B">
        <w:rPr>
          <w:sz w:val="20"/>
        </w:rPr>
        <w:fldChar w:fldCharType="separate"/>
      </w:r>
      <w:r w:rsidRPr="00D16F3B">
        <w:rPr>
          <w:sz w:val="20"/>
        </w:rPr>
        <w:t xml:space="preserve">Huta Disyon and Elisatris Gultom, “Critical Review of the Implementation of the Making of SOE as a Holding from Anti-Monopoly and Unfair Business Competition Perspective,” </w:t>
      </w:r>
      <w:r w:rsidRPr="00D16F3B">
        <w:rPr>
          <w:i/>
          <w:iCs/>
          <w:sz w:val="20"/>
        </w:rPr>
        <w:t>Jurnal Penelitian Hukum De Jure</w:t>
      </w:r>
      <w:r w:rsidRPr="00D16F3B">
        <w:rPr>
          <w:sz w:val="20"/>
        </w:rPr>
        <w:t xml:space="preserve"> 22, no. 2 (2022): 191.</w:t>
      </w:r>
      <w:r w:rsidRPr="00D16F3B">
        <w:rPr>
          <w:sz w:val="20"/>
        </w:rPr>
        <w:fldChar w:fldCharType="end"/>
      </w:r>
    </w:p>
  </w:footnote>
  <w:footnote w:id="76">
    <w:p w14:paraId="4C3C1099" w14:textId="4AE75CC0" w:rsidR="009D53CA" w:rsidRPr="00D16F3B" w:rsidRDefault="009D53CA" w:rsidP="00D16F3B">
      <w:pPr>
        <w:pStyle w:val="FootnoteText"/>
        <w:spacing w:after="0"/>
        <w:ind w:left="284" w:hanging="284"/>
        <w:rPr>
          <w:sz w:val="20"/>
        </w:rPr>
      </w:pPr>
      <w:r w:rsidRPr="00D16F3B">
        <w:rPr>
          <w:rStyle w:val="FootnoteReference"/>
          <w:sz w:val="20"/>
        </w:rPr>
        <w:footnoteRef/>
      </w:r>
      <w:r w:rsidRPr="00B9137D">
        <w:rPr>
          <w:sz w:val="20"/>
          <w:lang w:val="en-ID"/>
        </w:rPr>
        <w:t xml:space="preserve"> </w:t>
      </w:r>
      <w:r w:rsidRPr="00B9137D">
        <w:rPr>
          <w:sz w:val="20"/>
          <w:lang w:val="en-ID"/>
        </w:rPr>
        <w:tab/>
        <w:t xml:space="preserve">Andi Fahmi Lubis dkk. </w:t>
      </w:r>
      <w:r w:rsidRPr="00D16F3B">
        <w:rPr>
          <w:sz w:val="20"/>
        </w:rPr>
        <w:t>Hukum Persaingan Usaha: Buku Teks. Edisi Kedua. Jakarta: KPPU, 2017, hlm. 66.</w:t>
      </w:r>
    </w:p>
  </w:footnote>
  <w:footnote w:id="77">
    <w:p w14:paraId="1545AAAA" w14:textId="6A614D80" w:rsidR="006A71C9" w:rsidRPr="00D16F3B" w:rsidRDefault="006A71C9"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i/>
          <w:iCs/>
          <w:sz w:val="20"/>
        </w:rPr>
        <w:t xml:space="preserve">Ibid, </w:t>
      </w:r>
      <w:r w:rsidRPr="00D16F3B">
        <w:rPr>
          <w:sz w:val="20"/>
        </w:rPr>
        <w:t>hlm. 89.</w:t>
      </w:r>
    </w:p>
  </w:footnote>
  <w:footnote w:id="78">
    <w:p w14:paraId="2CB0F874" w14:textId="31E7199E" w:rsidR="006A71C9" w:rsidRPr="00D16F3B" w:rsidRDefault="006A71C9" w:rsidP="00D16F3B">
      <w:pPr>
        <w:pStyle w:val="FootnoteText"/>
        <w:spacing w:after="0"/>
        <w:ind w:left="284" w:hanging="284"/>
        <w:rPr>
          <w:i/>
          <w:iCs/>
          <w:sz w:val="20"/>
        </w:rPr>
      </w:pPr>
      <w:r w:rsidRPr="00D16F3B">
        <w:rPr>
          <w:rStyle w:val="FootnoteReference"/>
          <w:sz w:val="20"/>
        </w:rPr>
        <w:footnoteRef/>
      </w:r>
      <w:r w:rsidRPr="00D16F3B">
        <w:rPr>
          <w:sz w:val="20"/>
        </w:rPr>
        <w:t xml:space="preserve"> </w:t>
      </w:r>
      <w:r w:rsidR="00DA2357" w:rsidRPr="00D16F3B">
        <w:rPr>
          <w:sz w:val="20"/>
        </w:rPr>
        <w:tab/>
      </w:r>
      <w:r w:rsidRPr="00D16F3B">
        <w:rPr>
          <w:i/>
          <w:iCs/>
          <w:sz w:val="20"/>
        </w:rPr>
        <w:t>Ibid.</w:t>
      </w:r>
    </w:p>
  </w:footnote>
  <w:footnote w:id="79">
    <w:p w14:paraId="1C383E11" w14:textId="09CE8E61" w:rsidR="006A71C9" w:rsidRPr="00D16F3B" w:rsidRDefault="006A71C9"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Pasal 5 Undang-Undang Nomor 5 Tahun 1999 tentang Larangan Praktek Monopoli dan Persaingan Usaha Tidak Sehat.</w:t>
      </w:r>
    </w:p>
  </w:footnote>
  <w:footnote w:id="80">
    <w:p w14:paraId="34B1CBAF" w14:textId="5438D9C2" w:rsidR="006A71C9" w:rsidRPr="00D16F3B" w:rsidRDefault="006A71C9"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Pasal 6 Undang-Undang Nomor 5 Tahun 1999 tentang Larangan Praktek Monopoli dan Persaingan Usaha Tidak Sehat.</w:t>
      </w:r>
    </w:p>
  </w:footnote>
  <w:footnote w:id="81">
    <w:p w14:paraId="23DFCEEE" w14:textId="2406BBFF" w:rsidR="006A71C9" w:rsidRPr="00D16F3B" w:rsidRDefault="006A71C9"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Pasal 10 Undang-Undang Nomor 5 Tahun 1999 tentang Larangan Praktek Monopoli dan Persaingan Usaha Tidak Sehat.</w:t>
      </w:r>
    </w:p>
  </w:footnote>
  <w:footnote w:id="82">
    <w:p w14:paraId="5C125431" w14:textId="3166FB48" w:rsidR="006A71C9" w:rsidRPr="00D16F3B" w:rsidRDefault="006A71C9"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Pasal 15 Undang-Undang Nomor 5 Tahun 1999 tentang Larangan Praktek Monopoli dan Persaingan Usaha Tidak Sehat.</w:t>
      </w:r>
    </w:p>
  </w:footnote>
  <w:footnote w:id="83">
    <w:p w14:paraId="4634C82F" w14:textId="56C2C43C" w:rsidR="006A71C9" w:rsidRPr="00D16F3B" w:rsidRDefault="006A71C9"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Pasal 24 Undang-Undang Nomor 5 Tahun 1999 tentang Larangan Praktek Monopoli dan Persaingan Usaha Tidak Sehat jo. Putusan MK No. 85/PUU-XIV/2016.</w:t>
      </w:r>
    </w:p>
  </w:footnote>
  <w:footnote w:id="84">
    <w:p w14:paraId="71F09647" w14:textId="08EF0BCA" w:rsidR="006A71C9" w:rsidRPr="00D16F3B" w:rsidRDefault="006A71C9"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Pasal 25 Undang-Undang Nomor 5 Tahun 1999 tentang Larangan Praktek Monopoli dan Persaingan Usaha Tidak Sehat.</w:t>
      </w:r>
    </w:p>
  </w:footnote>
  <w:footnote w:id="85">
    <w:p w14:paraId="35C20E84" w14:textId="55A3FDA1" w:rsidR="006A71C9" w:rsidRPr="00D16F3B" w:rsidRDefault="006A71C9"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Pasal 2 Undang-Undang Nomor 5 Tahun 1999 tentang Larangan Praktek Monopoli dan Persaingan Usaha Tidak Sehat jo. Putusan MK No. 85/PUU-XIV/2016.</w:t>
      </w:r>
    </w:p>
  </w:footnote>
  <w:footnote w:id="86">
    <w:p w14:paraId="70B3A701" w14:textId="0F45DAA4" w:rsidR="006A71C9" w:rsidRPr="00D16F3B" w:rsidRDefault="006A71C9"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Carl Kaysen dan Donald F. Turner. Antitrust Policy: An Economic and Legal Analysis. Cambridge: Harvard University Press, 1972, hlm. 143.</w:t>
      </w:r>
    </w:p>
  </w:footnote>
  <w:footnote w:id="87">
    <w:p w14:paraId="371AD563" w14:textId="05E16E31" w:rsidR="006A71C9" w:rsidRPr="00D16F3B" w:rsidRDefault="006A71C9" w:rsidP="00D16F3B">
      <w:pPr>
        <w:pStyle w:val="FootnoteText"/>
        <w:spacing w:after="0"/>
        <w:ind w:left="284" w:hanging="284"/>
        <w:rPr>
          <w:sz w:val="20"/>
        </w:rPr>
      </w:pPr>
      <w:r w:rsidRPr="00D16F3B">
        <w:rPr>
          <w:rStyle w:val="FootnoteReference"/>
          <w:sz w:val="20"/>
        </w:rPr>
        <w:footnoteRef/>
      </w:r>
      <w:r w:rsidRPr="00D16F3B">
        <w:rPr>
          <w:sz w:val="20"/>
        </w:rPr>
        <w:t xml:space="preserve"> </w:t>
      </w:r>
      <w:r w:rsidR="00DA2357" w:rsidRPr="00D16F3B">
        <w:rPr>
          <w:sz w:val="20"/>
        </w:rPr>
        <w:tab/>
      </w:r>
      <w:r w:rsidRPr="00D16F3B">
        <w:rPr>
          <w:sz w:val="20"/>
        </w:rPr>
        <w:t xml:space="preserve">Andi Fahmi Lubis dkk. </w:t>
      </w:r>
      <w:r w:rsidRPr="00D16F3B">
        <w:rPr>
          <w:i/>
          <w:iCs/>
          <w:sz w:val="20"/>
        </w:rPr>
        <w:t>Op. Cit</w:t>
      </w:r>
      <w:r w:rsidRPr="00D16F3B">
        <w:rPr>
          <w:sz w:val="20"/>
        </w:rPr>
        <w:t>, hlm. 60</w:t>
      </w:r>
    </w:p>
  </w:footnote>
  <w:footnote w:id="88">
    <w:p w14:paraId="1B7912E8" w14:textId="344D1283" w:rsidR="006A71C9" w:rsidRPr="00D16F3B" w:rsidRDefault="006A71C9" w:rsidP="00D16F3B">
      <w:pPr>
        <w:pStyle w:val="FootnoteText"/>
        <w:spacing w:after="0"/>
        <w:ind w:left="284" w:hanging="284"/>
        <w:rPr>
          <w:i/>
          <w:iCs/>
          <w:sz w:val="20"/>
        </w:rPr>
      </w:pPr>
      <w:r w:rsidRPr="00D16F3B">
        <w:rPr>
          <w:rStyle w:val="FootnoteReference"/>
          <w:sz w:val="20"/>
        </w:rPr>
        <w:footnoteRef/>
      </w:r>
      <w:r w:rsidRPr="00D16F3B">
        <w:rPr>
          <w:sz w:val="20"/>
        </w:rPr>
        <w:t xml:space="preserve"> </w:t>
      </w:r>
      <w:r w:rsidR="00DA2357" w:rsidRPr="00D16F3B">
        <w:rPr>
          <w:sz w:val="20"/>
        </w:rPr>
        <w:tab/>
      </w:r>
      <w:r w:rsidRPr="00D16F3B">
        <w:rPr>
          <w:i/>
          <w:iCs/>
          <w:sz w:val="20"/>
        </w:rPr>
        <w:t>Ibid.</w:t>
      </w:r>
    </w:p>
  </w:footnote>
  <w:footnote w:id="89">
    <w:p w14:paraId="48E0E77C" w14:textId="29C61BA6" w:rsidR="001D0259" w:rsidRPr="00D16F3B" w:rsidRDefault="001D0259" w:rsidP="00D16F3B">
      <w:pPr>
        <w:pStyle w:val="FootnoteText"/>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Pr="00D16F3B">
        <w:rPr>
          <w:sz w:val="20"/>
        </w:rPr>
        <w:instrText xml:space="preserve"> ADDIN ZOTERO_ITEM CSL_CITATION {"citationID":"vvFbDDSe","properties":{"formattedCitation":"Adis Nur Hayati, \\uc0\\u8220{}Analisis Tantangan Dan Penegakan Hukum Persaingan Usaha Pada Sektor E-Commerce Di Indonesia,\\uc0\\u8221{} {\\i{}Jurnal Penelitian Hukum De Jure} 21, no. 1 (2021): 109\\uc0\\u8211{}22.","plainCitation":"Adis Nur Hayati, “Analisis Tantangan Dan Penegakan Hukum Persaingan Usaha Pada Sektor E-Commerce Di Indonesia,” Jurnal Penelitian Hukum De Jure 21, no. 1 (2021): 109–22.","noteIndex":87},"citationItems":[{"id":6292,"uris":["http://zotero.org/users/4802390/items/Y74TEVEV"],"itemData":{"id":6292,"type":"article-journal","container-title":"Jurnal Penelitian Hukum De Jure","issue":"1","page":"109–122","source":"Google Scholar","title":"Analisis Tantangan dan Penegakan Hukum Persaingan Usaha pada Sektor E-Commerce di Indonesia","volume":"21","author":[{"family":"Hayati","given":"Adis Nur"}],"issued":{"date-parts":[["2021"]]}}}],"schema":"https://github.com/citation-style-language/schema/raw/master/csl-citation.json"} </w:instrText>
      </w:r>
      <w:r w:rsidRPr="00D16F3B">
        <w:rPr>
          <w:sz w:val="20"/>
        </w:rPr>
        <w:fldChar w:fldCharType="separate"/>
      </w:r>
      <w:r w:rsidRPr="00D16F3B">
        <w:rPr>
          <w:sz w:val="20"/>
        </w:rPr>
        <w:t xml:space="preserve">Adis Nur Hayati, “Analisis Tantangan Dan Penegakan Hukum Persaingan Usaha Pada Sektor E-Commerce Di Indonesia,” </w:t>
      </w:r>
      <w:r w:rsidRPr="00D16F3B">
        <w:rPr>
          <w:i/>
          <w:iCs/>
          <w:sz w:val="20"/>
        </w:rPr>
        <w:t>Jurnal Penelitian Hukum De Jure</w:t>
      </w:r>
      <w:r w:rsidRPr="00D16F3B">
        <w:rPr>
          <w:sz w:val="20"/>
        </w:rPr>
        <w:t xml:space="preserve"> 21, no. 1 (2021): 109.</w:t>
      </w:r>
      <w:r w:rsidRPr="00D16F3B">
        <w:rPr>
          <w:sz w:val="20"/>
        </w:rPr>
        <w:fldChar w:fldCharType="end"/>
      </w:r>
    </w:p>
  </w:footnote>
  <w:footnote w:id="90">
    <w:p w14:paraId="1BA3BA5A" w14:textId="301F699A" w:rsidR="001D0259" w:rsidRPr="00D16F3B" w:rsidRDefault="001D0259" w:rsidP="00D16F3B">
      <w:pPr>
        <w:pStyle w:val="FootnoteText"/>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Pr="00D16F3B">
        <w:rPr>
          <w:sz w:val="20"/>
        </w:rPr>
        <w:instrText xml:space="preserve"> ADDIN ZOTERO_ITEM CSL_CITATION {"citationID":"YuS0V3t9","properties":{"formattedCitation":"Ayup Suran Ningsih, \\uc0\\u8220{}Implikasi Undang-Undang Nomor 5 Tahun 1999 Tentang Larangan Praktek Monopoli Dan Persaingan Usaha Tidak Sehat Pada Pelaku Usaha Mikro Kecil Dan Menengah (UMKM),\\uc0\\u8221{} {\\i{}Jurnal Penelitian Hukum De Jure} 19, no. 2 (2019): 207\\uc0\\u8211{}15.","plainCitation":"Ayup Suran Ningsih, “Implikasi Undang-Undang Nomor 5 Tahun 1999 Tentang Larangan Praktek Monopoli Dan Persaingan Usaha Tidak Sehat Pada Pelaku Usaha Mikro Kecil Dan Menengah (UMKM),” Jurnal Penelitian Hukum De Jure 19, no. 2 (2019): 207–15.","noteIndex":88},"citationItems":[{"id":6293,"uris":["http://zotero.org/users/4802390/items/HB6E729U"],"itemData":{"id":6293,"type":"article-journal","container-title":"Jurnal Penelitian Hukum De Jure","issue":"2","page":"207–215","source":"Google Scholar","title":"Implikasi Undang-Undang Nomor 5 Tahun 1999 tentang Larangan Praktek Monopoli dan Persaingan Usaha Tidak Sehat pada Pelaku Usaha Mikro Kecil dan Menengah (UMKM)","volume":"19","author":[{"family":"Ningsih","given":"Ayup Suran"}],"issued":{"date-parts":[["2019"]]}}}],"schema":"https://github.com/citation-style-language/schema/raw/master/csl-citation.json"} </w:instrText>
      </w:r>
      <w:r w:rsidRPr="00D16F3B">
        <w:rPr>
          <w:sz w:val="20"/>
        </w:rPr>
        <w:fldChar w:fldCharType="separate"/>
      </w:r>
      <w:r w:rsidRPr="00D16F3B">
        <w:rPr>
          <w:sz w:val="20"/>
        </w:rPr>
        <w:t xml:space="preserve">Ayup Suran Ningsih, “Implikasi Undang-Undang Nomor 5 Tahun 1999 Tentang Larangan Praktek Monopoli Dan Persaingan Usaha Tidak Sehat Pada Pelaku Usaha Mikro Kecil Dan Menengah (UMKM),” </w:t>
      </w:r>
      <w:r w:rsidRPr="00D16F3B">
        <w:rPr>
          <w:i/>
          <w:iCs/>
          <w:sz w:val="20"/>
        </w:rPr>
        <w:t>Jurnal Penelitian Hukum De Jure</w:t>
      </w:r>
      <w:r w:rsidRPr="00D16F3B">
        <w:rPr>
          <w:sz w:val="20"/>
        </w:rPr>
        <w:t xml:space="preserve"> 19, no. 2 (2019): 207.</w:t>
      </w:r>
      <w:r w:rsidRPr="00D16F3B">
        <w:rPr>
          <w:sz w:val="20"/>
        </w:rPr>
        <w:fldChar w:fldCharType="end"/>
      </w:r>
    </w:p>
  </w:footnote>
  <w:footnote w:id="91">
    <w:p w14:paraId="58394379" w14:textId="4022F88F" w:rsidR="001D0259" w:rsidRPr="00D16F3B" w:rsidRDefault="001D0259" w:rsidP="00D16F3B">
      <w:pPr>
        <w:pStyle w:val="FootnoteText"/>
        <w:ind w:left="284" w:hanging="284"/>
        <w:rPr>
          <w:sz w:val="20"/>
        </w:rPr>
      </w:pPr>
      <w:r w:rsidRPr="00D16F3B">
        <w:rPr>
          <w:rStyle w:val="FootnoteReference"/>
          <w:sz w:val="20"/>
        </w:rPr>
        <w:footnoteRef/>
      </w:r>
      <w:r w:rsidRPr="00D16F3B">
        <w:rPr>
          <w:sz w:val="20"/>
        </w:rPr>
        <w:t xml:space="preserve"> </w:t>
      </w:r>
      <w:r w:rsidRPr="00D16F3B">
        <w:rPr>
          <w:sz w:val="20"/>
        </w:rPr>
        <w:tab/>
      </w:r>
      <w:r w:rsidRPr="00D16F3B">
        <w:rPr>
          <w:sz w:val="20"/>
        </w:rPr>
        <w:fldChar w:fldCharType="begin"/>
      </w:r>
      <w:r w:rsidRPr="00D16F3B">
        <w:rPr>
          <w:sz w:val="20"/>
        </w:rPr>
        <w:instrText xml:space="preserve"> ADDIN ZOTERO_ITEM CSL_CITATION {"citationID":"Jkb0NCHQ","properties":{"formattedCitation":"Mosgan Situmorang, \\uc0\\u8220{}Measuring The Effectiveess of Consumer Dispute Resolution on Small Value E-Commerce Transaction,\\uc0\\u8221{} {\\i{}J. Penelit. Huk. Jure} 22, no. 4 (2022): 537.","plainCitation":"Mosgan Situmorang, “Measuring The Effectiveess of Consumer Dispute Resolution on Small Value E-Commerce Transaction,” J. Penelit. Huk. Jure 22, no. 4 (2022): 537.","noteIndex":89},"citationItems":[{"id":6294,"uris":["http://zotero.org/users/4802390/items/FTP76PKB"],"itemData":{"id":6294,"type":"article-journal","container-title":"J. Penelit. Huk. Jure","issue":"4","page":"537","source":"Google Scholar","title":"Measuring The Effectiveess of Consumer Dispute Resolution on Small Value E-Commerce Transaction","volume":"22","author":[{"family":"Situmorang","given":"Mosgan"}],"issued":{"date-parts":[["2022"]]}}}],"schema":"https://github.com/citation-style-language/schema/raw/master/csl-citation.json"} </w:instrText>
      </w:r>
      <w:r w:rsidRPr="00D16F3B">
        <w:rPr>
          <w:sz w:val="20"/>
        </w:rPr>
        <w:fldChar w:fldCharType="separate"/>
      </w:r>
      <w:r w:rsidRPr="00D16F3B">
        <w:rPr>
          <w:sz w:val="20"/>
        </w:rPr>
        <w:t xml:space="preserve">Mosgan Situmorang, “Measuring The Effectiveess of Consumer Dispute Resolution on Small Value E-Commerce Transaction,” </w:t>
      </w:r>
      <w:r w:rsidRPr="00D16F3B">
        <w:rPr>
          <w:i/>
          <w:iCs/>
          <w:sz w:val="20"/>
        </w:rPr>
        <w:t>Jurnal Penelitian Hukum De Jure</w:t>
      </w:r>
      <w:r w:rsidRPr="00D16F3B">
        <w:rPr>
          <w:sz w:val="20"/>
        </w:rPr>
        <w:t xml:space="preserve"> 22, no. 4 (2022): 537.</w:t>
      </w:r>
      <w:r w:rsidRPr="00D16F3B">
        <w:rPr>
          <w:sz w:val="20"/>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02BCD"/>
    <w:multiLevelType w:val="multilevel"/>
    <w:tmpl w:val="3ADECA72"/>
    <w:lvl w:ilvl="0">
      <w:start w:val="1"/>
      <w:numFmt w:val="decimal"/>
      <w:lvlText w:val="%1."/>
      <w:lvlJc w:val="left"/>
      <w:pPr>
        <w:tabs>
          <w:tab w:val="num" w:pos="0"/>
        </w:tabs>
        <w:ind w:left="502"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3975D21"/>
    <w:multiLevelType w:val="hybridMultilevel"/>
    <w:tmpl w:val="0212C218"/>
    <w:lvl w:ilvl="0" w:tplc="99B66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84318B"/>
    <w:multiLevelType w:val="hybridMultilevel"/>
    <w:tmpl w:val="D2C2E110"/>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 w15:restartNumberingAfterBreak="0">
    <w:nsid w:val="45A76D45"/>
    <w:multiLevelType w:val="hybridMultilevel"/>
    <w:tmpl w:val="857A3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D17045"/>
    <w:multiLevelType w:val="multilevel"/>
    <w:tmpl w:val="A216C292"/>
    <w:lvl w:ilvl="0">
      <w:start w:val="1"/>
      <w:numFmt w:val="upperLetter"/>
      <w:pStyle w:val="Subbab"/>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5" w15:restartNumberingAfterBreak="0">
    <w:nsid w:val="51FF62DB"/>
    <w:multiLevelType w:val="multilevel"/>
    <w:tmpl w:val="8A964010"/>
    <w:lvl w:ilvl="0">
      <w:start w:val="1"/>
      <w:numFmt w:val="decimal"/>
      <w:lvlText w:val="%1."/>
      <w:lvlJc w:val="left"/>
      <w:pPr>
        <w:tabs>
          <w:tab w:val="num" w:pos="0"/>
        </w:tabs>
        <w:ind w:left="1080" w:hanging="720"/>
      </w:pPr>
    </w:lvl>
    <w:lvl w:ilvl="1">
      <w:start w:val="1"/>
      <w:numFmt w:val="lowerLetter"/>
      <w:lvlText w:val="%2."/>
      <w:lvlJc w:val="left"/>
      <w:pPr>
        <w:tabs>
          <w:tab w:val="num" w:pos="0"/>
        </w:tabs>
        <w:ind w:left="1575" w:hanging="495"/>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61DD257B"/>
    <w:multiLevelType w:val="hybridMultilevel"/>
    <w:tmpl w:val="7560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FE037F"/>
    <w:multiLevelType w:val="hybridMultilevel"/>
    <w:tmpl w:val="AE68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6A7203"/>
    <w:multiLevelType w:val="multilevel"/>
    <w:tmpl w:val="8608796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68BC30E8"/>
    <w:multiLevelType w:val="hybridMultilevel"/>
    <w:tmpl w:val="8654C41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69146C0C"/>
    <w:multiLevelType w:val="hybridMultilevel"/>
    <w:tmpl w:val="72801B7A"/>
    <w:lvl w:ilvl="0" w:tplc="F7E80E88">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E9646E2"/>
    <w:multiLevelType w:val="multilevel"/>
    <w:tmpl w:val="73203070"/>
    <w:lvl w:ilvl="0">
      <w:start w:val="1"/>
      <w:numFmt w:val="decimal"/>
      <w:lvlText w:val="%1."/>
      <w:lvlJc w:val="left"/>
      <w:pPr>
        <w:tabs>
          <w:tab w:val="num" w:pos="0"/>
        </w:tabs>
        <w:ind w:left="1080" w:hanging="720"/>
      </w:pPr>
      <w:rPr>
        <w:rFonts w:hint="default"/>
      </w:rPr>
    </w:lvl>
    <w:lvl w:ilvl="1">
      <w:start w:val="1"/>
      <w:numFmt w:val="decimal"/>
      <w:lvlText w:val="%2)"/>
      <w:lvlJc w:val="left"/>
      <w:pPr>
        <w:tabs>
          <w:tab w:val="num" w:pos="0"/>
        </w:tabs>
        <w:ind w:left="1440" w:hanging="36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7FA37125"/>
    <w:multiLevelType w:val="hybridMultilevel"/>
    <w:tmpl w:val="F12CE522"/>
    <w:lvl w:ilvl="0" w:tplc="D67CF56C">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1999534742">
    <w:abstractNumId w:val="11"/>
  </w:num>
  <w:num w:numId="2" w16cid:durableId="427965965">
    <w:abstractNumId w:val="4"/>
  </w:num>
  <w:num w:numId="3" w16cid:durableId="145905796">
    <w:abstractNumId w:val="0"/>
  </w:num>
  <w:num w:numId="4" w16cid:durableId="35938171">
    <w:abstractNumId w:val="5"/>
  </w:num>
  <w:num w:numId="5" w16cid:durableId="1526403022">
    <w:abstractNumId w:val="11"/>
    <w:lvlOverride w:ilvl="0">
      <w:startOverride w:val="1"/>
      <w:lvl w:ilvl="0">
        <w:start w:val="1"/>
        <w:numFmt w:val="decimal"/>
        <w:lvlText w:val=""/>
        <w:lvlJc w:val="left"/>
      </w:lvl>
    </w:lvlOverride>
    <w:lvlOverride w:ilvl="1">
      <w:startOverride w:val="1"/>
      <w:lvl w:ilvl="1">
        <w:start w:val="1"/>
        <w:numFmt w:val="lowerLetter"/>
        <w:lvlText w:val="%2."/>
        <w:lvlJc w:val="left"/>
        <w:pPr>
          <w:tabs>
            <w:tab w:val="num" w:pos="0"/>
          </w:tabs>
          <w:ind w:left="1575" w:hanging="495"/>
        </w:pPr>
      </w:lvl>
    </w:lvlOverride>
    <w:lvlOverride w:ilvl="2">
      <w:startOverride w:val="1"/>
      <w:lvl w:ilvl="2">
        <w:start w:val="1"/>
        <w:numFmt w:val="lowerRoman"/>
        <w:lvlText w:val="%3."/>
        <w:lvlJc w:val="right"/>
        <w:pPr>
          <w:tabs>
            <w:tab w:val="num" w:pos="0"/>
          </w:tabs>
          <w:ind w:left="2160" w:hanging="180"/>
        </w:pPr>
      </w:lvl>
    </w:lvlOverride>
    <w:lvlOverride w:ilvl="3">
      <w:startOverride w:val="1"/>
      <w:lvl w:ilvl="3">
        <w:start w:val="1"/>
        <w:numFmt w:val="decimal"/>
        <w:lvlText w:val="%4."/>
        <w:lvlJc w:val="left"/>
        <w:pPr>
          <w:tabs>
            <w:tab w:val="num" w:pos="0"/>
          </w:tabs>
          <w:ind w:left="2880" w:hanging="360"/>
        </w:pPr>
      </w:lvl>
    </w:lvlOverride>
    <w:lvlOverride w:ilvl="4">
      <w:startOverride w:val="1"/>
      <w:lvl w:ilvl="4">
        <w:start w:val="1"/>
        <w:numFmt w:val="lowerLetter"/>
        <w:lvlText w:val="%5."/>
        <w:lvlJc w:val="left"/>
        <w:pPr>
          <w:tabs>
            <w:tab w:val="num" w:pos="0"/>
          </w:tabs>
          <w:ind w:left="3600" w:hanging="360"/>
        </w:pPr>
      </w:lvl>
    </w:lvlOverride>
    <w:lvlOverride w:ilvl="5">
      <w:startOverride w:val="1"/>
      <w:lvl w:ilvl="5">
        <w:start w:val="1"/>
        <w:numFmt w:val="lowerRoman"/>
        <w:lvlText w:val="%6."/>
        <w:lvlJc w:val="right"/>
        <w:pPr>
          <w:tabs>
            <w:tab w:val="num" w:pos="0"/>
          </w:tabs>
          <w:ind w:left="4320" w:hanging="180"/>
        </w:pPr>
      </w:lvl>
    </w:lvlOverride>
    <w:lvlOverride w:ilvl="6">
      <w:startOverride w:val="1"/>
      <w:lvl w:ilvl="6">
        <w:start w:val="1"/>
        <w:numFmt w:val="decimal"/>
        <w:lvlText w:val="%7."/>
        <w:lvlJc w:val="left"/>
        <w:pPr>
          <w:tabs>
            <w:tab w:val="num" w:pos="0"/>
          </w:tabs>
          <w:ind w:left="5040" w:hanging="360"/>
        </w:pPr>
      </w:lvl>
    </w:lvlOverride>
    <w:lvlOverride w:ilvl="7">
      <w:startOverride w:val="1"/>
      <w:lvl w:ilvl="7">
        <w:start w:val="1"/>
        <w:numFmt w:val="lowerLetter"/>
        <w:lvlText w:val="%8."/>
        <w:lvlJc w:val="left"/>
        <w:pPr>
          <w:tabs>
            <w:tab w:val="num" w:pos="0"/>
          </w:tabs>
          <w:ind w:left="5760" w:hanging="360"/>
        </w:pPr>
      </w:lvl>
    </w:lvlOverride>
    <w:lvlOverride w:ilvl="8">
      <w:startOverride w:val="1"/>
      <w:lvl w:ilvl="8">
        <w:start w:val="1"/>
        <w:numFmt w:val="lowerRoman"/>
        <w:lvlText w:val="%9."/>
        <w:lvlJc w:val="right"/>
        <w:pPr>
          <w:tabs>
            <w:tab w:val="num" w:pos="0"/>
          </w:tabs>
          <w:ind w:left="6480" w:hanging="180"/>
        </w:pPr>
      </w:lvl>
    </w:lvlOverride>
  </w:num>
  <w:num w:numId="6" w16cid:durableId="1774475512">
    <w:abstractNumId w:val="11"/>
  </w:num>
  <w:num w:numId="7" w16cid:durableId="19693117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74762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9430003">
    <w:abstractNumId w:val="12"/>
  </w:num>
  <w:num w:numId="10" w16cid:durableId="1414399455">
    <w:abstractNumId w:val="8"/>
  </w:num>
  <w:num w:numId="11" w16cid:durableId="1843423001">
    <w:abstractNumId w:val="10"/>
  </w:num>
  <w:num w:numId="12" w16cid:durableId="13558408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2368752">
    <w:abstractNumId w:val="7"/>
  </w:num>
  <w:num w:numId="14" w16cid:durableId="1164278009">
    <w:abstractNumId w:val="3"/>
  </w:num>
  <w:num w:numId="15" w16cid:durableId="126438747">
    <w:abstractNumId w:val="6"/>
  </w:num>
  <w:num w:numId="16" w16cid:durableId="1570769745">
    <w:abstractNumId w:val="1"/>
  </w:num>
  <w:num w:numId="17" w16cid:durableId="789130170">
    <w:abstractNumId w:val="2"/>
  </w:num>
  <w:num w:numId="18" w16cid:durableId="839084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autoHyphenation/>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OxNDY1MjA1t7A0MjBX0lEKTi0uzszPAykwrwUArnYQJywAAAA="/>
  </w:docVars>
  <w:rsids>
    <w:rsidRoot w:val="00864FF8"/>
    <w:rsid w:val="000030F0"/>
    <w:rsid w:val="00003217"/>
    <w:rsid w:val="00005087"/>
    <w:rsid w:val="00010522"/>
    <w:rsid w:val="00013DA6"/>
    <w:rsid w:val="0001574B"/>
    <w:rsid w:val="00027810"/>
    <w:rsid w:val="00036BB6"/>
    <w:rsid w:val="00037FC5"/>
    <w:rsid w:val="00043924"/>
    <w:rsid w:val="00074A1A"/>
    <w:rsid w:val="000941D3"/>
    <w:rsid w:val="00096CC2"/>
    <w:rsid w:val="00097D83"/>
    <w:rsid w:val="000A0E69"/>
    <w:rsid w:val="000A618A"/>
    <w:rsid w:val="000D051A"/>
    <w:rsid w:val="000E5538"/>
    <w:rsid w:val="000F28B0"/>
    <w:rsid w:val="000F5B20"/>
    <w:rsid w:val="00106651"/>
    <w:rsid w:val="00111FE2"/>
    <w:rsid w:val="00117CFE"/>
    <w:rsid w:val="001210C5"/>
    <w:rsid w:val="00130B33"/>
    <w:rsid w:val="00130F0D"/>
    <w:rsid w:val="00135722"/>
    <w:rsid w:val="0015192B"/>
    <w:rsid w:val="00154FC7"/>
    <w:rsid w:val="001570E7"/>
    <w:rsid w:val="00167FB7"/>
    <w:rsid w:val="001771D5"/>
    <w:rsid w:val="0017747B"/>
    <w:rsid w:val="00181F42"/>
    <w:rsid w:val="0018221F"/>
    <w:rsid w:val="00194DE4"/>
    <w:rsid w:val="00195B5B"/>
    <w:rsid w:val="001A354C"/>
    <w:rsid w:val="001A38FE"/>
    <w:rsid w:val="001B0460"/>
    <w:rsid w:val="001D0259"/>
    <w:rsid w:val="001E12FD"/>
    <w:rsid w:val="001E27E6"/>
    <w:rsid w:val="001F00AA"/>
    <w:rsid w:val="001F09ED"/>
    <w:rsid w:val="00207E80"/>
    <w:rsid w:val="00214A4B"/>
    <w:rsid w:val="00217654"/>
    <w:rsid w:val="00231380"/>
    <w:rsid w:val="002343C6"/>
    <w:rsid w:val="002368F1"/>
    <w:rsid w:val="00244EFA"/>
    <w:rsid w:val="00254473"/>
    <w:rsid w:val="002638B2"/>
    <w:rsid w:val="00263D13"/>
    <w:rsid w:val="002651B0"/>
    <w:rsid w:val="00272CEE"/>
    <w:rsid w:val="00275EB7"/>
    <w:rsid w:val="00286499"/>
    <w:rsid w:val="002927C9"/>
    <w:rsid w:val="002961BD"/>
    <w:rsid w:val="002B2CC0"/>
    <w:rsid w:val="002C7F49"/>
    <w:rsid w:val="002D2388"/>
    <w:rsid w:val="0032259B"/>
    <w:rsid w:val="00331715"/>
    <w:rsid w:val="00337C17"/>
    <w:rsid w:val="003531C7"/>
    <w:rsid w:val="00363C17"/>
    <w:rsid w:val="00373C2B"/>
    <w:rsid w:val="00382A80"/>
    <w:rsid w:val="003A2926"/>
    <w:rsid w:val="003A7F2D"/>
    <w:rsid w:val="003B0B09"/>
    <w:rsid w:val="003B4505"/>
    <w:rsid w:val="003C4769"/>
    <w:rsid w:val="003C4F3F"/>
    <w:rsid w:val="003E4F42"/>
    <w:rsid w:val="003E7A32"/>
    <w:rsid w:val="003F2810"/>
    <w:rsid w:val="003F5956"/>
    <w:rsid w:val="004061C4"/>
    <w:rsid w:val="00425220"/>
    <w:rsid w:val="00433B0E"/>
    <w:rsid w:val="00435769"/>
    <w:rsid w:val="00447413"/>
    <w:rsid w:val="004521BB"/>
    <w:rsid w:val="004622B9"/>
    <w:rsid w:val="00481E4D"/>
    <w:rsid w:val="00483E4E"/>
    <w:rsid w:val="00485DFB"/>
    <w:rsid w:val="0049000B"/>
    <w:rsid w:val="004A03D0"/>
    <w:rsid w:val="004B4B55"/>
    <w:rsid w:val="004B70C3"/>
    <w:rsid w:val="004C4297"/>
    <w:rsid w:val="004E7062"/>
    <w:rsid w:val="004E7085"/>
    <w:rsid w:val="005003F7"/>
    <w:rsid w:val="00504C9B"/>
    <w:rsid w:val="00515700"/>
    <w:rsid w:val="0052140A"/>
    <w:rsid w:val="005214B9"/>
    <w:rsid w:val="00530E28"/>
    <w:rsid w:val="0053193C"/>
    <w:rsid w:val="00540743"/>
    <w:rsid w:val="00546280"/>
    <w:rsid w:val="00550CCD"/>
    <w:rsid w:val="0056273A"/>
    <w:rsid w:val="00572C05"/>
    <w:rsid w:val="0057499B"/>
    <w:rsid w:val="00576C4F"/>
    <w:rsid w:val="00596397"/>
    <w:rsid w:val="0059708D"/>
    <w:rsid w:val="005A1487"/>
    <w:rsid w:val="005A1A6B"/>
    <w:rsid w:val="005A222C"/>
    <w:rsid w:val="005A23CB"/>
    <w:rsid w:val="005B07E9"/>
    <w:rsid w:val="005B3D26"/>
    <w:rsid w:val="005E0ADA"/>
    <w:rsid w:val="005E7947"/>
    <w:rsid w:val="005F3940"/>
    <w:rsid w:val="00601D98"/>
    <w:rsid w:val="0060217C"/>
    <w:rsid w:val="00603A3B"/>
    <w:rsid w:val="00604AB4"/>
    <w:rsid w:val="00607475"/>
    <w:rsid w:val="006230A5"/>
    <w:rsid w:val="00626FB9"/>
    <w:rsid w:val="006318A2"/>
    <w:rsid w:val="00660940"/>
    <w:rsid w:val="006675E8"/>
    <w:rsid w:val="006835E0"/>
    <w:rsid w:val="00684433"/>
    <w:rsid w:val="00690396"/>
    <w:rsid w:val="006A464F"/>
    <w:rsid w:val="006A7093"/>
    <w:rsid w:val="006A71C9"/>
    <w:rsid w:val="006D0BD2"/>
    <w:rsid w:val="006D1E98"/>
    <w:rsid w:val="006D28E8"/>
    <w:rsid w:val="007109EF"/>
    <w:rsid w:val="00715C10"/>
    <w:rsid w:val="007521BC"/>
    <w:rsid w:val="00754506"/>
    <w:rsid w:val="00763E1F"/>
    <w:rsid w:val="007713EF"/>
    <w:rsid w:val="00773C33"/>
    <w:rsid w:val="0078506B"/>
    <w:rsid w:val="007A0614"/>
    <w:rsid w:val="007A5859"/>
    <w:rsid w:val="007A5D37"/>
    <w:rsid w:val="007C18D9"/>
    <w:rsid w:val="007C40BF"/>
    <w:rsid w:val="007C5A35"/>
    <w:rsid w:val="007E6558"/>
    <w:rsid w:val="007F1197"/>
    <w:rsid w:val="008020DE"/>
    <w:rsid w:val="00812E28"/>
    <w:rsid w:val="008235BE"/>
    <w:rsid w:val="0082382D"/>
    <w:rsid w:val="00824BAD"/>
    <w:rsid w:val="0082646B"/>
    <w:rsid w:val="00835B37"/>
    <w:rsid w:val="0083650C"/>
    <w:rsid w:val="00840097"/>
    <w:rsid w:val="00841CF8"/>
    <w:rsid w:val="00847932"/>
    <w:rsid w:val="008509C7"/>
    <w:rsid w:val="008518F5"/>
    <w:rsid w:val="00864FF8"/>
    <w:rsid w:val="00873C94"/>
    <w:rsid w:val="00874375"/>
    <w:rsid w:val="00874F2C"/>
    <w:rsid w:val="008C4A18"/>
    <w:rsid w:val="008C798F"/>
    <w:rsid w:val="008D2AAC"/>
    <w:rsid w:val="008D3440"/>
    <w:rsid w:val="008D36B9"/>
    <w:rsid w:val="008F1F44"/>
    <w:rsid w:val="008F60ED"/>
    <w:rsid w:val="008F78D7"/>
    <w:rsid w:val="009009B3"/>
    <w:rsid w:val="00904D41"/>
    <w:rsid w:val="00912538"/>
    <w:rsid w:val="00912B60"/>
    <w:rsid w:val="00930C4D"/>
    <w:rsid w:val="00944C3E"/>
    <w:rsid w:val="00946725"/>
    <w:rsid w:val="0096531C"/>
    <w:rsid w:val="00966005"/>
    <w:rsid w:val="00992549"/>
    <w:rsid w:val="009A1C12"/>
    <w:rsid w:val="009A21EA"/>
    <w:rsid w:val="009C088D"/>
    <w:rsid w:val="009D53CA"/>
    <w:rsid w:val="009F18AD"/>
    <w:rsid w:val="00A07479"/>
    <w:rsid w:val="00A34340"/>
    <w:rsid w:val="00A507C5"/>
    <w:rsid w:val="00A574A2"/>
    <w:rsid w:val="00A60A0B"/>
    <w:rsid w:val="00A75092"/>
    <w:rsid w:val="00A902A4"/>
    <w:rsid w:val="00AA6F97"/>
    <w:rsid w:val="00AA75B1"/>
    <w:rsid w:val="00AA7A77"/>
    <w:rsid w:val="00AC3260"/>
    <w:rsid w:val="00AC6ECD"/>
    <w:rsid w:val="00AC7B30"/>
    <w:rsid w:val="00AD5DD7"/>
    <w:rsid w:val="00AD5E25"/>
    <w:rsid w:val="00AE00F8"/>
    <w:rsid w:val="00AE70F9"/>
    <w:rsid w:val="00AF06D4"/>
    <w:rsid w:val="00B16151"/>
    <w:rsid w:val="00B35114"/>
    <w:rsid w:val="00B64562"/>
    <w:rsid w:val="00B747C3"/>
    <w:rsid w:val="00B849C9"/>
    <w:rsid w:val="00B857A5"/>
    <w:rsid w:val="00B9137D"/>
    <w:rsid w:val="00B92045"/>
    <w:rsid w:val="00B9483D"/>
    <w:rsid w:val="00BC3971"/>
    <w:rsid w:val="00BD2BEA"/>
    <w:rsid w:val="00BD53D7"/>
    <w:rsid w:val="00BE58BD"/>
    <w:rsid w:val="00BE66A1"/>
    <w:rsid w:val="00BF390F"/>
    <w:rsid w:val="00C02651"/>
    <w:rsid w:val="00C1038C"/>
    <w:rsid w:val="00C111BF"/>
    <w:rsid w:val="00C1190A"/>
    <w:rsid w:val="00C17BC1"/>
    <w:rsid w:val="00C223EF"/>
    <w:rsid w:val="00C227B2"/>
    <w:rsid w:val="00C230A5"/>
    <w:rsid w:val="00C23589"/>
    <w:rsid w:val="00C43551"/>
    <w:rsid w:val="00C51D67"/>
    <w:rsid w:val="00C53C7A"/>
    <w:rsid w:val="00C62A25"/>
    <w:rsid w:val="00C74488"/>
    <w:rsid w:val="00C833B0"/>
    <w:rsid w:val="00C8491D"/>
    <w:rsid w:val="00C9514C"/>
    <w:rsid w:val="00C96BC2"/>
    <w:rsid w:val="00CB1BBD"/>
    <w:rsid w:val="00CC5904"/>
    <w:rsid w:val="00CC7B7A"/>
    <w:rsid w:val="00CD2D49"/>
    <w:rsid w:val="00CE01B1"/>
    <w:rsid w:val="00D018D8"/>
    <w:rsid w:val="00D16F3B"/>
    <w:rsid w:val="00D3242E"/>
    <w:rsid w:val="00D358C9"/>
    <w:rsid w:val="00D63519"/>
    <w:rsid w:val="00D769AA"/>
    <w:rsid w:val="00D77CAD"/>
    <w:rsid w:val="00D94C6B"/>
    <w:rsid w:val="00D9699E"/>
    <w:rsid w:val="00DA087E"/>
    <w:rsid w:val="00DA2357"/>
    <w:rsid w:val="00DB5040"/>
    <w:rsid w:val="00DE2CAD"/>
    <w:rsid w:val="00DF1100"/>
    <w:rsid w:val="00DF2A85"/>
    <w:rsid w:val="00E07BE9"/>
    <w:rsid w:val="00E10FCA"/>
    <w:rsid w:val="00E24E86"/>
    <w:rsid w:val="00E250B2"/>
    <w:rsid w:val="00E27533"/>
    <w:rsid w:val="00E30187"/>
    <w:rsid w:val="00E47DF7"/>
    <w:rsid w:val="00E577AD"/>
    <w:rsid w:val="00E74827"/>
    <w:rsid w:val="00E7530A"/>
    <w:rsid w:val="00E76DFE"/>
    <w:rsid w:val="00E856FF"/>
    <w:rsid w:val="00E97E7C"/>
    <w:rsid w:val="00EA4B5A"/>
    <w:rsid w:val="00EB65CB"/>
    <w:rsid w:val="00EC16CB"/>
    <w:rsid w:val="00EC2E07"/>
    <w:rsid w:val="00EC39A1"/>
    <w:rsid w:val="00EC3A7B"/>
    <w:rsid w:val="00EC4703"/>
    <w:rsid w:val="00ED4507"/>
    <w:rsid w:val="00EE5F98"/>
    <w:rsid w:val="00F03803"/>
    <w:rsid w:val="00F05306"/>
    <w:rsid w:val="00F14A25"/>
    <w:rsid w:val="00F276E6"/>
    <w:rsid w:val="00F322E5"/>
    <w:rsid w:val="00F367F9"/>
    <w:rsid w:val="00F44D39"/>
    <w:rsid w:val="00F7111A"/>
    <w:rsid w:val="00F71F12"/>
    <w:rsid w:val="00F7491D"/>
    <w:rsid w:val="00F8066A"/>
    <w:rsid w:val="00F852B5"/>
    <w:rsid w:val="00FA5643"/>
    <w:rsid w:val="00FC31FF"/>
    <w:rsid w:val="00FC7E14"/>
    <w:rsid w:val="00FD0F7A"/>
    <w:rsid w:val="00FE1E6E"/>
    <w:rsid w:val="00FE31D7"/>
    <w:rsid w:val="00FE7B1F"/>
    <w:rsid w:val="00FF266D"/>
    <w:rsid w:val="00FF3A1B"/>
  </w:rsids>
  <m:mathPr>
    <m:mathFont m:val="Cambria Math"/>
    <m:brkBin m:val="before"/>
    <m:brkBinSub m:val="--"/>
    <m:smallFrac m:val="0"/>
    <m:dispDef/>
    <m:lMargin m:val="0"/>
    <m:rMargin m:val="0"/>
    <m:defJc m:val="centerGroup"/>
    <m:wrapIndent m:val="1440"/>
    <m:intLim m:val="subSup"/>
    <m:naryLim m:val="undOvr"/>
  </m:mathPr>
  <w:themeFontLang w:val="en-GB"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C45FAF"/>
  <w15:docId w15:val="{AD3B3814-0297-4101-BEE4-556E53BB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66D"/>
    <w:pPr>
      <w:spacing w:after="120"/>
      <w:ind w:firstLine="284"/>
      <w:contextualSpacing/>
      <w:jc w:val="both"/>
    </w:pPr>
    <w:rPr>
      <w:rFonts w:ascii="Times New Roman" w:hAnsi="Times New Roman"/>
      <w:sz w:val="22"/>
      <w:lang w:val="en-US" w:eastAsia="en-US"/>
    </w:rPr>
  </w:style>
  <w:style w:type="paragraph" w:styleId="Heading1">
    <w:name w:val="heading 1"/>
    <w:basedOn w:val="Normal"/>
    <w:next w:val="Normal"/>
    <w:link w:val="Heading1Char"/>
    <w:uiPriority w:val="9"/>
    <w:qFormat/>
    <w:rsid w:val="00530E28"/>
    <w:pPr>
      <w:numPr>
        <w:numId w:val="10"/>
      </w:numPr>
      <w:spacing w:after="0" w:line="276" w:lineRule="auto"/>
      <w:outlineLvl w:val="0"/>
    </w:pPr>
    <w:rPr>
      <w:b/>
      <w:bCs/>
      <w:sz w:val="24"/>
      <w:szCs w:val="24"/>
      <w:lang w:val="en-ID"/>
    </w:rPr>
  </w:style>
  <w:style w:type="paragraph" w:styleId="Heading2">
    <w:name w:val="heading 2"/>
    <w:basedOn w:val="Heading1"/>
    <w:next w:val="Normal"/>
    <w:link w:val="Heading2Char"/>
    <w:uiPriority w:val="9"/>
    <w:unhideWhenUsed/>
    <w:qFormat/>
    <w:rsid w:val="006318A2"/>
    <w:pPr>
      <w:numPr>
        <w:ilvl w:val="1"/>
      </w:numPr>
      <w:outlineLvl w:val="1"/>
    </w:pPr>
  </w:style>
  <w:style w:type="paragraph" w:styleId="Heading3">
    <w:name w:val="heading 3"/>
    <w:basedOn w:val="Heading2"/>
    <w:next w:val="Normal"/>
    <w:link w:val="Heading3Char"/>
    <w:uiPriority w:val="9"/>
    <w:unhideWhenUsed/>
    <w:qFormat/>
    <w:rsid w:val="006318A2"/>
    <w:pPr>
      <w:numPr>
        <w:ilvl w:val="2"/>
      </w:numPr>
      <w:outlineLvl w:val="2"/>
    </w:pPr>
    <w:rPr>
      <w:sz w:val="22"/>
      <w:szCs w:val="22"/>
    </w:rPr>
  </w:style>
  <w:style w:type="paragraph" w:styleId="Heading4">
    <w:name w:val="heading 4"/>
    <w:basedOn w:val="Normal"/>
    <w:next w:val="Normal"/>
    <w:link w:val="Heading4Char"/>
    <w:uiPriority w:val="9"/>
    <w:unhideWhenUsed/>
    <w:rsid w:val="00FE1E6E"/>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E6E"/>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1E6E"/>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1E6E"/>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1E6E"/>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1E6E"/>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1 Char,Footnote Text Char Char Char,Footnote Text Char Char Char Char Char Char,Footnote Text Char Char Char Char Char Char Char Char Char,Footnote Text Char Char Char Char Char Char Char Char Char Char Char Char Char Char Char"/>
    <w:basedOn w:val="DefaultParagraphFont"/>
    <w:link w:val="FootnoteText"/>
    <w:uiPriority w:val="99"/>
    <w:qFormat/>
    <w:rsid w:val="00F46757"/>
  </w:style>
  <w:style w:type="character" w:customStyle="1" w:styleId="FootnoteCharacters">
    <w:name w:val="Footnote Characters"/>
    <w:uiPriority w:val="99"/>
    <w:unhideWhenUsed/>
    <w:qFormat/>
    <w:rsid w:val="00F46757"/>
    <w:rPr>
      <w:vertAlign w:val="superscript"/>
    </w:rPr>
  </w:style>
  <w:style w:type="character" w:customStyle="1" w:styleId="FootnoteAnchor">
    <w:name w:val="Footnote Anchor"/>
    <w:rPr>
      <w:vertAlign w:val="superscript"/>
    </w:rPr>
  </w:style>
  <w:style w:type="character" w:styleId="Hyperlink">
    <w:name w:val="Hyperlink"/>
    <w:uiPriority w:val="99"/>
    <w:unhideWhenUsed/>
    <w:rsid w:val="00977A42"/>
    <w:rPr>
      <w:color w:val="0563C1"/>
      <w:u w:val="single"/>
    </w:rPr>
  </w:style>
  <w:style w:type="character" w:styleId="CommentReference">
    <w:name w:val="annotation reference"/>
    <w:uiPriority w:val="99"/>
    <w:semiHidden/>
    <w:unhideWhenUsed/>
    <w:qFormat/>
    <w:rsid w:val="005124CA"/>
    <w:rPr>
      <w:sz w:val="16"/>
      <w:szCs w:val="16"/>
    </w:rPr>
  </w:style>
  <w:style w:type="character" w:customStyle="1" w:styleId="CommentTextChar">
    <w:name w:val="Comment Text Char"/>
    <w:basedOn w:val="DefaultParagraphFont"/>
    <w:link w:val="CommentText"/>
    <w:uiPriority w:val="99"/>
    <w:qFormat/>
    <w:rsid w:val="005124CA"/>
  </w:style>
  <w:style w:type="character" w:customStyle="1" w:styleId="CommentSubjectChar">
    <w:name w:val="Comment Subject Char"/>
    <w:link w:val="CommentSubject"/>
    <w:uiPriority w:val="99"/>
    <w:semiHidden/>
    <w:qFormat/>
    <w:rsid w:val="005124CA"/>
    <w:rPr>
      <w:b/>
      <w:bCs/>
    </w:rPr>
  </w:style>
  <w:style w:type="character" w:customStyle="1" w:styleId="BalloonTextChar">
    <w:name w:val="Balloon Text Char"/>
    <w:link w:val="BalloonText"/>
    <w:uiPriority w:val="99"/>
    <w:semiHidden/>
    <w:qFormat/>
    <w:rsid w:val="005124CA"/>
    <w:rPr>
      <w:rFonts w:ascii="Tahoma" w:hAnsi="Tahoma" w:cs="Tahoma"/>
      <w:sz w:val="16"/>
      <w:szCs w:val="16"/>
    </w:rPr>
  </w:style>
  <w:style w:type="character" w:styleId="UnresolvedMention">
    <w:name w:val="Unresolved Mention"/>
    <w:uiPriority w:val="99"/>
    <w:semiHidden/>
    <w:unhideWhenUsed/>
    <w:qFormat/>
    <w:rsid w:val="00F74134"/>
    <w:rPr>
      <w:color w:val="605E5C"/>
      <w:shd w:val="clear" w:color="auto" w:fill="E1DFDD"/>
    </w:rPr>
  </w:style>
  <w:style w:type="character" w:customStyle="1" w:styleId="Heading1Char">
    <w:name w:val="Heading 1 Char"/>
    <w:basedOn w:val="DefaultParagraphFont"/>
    <w:link w:val="Heading1"/>
    <w:uiPriority w:val="9"/>
    <w:qFormat/>
    <w:rsid w:val="00530E28"/>
    <w:rPr>
      <w:rFonts w:ascii="Times New Roman" w:hAnsi="Times New Roman"/>
      <w:b/>
      <w:bCs/>
      <w:sz w:val="24"/>
      <w:szCs w:val="24"/>
      <w:lang w:val="en-ID" w:eastAsia="en-US"/>
    </w:rPr>
  </w:style>
  <w:style w:type="character" w:customStyle="1" w:styleId="CatatanKakiChar">
    <w:name w:val="Catatan Kaki Char"/>
    <w:basedOn w:val="DefaultParagraphFont"/>
    <w:link w:val="CatatanKaki"/>
    <w:qFormat/>
    <w:rsid w:val="0070515F"/>
    <w:rPr>
      <w:rFonts w:ascii="Times New Roman" w:eastAsiaTheme="minorHAnsi" w:hAnsi="Times New Roman"/>
      <w:lang w:val="en-ID" w:eastAsia="en-US"/>
    </w:rPr>
  </w:style>
  <w:style w:type="character" w:customStyle="1" w:styleId="TitleChar">
    <w:name w:val="Title Char"/>
    <w:basedOn w:val="DefaultParagraphFont"/>
    <w:link w:val="Title"/>
    <w:uiPriority w:val="10"/>
    <w:qFormat/>
    <w:rsid w:val="00575D1E"/>
    <w:rPr>
      <w:rFonts w:ascii="Times New Roman" w:hAnsi="Times New Roman"/>
      <w:i/>
      <w:sz w:val="48"/>
      <w:szCs w:val="48"/>
      <w:lang w:val="en-US" w:eastAsia="en-US"/>
    </w:rPr>
  </w:style>
  <w:style w:type="character" w:customStyle="1" w:styleId="JudulArtikelChar">
    <w:name w:val="Judul Artikel Char"/>
    <w:basedOn w:val="DefaultParagraphFont"/>
    <w:link w:val="JudulArtikel"/>
    <w:qFormat/>
    <w:rsid w:val="007D5AA7"/>
    <w:rPr>
      <w:rFonts w:ascii="Times New Roman" w:eastAsiaTheme="minorHAnsi" w:hAnsi="Times New Roman"/>
      <w:b/>
      <w:bCs/>
      <w:sz w:val="26"/>
      <w:szCs w:val="26"/>
      <w:lang w:val="en-ID" w:eastAsia="en-US"/>
    </w:rPr>
  </w:style>
  <w:style w:type="character" w:customStyle="1" w:styleId="ParagrafChar">
    <w:name w:val="Paragraf Char"/>
    <w:basedOn w:val="DefaultParagraphFont"/>
    <w:link w:val="Paragraf"/>
    <w:qFormat/>
    <w:rsid w:val="007D5AA7"/>
    <w:rPr>
      <w:rFonts w:ascii="Times New Roman" w:eastAsiaTheme="minorHAnsi" w:hAnsi="Times New Roman"/>
      <w:sz w:val="22"/>
      <w:szCs w:val="22"/>
      <w:lang w:val="en-ID" w:eastAsia="en-US"/>
    </w:rPr>
  </w:style>
  <w:style w:type="character" w:customStyle="1" w:styleId="SubbabChar">
    <w:name w:val="Subbab Char"/>
    <w:basedOn w:val="DefaultParagraphFont"/>
    <w:link w:val="Subbab"/>
    <w:qFormat/>
    <w:rsid w:val="00D51AB5"/>
    <w:rPr>
      <w:rFonts w:ascii="Times New Roman" w:eastAsia="Times New Roman" w:hAnsi="Times New Roman"/>
      <w:b/>
      <w:bCs/>
      <w:sz w:val="22"/>
      <w:szCs w:val="22"/>
      <w:lang w:eastAsia="en-US"/>
    </w:rPr>
  </w:style>
  <w:style w:type="character" w:customStyle="1" w:styleId="Heading2Char">
    <w:name w:val="Heading 2 Char"/>
    <w:basedOn w:val="DefaultParagraphFont"/>
    <w:link w:val="Heading2"/>
    <w:uiPriority w:val="9"/>
    <w:qFormat/>
    <w:rsid w:val="006318A2"/>
    <w:rPr>
      <w:rFonts w:ascii="Times New Roman" w:hAnsi="Times New Roman"/>
      <w:b/>
      <w:bCs/>
      <w:sz w:val="24"/>
      <w:szCs w:val="24"/>
      <w:lang w:val="en-ID" w:eastAsia="en-US"/>
    </w:rPr>
  </w:style>
  <w:style w:type="character" w:customStyle="1" w:styleId="Heading3Char">
    <w:name w:val="Heading 3 Char"/>
    <w:basedOn w:val="DefaultParagraphFont"/>
    <w:link w:val="Heading3"/>
    <w:uiPriority w:val="9"/>
    <w:qFormat/>
    <w:rsid w:val="006318A2"/>
    <w:rPr>
      <w:rFonts w:ascii="Times New Roman" w:hAnsi="Times New Roman"/>
      <w:b/>
      <w:bCs/>
      <w:sz w:val="22"/>
      <w:szCs w:val="22"/>
      <w:lang w:val="en-ID" w:eastAsia="en-US"/>
    </w:rPr>
  </w:style>
  <w:style w:type="character" w:customStyle="1" w:styleId="AbstractContentChar">
    <w:name w:val="Abstract Content Char"/>
    <w:basedOn w:val="DefaultParagraphFont"/>
    <w:link w:val="AbstractContent"/>
    <w:qFormat/>
    <w:rsid w:val="00952EA7"/>
    <w:rPr>
      <w:rFonts w:ascii="Times New Roman" w:hAnsi="Times New Roman"/>
      <w:sz w:val="22"/>
      <w:szCs w:val="22"/>
      <w:lang w:val="en-US" w:eastAsia="en-US"/>
    </w:rPr>
  </w:style>
  <w:style w:type="character" w:customStyle="1" w:styleId="Level1ContentChar">
    <w:name w:val="Level 1 Content Char"/>
    <w:basedOn w:val="DefaultParagraphFont"/>
    <w:link w:val="Level1Content"/>
    <w:qFormat/>
    <w:rsid w:val="006318A2"/>
    <w:rPr>
      <w:rFonts w:ascii="Times New Roman" w:hAnsi="Times New Roman"/>
      <w:sz w:val="22"/>
      <w:szCs w:val="22"/>
      <w:lang w:val="en-ID" w:eastAsia="en-US"/>
    </w:rPr>
  </w:style>
  <w:style w:type="character" w:customStyle="1" w:styleId="Level2ContentChar">
    <w:name w:val="Level 2 Content Char"/>
    <w:basedOn w:val="Level1ContentChar"/>
    <w:link w:val="Level2Content"/>
    <w:qFormat/>
    <w:rsid w:val="006318A2"/>
    <w:rPr>
      <w:rFonts w:ascii="Times New Roman" w:hAnsi="Times New Roman"/>
      <w:sz w:val="22"/>
      <w:szCs w:val="22"/>
      <w:lang w:val="en-ID" w:eastAsia="en-US"/>
    </w:rPr>
  </w:style>
  <w:style w:type="character" w:customStyle="1" w:styleId="Level3ContentChar">
    <w:name w:val="Level 3 Content Char"/>
    <w:basedOn w:val="DefaultParagraphFont"/>
    <w:link w:val="Level3Content"/>
    <w:qFormat/>
    <w:rsid w:val="006318A2"/>
    <w:rPr>
      <w:rFonts w:ascii="Times New Roman" w:hAnsi="Times New Roman"/>
      <w:sz w:val="22"/>
      <w:szCs w:val="22"/>
      <w:lang w:val="en-ID" w:eastAsia="en-US"/>
    </w:rPr>
  </w:style>
  <w:style w:type="character" w:customStyle="1" w:styleId="EndnoteTextChar">
    <w:name w:val="Endnote Text Char"/>
    <w:basedOn w:val="DefaultParagraphFont"/>
    <w:link w:val="EndnoteText"/>
    <w:uiPriority w:val="99"/>
    <w:semiHidden/>
    <w:qFormat/>
    <w:rsid w:val="00B73C38"/>
    <w:rPr>
      <w:rFonts w:ascii="Times New Roman" w:hAnsi="Times New Roman"/>
      <w:lang w:val="en-US" w:eastAsia="en-US"/>
    </w:rPr>
  </w:style>
  <w:style w:type="character" w:customStyle="1" w:styleId="EndnoteCharacters">
    <w:name w:val="Endnote Characters"/>
    <w:basedOn w:val="DefaultParagraphFont"/>
    <w:uiPriority w:val="99"/>
    <w:semiHidden/>
    <w:unhideWhenUsed/>
    <w:qFormat/>
    <w:rsid w:val="00B73C38"/>
    <w:rPr>
      <w:vertAlign w:val="superscript"/>
    </w:rPr>
  </w:style>
  <w:style w:type="character" w:customStyle="1" w:styleId="EndnoteAnchor">
    <w:name w:val="Endnote Anchor"/>
    <w:rPr>
      <w:vertAlign w:val="superscript"/>
    </w:rPr>
  </w:style>
  <w:style w:type="character" w:customStyle="1" w:styleId="ReferencesChar">
    <w:name w:val="References Char"/>
    <w:basedOn w:val="DefaultParagraphFont"/>
    <w:link w:val="References"/>
    <w:qFormat/>
    <w:rsid w:val="00D45BFE"/>
    <w:rPr>
      <w:rFonts w:ascii="Times New Roman" w:hAnsi="Times New Roman"/>
      <w:sz w:val="22"/>
      <w:szCs w:val="28"/>
      <w:lang w:val="en-US" w:eastAsia="en-US"/>
    </w:rPr>
  </w:style>
  <w:style w:type="character" w:customStyle="1" w:styleId="HeaderChar">
    <w:name w:val="Header Char"/>
    <w:basedOn w:val="DefaultParagraphFont"/>
    <w:link w:val="Header"/>
    <w:uiPriority w:val="99"/>
    <w:qFormat/>
    <w:rsid w:val="008556E8"/>
    <w:rPr>
      <w:rFonts w:ascii="Times New Roman" w:hAnsi="Times New Roman"/>
      <w:sz w:val="22"/>
      <w:lang w:val="en-US" w:eastAsia="en-US"/>
    </w:rPr>
  </w:style>
  <w:style w:type="character" w:customStyle="1" w:styleId="FooterChar">
    <w:name w:val="Footer Char"/>
    <w:basedOn w:val="DefaultParagraphFont"/>
    <w:link w:val="Footer"/>
    <w:uiPriority w:val="99"/>
    <w:qFormat/>
    <w:rsid w:val="008556E8"/>
    <w:rPr>
      <w:rFonts w:ascii="Times New Roman" w:hAnsi="Times New Roman"/>
      <w:sz w:val="22"/>
      <w:lang w:val="en-US" w:eastAsia="en-US"/>
    </w:rPr>
  </w:style>
  <w:style w:type="character" w:customStyle="1" w:styleId="LineNumbering">
    <w:name w:val="Line Numbering"/>
  </w:style>
  <w:style w:type="paragraph" w:customStyle="1" w:styleId="Heading">
    <w:name w:val="Heading"/>
    <w:basedOn w:val="Normal"/>
    <w:next w:val="BodyText"/>
    <w:qFormat/>
    <w:pPr>
      <w:keepNext/>
      <w:spacing w:before="240"/>
      <w:contextualSpacing w:val="0"/>
    </w:pPr>
    <w:rPr>
      <w:rFonts w:ascii="Liberation Sans" w:eastAsia="Microsoft YaHei" w:hAnsi="Liberation Sans" w:cs="Lucida Sans"/>
      <w:sz w:val="28"/>
      <w:szCs w:val="28"/>
    </w:rPr>
  </w:style>
  <w:style w:type="paragraph" w:styleId="BodyText">
    <w:name w:val="Body Text"/>
    <w:basedOn w:val="Normal"/>
    <w:pPr>
      <w:spacing w:after="140" w:line="276" w:lineRule="auto"/>
      <w:contextualSpacing w:val="0"/>
    </w:pPr>
  </w:style>
  <w:style w:type="paragraph" w:styleId="List">
    <w:name w:val="List"/>
    <w:basedOn w:val="BodyText"/>
    <w:rPr>
      <w:rFonts w:cs="Lucida Sans"/>
    </w:rPr>
  </w:style>
  <w:style w:type="paragraph" w:styleId="Caption">
    <w:name w:val="caption"/>
    <w:basedOn w:val="Normal"/>
    <w:qFormat/>
    <w:pPr>
      <w:suppressLineNumbers/>
      <w:spacing w:before="120"/>
      <w:contextualSpacing w:val="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link w:val="ListParagraphChar"/>
    <w:uiPriority w:val="34"/>
    <w:qFormat/>
    <w:rsid w:val="004C6AD1"/>
    <w:pPr>
      <w:ind w:left="720"/>
    </w:pPr>
  </w:style>
  <w:style w:type="paragraph" w:styleId="FootnoteText">
    <w:name w:val="footnote text"/>
    <w:aliases w:val="Char1,Footnote Text Char Char,Footnote Text Char Char Char Char Char,Footnote Text Char Char Char Char Char Char Char Char,Footnote Text Char Char Char Char Char Char Char Char Char Char Char Char Char Char"/>
    <w:basedOn w:val="Normal"/>
    <w:link w:val="FootnoteTextChar"/>
    <w:uiPriority w:val="99"/>
    <w:unhideWhenUsed/>
    <w:rsid w:val="00F46757"/>
  </w:style>
  <w:style w:type="paragraph" w:styleId="CommentText">
    <w:name w:val="annotation text"/>
    <w:basedOn w:val="Normal"/>
    <w:link w:val="CommentTextChar"/>
    <w:uiPriority w:val="99"/>
    <w:unhideWhenUsed/>
    <w:qFormat/>
    <w:rsid w:val="005124CA"/>
  </w:style>
  <w:style w:type="paragraph" w:styleId="CommentSubject">
    <w:name w:val="annotation subject"/>
    <w:basedOn w:val="CommentText"/>
    <w:next w:val="CommentText"/>
    <w:link w:val="CommentSubjectChar"/>
    <w:uiPriority w:val="99"/>
    <w:semiHidden/>
    <w:unhideWhenUsed/>
    <w:qFormat/>
    <w:rsid w:val="005124CA"/>
    <w:rPr>
      <w:b/>
      <w:bCs/>
      <w:lang w:val="x-none" w:eastAsia="x-none"/>
    </w:rPr>
  </w:style>
  <w:style w:type="paragraph" w:styleId="BalloonText">
    <w:name w:val="Balloon Text"/>
    <w:basedOn w:val="Normal"/>
    <w:link w:val="BalloonTextChar"/>
    <w:uiPriority w:val="99"/>
    <w:semiHidden/>
    <w:unhideWhenUsed/>
    <w:qFormat/>
    <w:rsid w:val="005124CA"/>
    <w:pPr>
      <w:spacing w:after="0"/>
    </w:pPr>
    <w:rPr>
      <w:rFonts w:ascii="Tahoma" w:hAnsi="Tahoma"/>
      <w:sz w:val="16"/>
      <w:szCs w:val="16"/>
      <w:lang w:val="x-none" w:eastAsia="x-none"/>
    </w:rPr>
  </w:style>
  <w:style w:type="paragraph" w:styleId="NormalWeb">
    <w:name w:val="Normal (Web)"/>
    <w:basedOn w:val="Normal"/>
    <w:uiPriority w:val="99"/>
    <w:unhideWhenUsed/>
    <w:qFormat/>
    <w:rsid w:val="00FA6A5F"/>
    <w:pPr>
      <w:spacing w:beforeAutospacing="1" w:afterAutospacing="1"/>
    </w:pPr>
    <w:rPr>
      <w:rFonts w:eastAsia="Times New Roman"/>
      <w:sz w:val="24"/>
      <w:szCs w:val="24"/>
    </w:rPr>
  </w:style>
  <w:style w:type="paragraph" w:customStyle="1" w:styleId="CatatanKaki">
    <w:name w:val="Catatan Kaki"/>
    <w:basedOn w:val="Normal"/>
    <w:link w:val="CatatanKakiChar"/>
    <w:qFormat/>
    <w:rsid w:val="0070515F"/>
    <w:pPr>
      <w:spacing w:after="0"/>
      <w:ind w:left="284" w:hanging="284"/>
    </w:pPr>
    <w:rPr>
      <w:rFonts w:eastAsiaTheme="minorHAnsi"/>
      <w:lang w:val="en-ID"/>
    </w:rPr>
  </w:style>
  <w:style w:type="paragraph" w:styleId="Title">
    <w:name w:val="Title"/>
    <w:basedOn w:val="Normal"/>
    <w:next w:val="Normal"/>
    <w:link w:val="TitleChar"/>
    <w:uiPriority w:val="10"/>
    <w:qFormat/>
    <w:rsid w:val="00575D1E"/>
    <w:pPr>
      <w:spacing w:beforeAutospacing="1" w:afterAutospacing="1"/>
      <w:jc w:val="center"/>
    </w:pPr>
    <w:rPr>
      <w:i/>
      <w:sz w:val="48"/>
      <w:szCs w:val="48"/>
    </w:rPr>
  </w:style>
  <w:style w:type="paragraph" w:customStyle="1" w:styleId="JudulArtikel">
    <w:name w:val="Judul Artikel"/>
    <w:basedOn w:val="Normal"/>
    <w:link w:val="JudulArtikelChar"/>
    <w:qFormat/>
    <w:rsid w:val="007D5AA7"/>
    <w:pPr>
      <w:spacing w:after="0"/>
      <w:ind w:firstLine="0"/>
      <w:contextualSpacing w:val="0"/>
      <w:jc w:val="center"/>
    </w:pPr>
    <w:rPr>
      <w:rFonts w:eastAsiaTheme="minorHAnsi"/>
      <w:b/>
      <w:bCs/>
      <w:sz w:val="26"/>
      <w:szCs w:val="26"/>
      <w:lang w:val="en-ID"/>
    </w:rPr>
  </w:style>
  <w:style w:type="paragraph" w:customStyle="1" w:styleId="Paragraf">
    <w:name w:val="Paragraf"/>
    <w:basedOn w:val="Normal"/>
    <w:link w:val="ParagrafChar"/>
    <w:qFormat/>
    <w:rsid w:val="007D5AA7"/>
    <w:pPr>
      <w:spacing w:before="120" w:after="0"/>
      <w:ind w:firstLine="567"/>
      <w:contextualSpacing w:val="0"/>
    </w:pPr>
    <w:rPr>
      <w:rFonts w:eastAsiaTheme="minorHAnsi"/>
      <w:szCs w:val="22"/>
      <w:lang w:val="en-ID"/>
    </w:rPr>
  </w:style>
  <w:style w:type="paragraph" w:customStyle="1" w:styleId="Subbab">
    <w:name w:val="Subbab"/>
    <w:basedOn w:val="Normal"/>
    <w:link w:val="SubbabChar"/>
    <w:qFormat/>
    <w:rsid w:val="00D51AB5"/>
    <w:pPr>
      <w:numPr>
        <w:numId w:val="2"/>
      </w:numPr>
      <w:spacing w:after="0"/>
      <w:ind w:left="426" w:firstLine="284"/>
      <w:jc w:val="left"/>
    </w:pPr>
    <w:rPr>
      <w:rFonts w:eastAsia="Times New Roman"/>
      <w:b/>
      <w:bCs/>
      <w:szCs w:val="22"/>
      <w:lang w:val="en-GB"/>
    </w:rPr>
  </w:style>
  <w:style w:type="paragraph" w:customStyle="1" w:styleId="AbstractContent">
    <w:name w:val="Abstract Content"/>
    <w:basedOn w:val="Normal"/>
    <w:link w:val="AbstractContentChar"/>
    <w:qFormat/>
    <w:rsid w:val="00952EA7"/>
    <w:pPr>
      <w:ind w:firstLine="0"/>
    </w:pPr>
    <w:rPr>
      <w:szCs w:val="22"/>
    </w:rPr>
  </w:style>
  <w:style w:type="paragraph" w:customStyle="1" w:styleId="Level1Content">
    <w:name w:val="Level 1 Content"/>
    <w:basedOn w:val="Normal"/>
    <w:link w:val="Level1ContentChar"/>
    <w:qFormat/>
    <w:rsid w:val="006318A2"/>
    <w:pPr>
      <w:spacing w:after="0" w:line="276" w:lineRule="auto"/>
      <w:ind w:firstLine="567"/>
    </w:pPr>
    <w:rPr>
      <w:szCs w:val="22"/>
      <w:lang w:val="en-ID"/>
    </w:rPr>
  </w:style>
  <w:style w:type="paragraph" w:customStyle="1" w:styleId="Level2Content">
    <w:name w:val="Level 2 Content"/>
    <w:basedOn w:val="Level1Content"/>
    <w:link w:val="Level2ContentChar"/>
    <w:qFormat/>
    <w:rsid w:val="006318A2"/>
  </w:style>
  <w:style w:type="paragraph" w:customStyle="1" w:styleId="Level3Content">
    <w:name w:val="Level 3 Content"/>
    <w:basedOn w:val="Normal"/>
    <w:link w:val="Level3ContentChar"/>
    <w:qFormat/>
    <w:rsid w:val="006318A2"/>
    <w:pPr>
      <w:spacing w:after="0" w:line="276" w:lineRule="auto"/>
      <w:ind w:firstLine="567"/>
    </w:pPr>
    <w:rPr>
      <w:szCs w:val="22"/>
      <w:lang w:val="en-ID"/>
    </w:rPr>
  </w:style>
  <w:style w:type="paragraph" w:styleId="EndnoteText">
    <w:name w:val="endnote text"/>
    <w:basedOn w:val="Normal"/>
    <w:link w:val="EndnoteTextChar"/>
    <w:uiPriority w:val="99"/>
    <w:semiHidden/>
    <w:unhideWhenUsed/>
    <w:rsid w:val="00B73C38"/>
    <w:pPr>
      <w:spacing w:after="0"/>
    </w:pPr>
  </w:style>
  <w:style w:type="paragraph" w:customStyle="1" w:styleId="References">
    <w:name w:val="References"/>
    <w:basedOn w:val="Normal"/>
    <w:link w:val="ReferencesChar"/>
    <w:qFormat/>
    <w:rsid w:val="00D45BFE"/>
    <w:pPr>
      <w:widowControl w:val="0"/>
      <w:spacing w:after="0" w:line="276" w:lineRule="auto"/>
      <w:ind w:left="480" w:hanging="480"/>
    </w:pPr>
    <w:rPr>
      <w:szCs w:val="2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556E8"/>
    <w:pPr>
      <w:tabs>
        <w:tab w:val="center" w:pos="4513"/>
        <w:tab w:val="right" w:pos="9026"/>
      </w:tabs>
      <w:spacing w:after="0"/>
    </w:pPr>
  </w:style>
  <w:style w:type="paragraph" w:styleId="Footer">
    <w:name w:val="footer"/>
    <w:basedOn w:val="Normal"/>
    <w:link w:val="FooterChar"/>
    <w:uiPriority w:val="99"/>
    <w:unhideWhenUsed/>
    <w:rsid w:val="008556E8"/>
    <w:pPr>
      <w:tabs>
        <w:tab w:val="center" w:pos="4513"/>
        <w:tab w:val="right" w:pos="9026"/>
      </w:tabs>
      <w:spacing w:after="0"/>
    </w:pPr>
  </w:style>
  <w:style w:type="paragraph" w:styleId="NoSpacing">
    <w:name w:val="No Spacing"/>
    <w:uiPriority w:val="1"/>
    <w:qFormat/>
    <w:rsid w:val="00C56219"/>
    <w:pPr>
      <w:ind w:firstLine="284"/>
      <w:contextualSpacing/>
      <w:jc w:val="both"/>
    </w:pPr>
    <w:rPr>
      <w:rFonts w:ascii="Times New Roman" w:hAnsi="Times New Roman"/>
      <w:sz w:val="22"/>
      <w:lang w:val="en-US" w:eastAsia="en-US"/>
    </w:rPr>
  </w:style>
  <w:style w:type="table" w:styleId="TableGrid">
    <w:name w:val="Table Grid"/>
    <w:basedOn w:val="TableNormal"/>
    <w:uiPriority w:val="39"/>
    <w:rsid w:val="00EF0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58BD"/>
    <w:pPr>
      <w:suppressAutoHyphens w:val="0"/>
    </w:pPr>
    <w:rPr>
      <w:rFonts w:ascii="Times New Roman" w:hAnsi="Times New Roman"/>
      <w:sz w:val="22"/>
      <w:lang w:val="en-US" w:eastAsia="en-US"/>
    </w:rPr>
  </w:style>
  <w:style w:type="character" w:styleId="FootnoteReference">
    <w:name w:val="footnote reference"/>
    <w:basedOn w:val="DefaultParagraphFont"/>
    <w:uiPriority w:val="99"/>
    <w:unhideWhenUsed/>
    <w:rsid w:val="00A507C5"/>
    <w:rPr>
      <w:vertAlign w:val="superscript"/>
    </w:rPr>
  </w:style>
  <w:style w:type="paragraph" w:customStyle="1" w:styleId="SubJudulTemplate">
    <w:name w:val="Sub Judul Template"/>
    <w:basedOn w:val="Normal"/>
    <w:link w:val="SubJudulTemplateChar"/>
    <w:qFormat/>
    <w:rsid w:val="00607475"/>
    <w:pPr>
      <w:suppressAutoHyphens w:val="0"/>
      <w:spacing w:after="0" w:line="360" w:lineRule="auto"/>
      <w:ind w:left="284" w:hanging="284"/>
      <w:contextualSpacing w:val="0"/>
    </w:pPr>
    <w:rPr>
      <w:rFonts w:eastAsia="Arial"/>
      <w:b/>
      <w:bCs/>
      <w:sz w:val="24"/>
      <w:szCs w:val="24"/>
      <w:lang w:val="id-ID"/>
    </w:rPr>
  </w:style>
  <w:style w:type="character" w:customStyle="1" w:styleId="SubJudulTemplateChar">
    <w:name w:val="Sub Judul Template Char"/>
    <w:basedOn w:val="DefaultParagraphFont"/>
    <w:link w:val="SubJudulTemplate"/>
    <w:rsid w:val="00607475"/>
    <w:rPr>
      <w:rFonts w:ascii="Times New Roman" w:eastAsia="Arial" w:hAnsi="Times New Roman"/>
      <w:b/>
      <w:bCs/>
      <w:sz w:val="24"/>
      <w:szCs w:val="24"/>
      <w:lang w:val="id-ID" w:eastAsia="en-US"/>
    </w:rPr>
  </w:style>
  <w:style w:type="character" w:customStyle="1" w:styleId="Heading4Char">
    <w:name w:val="Heading 4 Char"/>
    <w:basedOn w:val="DefaultParagraphFont"/>
    <w:link w:val="Heading4"/>
    <w:uiPriority w:val="9"/>
    <w:rsid w:val="00FE1E6E"/>
    <w:rPr>
      <w:rFonts w:asciiTheme="majorHAnsi" w:eastAsiaTheme="majorEastAsia" w:hAnsiTheme="majorHAnsi" w:cstheme="majorBidi"/>
      <w:i/>
      <w:iCs/>
      <w:color w:val="2F5496" w:themeColor="accent1" w:themeShade="BF"/>
      <w:sz w:val="22"/>
      <w:lang w:val="en-US" w:eastAsia="en-US"/>
    </w:rPr>
  </w:style>
  <w:style w:type="character" w:customStyle="1" w:styleId="Heading5Char">
    <w:name w:val="Heading 5 Char"/>
    <w:basedOn w:val="DefaultParagraphFont"/>
    <w:link w:val="Heading5"/>
    <w:uiPriority w:val="9"/>
    <w:semiHidden/>
    <w:rsid w:val="00FE1E6E"/>
    <w:rPr>
      <w:rFonts w:asciiTheme="majorHAnsi" w:eastAsiaTheme="majorEastAsia" w:hAnsiTheme="majorHAnsi" w:cstheme="majorBidi"/>
      <w:color w:val="2F5496" w:themeColor="accent1" w:themeShade="BF"/>
      <w:sz w:val="22"/>
      <w:lang w:val="en-US" w:eastAsia="en-US"/>
    </w:rPr>
  </w:style>
  <w:style w:type="character" w:customStyle="1" w:styleId="Heading6Char">
    <w:name w:val="Heading 6 Char"/>
    <w:basedOn w:val="DefaultParagraphFont"/>
    <w:link w:val="Heading6"/>
    <w:uiPriority w:val="9"/>
    <w:semiHidden/>
    <w:rsid w:val="00FE1E6E"/>
    <w:rPr>
      <w:rFonts w:asciiTheme="majorHAnsi" w:eastAsiaTheme="majorEastAsia" w:hAnsiTheme="majorHAnsi" w:cstheme="majorBidi"/>
      <w:color w:val="1F3763" w:themeColor="accent1" w:themeShade="7F"/>
      <w:sz w:val="22"/>
      <w:lang w:val="en-US" w:eastAsia="en-US"/>
    </w:rPr>
  </w:style>
  <w:style w:type="character" w:customStyle="1" w:styleId="Heading7Char">
    <w:name w:val="Heading 7 Char"/>
    <w:basedOn w:val="DefaultParagraphFont"/>
    <w:link w:val="Heading7"/>
    <w:uiPriority w:val="9"/>
    <w:semiHidden/>
    <w:rsid w:val="00FE1E6E"/>
    <w:rPr>
      <w:rFonts w:asciiTheme="majorHAnsi" w:eastAsiaTheme="majorEastAsia" w:hAnsiTheme="majorHAnsi" w:cstheme="majorBidi"/>
      <w:i/>
      <w:iCs/>
      <w:color w:val="1F3763" w:themeColor="accent1" w:themeShade="7F"/>
      <w:sz w:val="22"/>
      <w:lang w:val="en-US" w:eastAsia="en-US"/>
    </w:rPr>
  </w:style>
  <w:style w:type="character" w:customStyle="1" w:styleId="Heading8Char">
    <w:name w:val="Heading 8 Char"/>
    <w:basedOn w:val="DefaultParagraphFont"/>
    <w:link w:val="Heading8"/>
    <w:uiPriority w:val="9"/>
    <w:semiHidden/>
    <w:rsid w:val="00FE1E6E"/>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FE1E6E"/>
    <w:rPr>
      <w:rFonts w:asciiTheme="majorHAnsi" w:eastAsiaTheme="majorEastAsia" w:hAnsiTheme="majorHAnsi" w:cstheme="majorBidi"/>
      <w:i/>
      <w:iCs/>
      <w:color w:val="272727" w:themeColor="text1" w:themeTint="D8"/>
      <w:sz w:val="21"/>
      <w:szCs w:val="21"/>
      <w:lang w:val="en-US" w:eastAsia="en-US"/>
    </w:rPr>
  </w:style>
  <w:style w:type="paragraph" w:styleId="Bibliography">
    <w:name w:val="Bibliography"/>
    <w:basedOn w:val="Normal"/>
    <w:next w:val="Normal"/>
    <w:uiPriority w:val="37"/>
    <w:unhideWhenUsed/>
    <w:rsid w:val="00C23589"/>
    <w:pPr>
      <w:spacing w:after="0"/>
      <w:ind w:left="720" w:hanging="720"/>
    </w:pPr>
  </w:style>
  <w:style w:type="character" w:customStyle="1" w:styleId="ListParagraphChar">
    <w:name w:val="List Paragraph Char"/>
    <w:link w:val="ListParagraph"/>
    <w:uiPriority w:val="34"/>
    <w:locked/>
    <w:rsid w:val="0078506B"/>
    <w:rPr>
      <w:rFonts w:ascii="Times New Roman" w:hAnsi="Times New Roman"/>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ch23009@mail.unpad.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ress.gustiaadrianpah@gmail.com" TargetMode="External"/><Relationship Id="rId4" Type="http://schemas.openxmlformats.org/officeDocument/2006/relationships/settings" Target="settings.xml"/><Relationship Id="rId9" Type="http://schemas.openxmlformats.org/officeDocument/2006/relationships/hyperlink" Target="mailto:helza.nova@unpa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41C95-FB85-42EF-BD36-B2D5F747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24</Pages>
  <Words>9718</Words>
  <Characters>57342</Characters>
  <Application>Microsoft Office Word</Application>
  <DocSecurity>0</DocSecurity>
  <Lines>831</Lines>
  <Paragraphs>204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dc:description/>
  <cp:lastModifiedBy>IDN Legal - 马萨</cp:lastModifiedBy>
  <cp:revision>256</cp:revision>
  <dcterms:created xsi:type="dcterms:W3CDTF">2022-09-15T08:07:00Z</dcterms:created>
  <dcterms:modified xsi:type="dcterms:W3CDTF">2024-04-06T02:17:00Z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http://www.zotero.org/styles/chicago-fullnote-bibliography</vt:lpwstr>
  </property>
  <property fmtid="{D5CDD505-2E9C-101B-9397-08002B2CF9AE}" pid="3" name="Mendeley Document_1">
    <vt:lpwstr>True</vt:lpwstr>
  </property>
  <property fmtid="{D5CDD505-2E9C-101B-9397-08002B2CF9AE}" pid="4" name="Mendeley Recent Style Id 0_1">
    <vt:lpwstr>http://www.zotero.org/styles/american-political-science-association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http://www.zotero.org/styles/chicago-author-date</vt:lpwstr>
  </property>
  <property fmtid="{D5CDD505-2E9C-101B-9397-08002B2CF9AE}" pid="7" name="Mendeley Recent Style Id 3_1">
    <vt:lpwstr>http://www.zotero.org/styles/chicago-fullnote-bibliography</vt:lpwstr>
  </property>
  <property fmtid="{D5CDD505-2E9C-101B-9397-08002B2CF9AE}" pid="8" name="Mendeley Recent Style Id 4_1">
    <vt:lpwstr>http://www.zotero.org/styles/harvard-cite-them-right</vt:lpwstr>
  </property>
  <property fmtid="{D5CDD505-2E9C-101B-9397-08002B2CF9AE}" pid="9" name="Mendeley Recent Style Id 5_1">
    <vt:lpwstr>http://www.zotero.org/styles/ieee</vt:lpwstr>
  </property>
  <property fmtid="{D5CDD505-2E9C-101B-9397-08002B2CF9AE}" pid="10" name="Mendeley Recent Style Id 6_1">
    <vt:lpwstr>http://www.zotero.org/styles/modern-language-association-6th-edition-note</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http://www.zotero.org/styles/moorlands-college</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Political Science Association</vt:lpwstr>
  </property>
  <property fmtid="{D5CDD505-2E9C-101B-9397-08002B2CF9AE}" pid="15" name="Mendeley Recent Style Name 1_1">
    <vt:lpwstr>American Psychological Association 7th edition</vt:lpwstr>
  </property>
  <property fmtid="{D5CDD505-2E9C-101B-9397-08002B2CF9AE}" pid="16" name="Mendeley Recent Style Name 2_1">
    <vt:lpwstr>Chicago Manual of Style 17th edition (author-date)</vt:lpwstr>
  </property>
  <property fmtid="{D5CDD505-2E9C-101B-9397-08002B2CF9AE}" pid="17" name="Mendeley Recent Style Name 3_1">
    <vt:lpwstr>Chicago Manual of Style 17th edition (full note)</vt:lpwstr>
  </property>
  <property fmtid="{D5CDD505-2E9C-101B-9397-08002B2CF9AE}" pid="18" name="Mendeley Recent Style Name 4_1">
    <vt:lpwstr>Cite Them Right 10th edition - Harvard</vt:lpwstr>
  </property>
  <property fmtid="{D5CDD505-2E9C-101B-9397-08002B2CF9AE}" pid="19" name="Mendeley Recent Style Name 5_1">
    <vt:lpwstr>IEEE</vt:lpwstr>
  </property>
  <property fmtid="{D5CDD505-2E9C-101B-9397-08002B2CF9AE}" pid="20" name="Mendeley Recent Style Name 6_1">
    <vt:lpwstr>Modern Language Association 6th edition (note)</vt:lpwstr>
  </property>
  <property fmtid="{D5CDD505-2E9C-101B-9397-08002B2CF9AE}" pid="21" name="Mendeley Recent Style Name 7_1">
    <vt:lpwstr>Modern Language Association 9th edition</vt:lpwstr>
  </property>
  <property fmtid="{D5CDD505-2E9C-101B-9397-08002B2CF9AE}" pid="22" name="Mendeley Recent Style Name 8_1">
    <vt:lpwstr>Moorlands College</vt:lpwstr>
  </property>
  <property fmtid="{D5CDD505-2E9C-101B-9397-08002B2CF9AE}" pid="23" name="Mendeley Recent Style Name 9_1">
    <vt:lpwstr>Turabian 8th edition (full note)</vt:lpwstr>
  </property>
  <property fmtid="{D5CDD505-2E9C-101B-9397-08002B2CF9AE}" pid="24" name="Mendeley Unique User Id_1">
    <vt:lpwstr>ed185f17-ec37-3adf-9412-034b6f95fcb2</vt:lpwstr>
  </property>
  <property fmtid="{D5CDD505-2E9C-101B-9397-08002B2CF9AE}" pid="25" name="ZOTERO_PREF_1">
    <vt:lpwstr>&lt;data data-version="3" zotero-version="6.0.36"&gt;&lt;session id="8C4CzSgy"/&gt;&lt;style id="http://www.zotero.org/styles/chicago-fullnote-bibliography-with-ibid" locale="en-US" hasBibliography="1" bibliographyStyleHasBeenSet="1"/&gt;&lt;prefs&gt;&lt;pref name="noteType" value=</vt:lpwstr>
  </property>
  <property fmtid="{D5CDD505-2E9C-101B-9397-08002B2CF9AE}" pid="26" name="ZOTERO_PREF_2">
    <vt:lpwstr>"1"/&gt;&lt;pref name="fieldType" value="Field"/&gt;&lt;pref name="dontAskDelayCitationUpdates" value="true"/&gt;&lt;/prefs&gt;&lt;/data&gt;</vt:lpwstr>
  </property>
  <property fmtid="{D5CDD505-2E9C-101B-9397-08002B2CF9AE}" pid="27" name="GrammarlyDocumentId">
    <vt:lpwstr>423c4d458aca834e572cc5b19d5327f8e8590db62b5fc5041b19d075dd71e4b1</vt:lpwstr>
  </property>
</Properties>
</file>