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CA247" w14:textId="57D10C4B" w:rsidR="00CB3AE2" w:rsidRPr="00E47DF7" w:rsidRDefault="005F6297" w:rsidP="00CB3AE2">
      <w:pPr>
        <w:pStyle w:val="Title"/>
        <w:spacing w:beforeAutospacing="0" w:after="0" w:afterAutospacing="0" w:line="276" w:lineRule="auto"/>
        <w:rPr>
          <w:lang w:val="en-ID"/>
        </w:rPr>
      </w:pPr>
      <w:r w:rsidRPr="005F6297">
        <w:rPr>
          <w:lang w:val="en-ID"/>
        </w:rPr>
        <w:t xml:space="preserve">Controversial Articles in the Information Age: Articles 263 and 264 of the New Criminal Code and </w:t>
      </w:r>
      <w:r w:rsidR="00A63FA3">
        <w:rPr>
          <w:lang w:val="en-ID"/>
        </w:rPr>
        <w:t>T</w:t>
      </w:r>
      <w:r w:rsidRPr="005F6297">
        <w:rPr>
          <w:lang w:val="en-ID"/>
        </w:rPr>
        <w:t>heir Impact on Press Freedom and Human Rights</w:t>
      </w:r>
    </w:p>
    <w:p w14:paraId="4E7A4B7E" w14:textId="77777777" w:rsidR="00CB3AE2" w:rsidRPr="009C39FC" w:rsidRDefault="00CB3AE2" w:rsidP="00CB3AE2">
      <w:pPr>
        <w:jc w:val="center"/>
        <w:rPr>
          <w:i/>
          <w:iCs/>
          <w:sz w:val="24"/>
          <w:szCs w:val="24"/>
          <w:lang w:val="id-ID"/>
        </w:rPr>
      </w:pPr>
      <w:r w:rsidRPr="009C39FC">
        <w:rPr>
          <w:i/>
          <w:iCs/>
          <w:sz w:val="24"/>
          <w:szCs w:val="24"/>
          <w:lang w:val="id-ID"/>
        </w:rPr>
        <w:t>Identity</w:t>
      </w:r>
    </w:p>
    <w:p w14:paraId="44AF0879" w14:textId="77777777" w:rsidR="00CB3AE2" w:rsidRPr="009C39FC" w:rsidRDefault="00CB3AE2" w:rsidP="00CB3AE2">
      <w:pPr>
        <w:rPr>
          <w:lang w:val="id-ID"/>
        </w:rPr>
      </w:pPr>
    </w:p>
    <w:p w14:paraId="09E4F2C9" w14:textId="77777777" w:rsidR="00CB3AE2" w:rsidRPr="007F1197" w:rsidRDefault="00CB3AE2" w:rsidP="00CB3AE2">
      <w:pPr>
        <w:pStyle w:val="SubJudulTemplate"/>
        <w:rPr>
          <w:lang w:val="en-US"/>
        </w:rPr>
      </w:pPr>
      <w:r w:rsidRPr="009C39FC">
        <w:t>1. AUTHORSHIP</w:t>
      </w:r>
      <w:r>
        <w:rPr>
          <w:lang w:val="en-US"/>
        </w:rPr>
        <w:t xml:space="preserve"> </w:t>
      </w:r>
    </w:p>
    <w:p w14:paraId="57927F80" w14:textId="006BE7A0" w:rsidR="00084381" w:rsidRDefault="00084381" w:rsidP="00084381">
      <w:pPr>
        <w:spacing w:line="276" w:lineRule="auto"/>
        <w:ind w:firstLine="0"/>
        <w:rPr>
          <w:i/>
        </w:rPr>
      </w:pPr>
      <w:r>
        <w:t>Efren Nova</w:t>
      </w:r>
      <w:r>
        <w:rPr>
          <w:vertAlign w:val="superscript"/>
        </w:rPr>
        <w:t>1</w:t>
      </w:r>
      <w:r>
        <w:t xml:space="preserve">, contribution in writing, </w:t>
      </w:r>
      <w:r w:rsidRPr="00A03179">
        <w:t>supervising</w:t>
      </w:r>
      <w:r w:rsidR="00FC1FAF">
        <w:t>,</w:t>
      </w:r>
      <w:r w:rsidRPr="00137DA3">
        <w:rPr>
          <w:i/>
          <w:iCs/>
        </w:rPr>
        <w:t xml:space="preserve"> </w:t>
      </w:r>
      <w:r>
        <w:t xml:space="preserve">and </w:t>
      </w:r>
      <w:r w:rsidRPr="00A03179">
        <w:t>reviewing</w:t>
      </w:r>
      <w:r>
        <w:t xml:space="preserve"> articles, Fakultas Hukum Universitas Andalas, email </w:t>
      </w:r>
      <w:hyperlink r:id="rId8" w:history="1">
        <w:r w:rsidRPr="00F07F63">
          <w:rPr>
            <w:rStyle w:val="Hyperlink"/>
            <w:i/>
          </w:rPr>
          <w:t>efrennova11@gmail.com</w:t>
        </w:r>
      </w:hyperlink>
    </w:p>
    <w:p w14:paraId="3E5FB723" w14:textId="3FB4886F" w:rsidR="00CB3AE2" w:rsidRDefault="00CB3AE2" w:rsidP="00CB3AE2">
      <w:pPr>
        <w:spacing w:line="276" w:lineRule="auto"/>
        <w:ind w:firstLine="0"/>
        <w:rPr>
          <w:rStyle w:val="Hyperlink"/>
          <w:rFonts w:eastAsia="Times New Roman"/>
          <w:szCs w:val="22"/>
        </w:rPr>
      </w:pPr>
      <w:r>
        <w:t>Zico Junius Fernando</w:t>
      </w:r>
      <w:r>
        <w:rPr>
          <w:vertAlign w:val="superscript"/>
        </w:rPr>
        <w:t>2</w:t>
      </w:r>
      <w:r>
        <w:t xml:space="preserve">, contribution in writing, </w:t>
      </w:r>
      <w:r w:rsidRPr="00A03179">
        <w:t>supervising</w:t>
      </w:r>
      <w:r w:rsidR="005E30BE">
        <w:t>,</w:t>
      </w:r>
      <w:r w:rsidRPr="00137DA3">
        <w:rPr>
          <w:i/>
          <w:iCs/>
        </w:rPr>
        <w:t xml:space="preserve"> </w:t>
      </w:r>
      <w:r>
        <w:t xml:space="preserve">and </w:t>
      </w:r>
      <w:r w:rsidRPr="00A03179">
        <w:t>reviewing</w:t>
      </w:r>
      <w:r>
        <w:t xml:space="preserve"> articles, Fakultas Hukum Universitas Bengkulu, email </w:t>
      </w:r>
      <w:hyperlink r:id="rId9" w:history="1">
        <w:r w:rsidRPr="00911EF9">
          <w:rPr>
            <w:rStyle w:val="Hyperlink"/>
            <w:rFonts w:eastAsia="Times New Roman"/>
            <w:szCs w:val="22"/>
          </w:rPr>
          <w:t>zjfernando@unib.ac.id</w:t>
        </w:r>
      </w:hyperlink>
    </w:p>
    <w:p w14:paraId="7B1775A1" w14:textId="751C854B" w:rsidR="00574F02" w:rsidRPr="004F2DC8" w:rsidRDefault="00574F02" w:rsidP="00574F02">
      <w:pPr>
        <w:spacing w:line="276" w:lineRule="auto"/>
        <w:ind w:firstLine="0"/>
        <w:rPr>
          <w:szCs w:val="22"/>
        </w:rPr>
      </w:pPr>
      <w:r>
        <w:t>Panca Sarjana Putra</w:t>
      </w:r>
      <w:r>
        <w:rPr>
          <w:vertAlign w:val="superscript"/>
        </w:rPr>
        <w:t>3</w:t>
      </w:r>
      <w:r>
        <w:t xml:space="preserve">, contribution in writing, </w:t>
      </w:r>
      <w:r w:rsidRPr="00D23530">
        <w:t>supervising</w:t>
      </w:r>
      <w:r>
        <w:t>,</w:t>
      </w:r>
      <w:r w:rsidRPr="00137DA3">
        <w:rPr>
          <w:i/>
          <w:iCs/>
        </w:rPr>
        <w:t xml:space="preserve"> </w:t>
      </w:r>
      <w:r>
        <w:t xml:space="preserve">and </w:t>
      </w:r>
      <w:r w:rsidRPr="00D23530">
        <w:t>reviewing</w:t>
      </w:r>
      <w:r>
        <w:t xml:space="preserve"> articles, Fakultas Hukum Universitas Islam Sumatera Utara, email </w:t>
      </w:r>
      <w:r w:rsidRPr="00574F02">
        <w:rPr>
          <w:rStyle w:val="Hyperlink"/>
          <w:rFonts w:eastAsia="Times New Roman"/>
          <w:szCs w:val="22"/>
        </w:rPr>
        <w:t>pancasp@fh.uisu.ac.id</w:t>
      </w:r>
    </w:p>
    <w:p w14:paraId="6A52236A" w14:textId="77777777" w:rsidR="00574F02" w:rsidRPr="004F2DC8" w:rsidRDefault="00574F02" w:rsidP="00CB3AE2">
      <w:pPr>
        <w:spacing w:line="276" w:lineRule="auto"/>
        <w:ind w:firstLine="0"/>
        <w:rPr>
          <w:szCs w:val="22"/>
        </w:rPr>
      </w:pPr>
    </w:p>
    <w:p w14:paraId="79019E0A" w14:textId="77777777" w:rsidR="00CB3AE2" w:rsidRPr="009C39FC" w:rsidRDefault="00CB3AE2" w:rsidP="00CB3AE2">
      <w:pPr>
        <w:spacing w:line="276" w:lineRule="auto"/>
        <w:rPr>
          <w:lang w:val="id-ID"/>
        </w:rPr>
      </w:pPr>
      <w:r w:rsidRPr="009C39FC">
        <w:rPr>
          <w:lang w:val="id-ID"/>
        </w:rPr>
        <w:t xml:space="preserve"> </w:t>
      </w:r>
    </w:p>
    <w:p w14:paraId="4E18EE27" w14:textId="77777777" w:rsidR="00CB3AE2" w:rsidRPr="007F1197" w:rsidRDefault="00CB3AE2" w:rsidP="00CB3AE2">
      <w:pPr>
        <w:pStyle w:val="SubJudulTemplate"/>
        <w:rPr>
          <w:lang w:val="en-US"/>
        </w:rPr>
      </w:pPr>
      <w:r w:rsidRPr="009C39FC">
        <w:t>2. ACKNOWLEDGMENT</w:t>
      </w:r>
      <w:r>
        <w:rPr>
          <w:lang w:val="en-US"/>
        </w:rPr>
        <w:t xml:space="preserve"> </w:t>
      </w:r>
    </w:p>
    <w:p w14:paraId="2D752636" w14:textId="6CB82354" w:rsidR="00CB3AE2" w:rsidRPr="009C39FC" w:rsidRDefault="005A53FB" w:rsidP="00CB3AE2">
      <w:pPr>
        <w:spacing w:line="276" w:lineRule="auto"/>
        <w:ind w:firstLine="0"/>
        <w:rPr>
          <w:lang w:val="id-ID"/>
        </w:rPr>
      </w:pPr>
      <w:r w:rsidRPr="005A53FB">
        <w:rPr>
          <w:lang w:val="id-ID"/>
        </w:rPr>
        <w:t xml:space="preserve">We extend our heartfelt gratitude to all individuals and organizations that contributed their support and resources, </w:t>
      </w:r>
      <w:r w:rsidR="0072223F">
        <w:rPr>
          <w:lang w:val="id-ID"/>
        </w:rPr>
        <w:t>which allowed</w:t>
      </w:r>
      <w:r w:rsidRPr="005A53FB">
        <w:rPr>
          <w:lang w:val="id-ID"/>
        </w:rPr>
        <w:t xml:space="preserve"> this </w:t>
      </w:r>
      <w:r w:rsidR="0072223F">
        <w:rPr>
          <w:lang w:val="id-ID"/>
        </w:rPr>
        <w:t>study</w:t>
      </w:r>
      <w:r w:rsidR="0072223F" w:rsidRPr="005A53FB">
        <w:rPr>
          <w:lang w:val="id-ID"/>
        </w:rPr>
        <w:t xml:space="preserve"> </w:t>
      </w:r>
      <w:r w:rsidRPr="005A53FB">
        <w:rPr>
          <w:lang w:val="id-ID"/>
        </w:rPr>
        <w:t xml:space="preserve">to come to fruition. </w:t>
      </w:r>
      <w:r w:rsidR="0005784A">
        <w:rPr>
          <w:lang w:val="id-ID"/>
        </w:rPr>
        <w:t>We also</w:t>
      </w:r>
      <w:r w:rsidRPr="005A53FB">
        <w:rPr>
          <w:lang w:val="id-ID"/>
        </w:rPr>
        <w:t xml:space="preserve"> </w:t>
      </w:r>
      <w:r w:rsidR="0005784A">
        <w:rPr>
          <w:lang w:val="id-ID"/>
        </w:rPr>
        <w:t>sincerely thank</w:t>
      </w:r>
      <w:r w:rsidRPr="005A53FB">
        <w:rPr>
          <w:lang w:val="id-ID"/>
        </w:rPr>
        <w:t xml:space="preserve"> the authors of books, articles, and other scholarly works whose extensive efforts have laid the groundwork for our study, serving as invaluable references. We acknowledge that there is always </w:t>
      </w:r>
      <w:r w:rsidR="002F454A">
        <w:rPr>
          <w:lang w:val="id-ID"/>
        </w:rPr>
        <w:t>room</w:t>
      </w:r>
      <w:r w:rsidR="002F454A" w:rsidRPr="005A53FB">
        <w:rPr>
          <w:lang w:val="id-ID"/>
        </w:rPr>
        <w:t xml:space="preserve"> </w:t>
      </w:r>
      <w:r w:rsidRPr="005A53FB">
        <w:rPr>
          <w:lang w:val="id-ID"/>
        </w:rPr>
        <w:t xml:space="preserve">for </w:t>
      </w:r>
      <w:r w:rsidR="00D743EC">
        <w:rPr>
          <w:lang w:val="id-ID"/>
        </w:rPr>
        <w:t>improvement</w:t>
      </w:r>
      <w:r w:rsidR="00D743EC" w:rsidRPr="005A53FB">
        <w:rPr>
          <w:lang w:val="id-ID"/>
        </w:rPr>
        <w:t xml:space="preserve"> </w:t>
      </w:r>
      <w:r w:rsidRPr="005A53FB">
        <w:rPr>
          <w:lang w:val="id-ID"/>
        </w:rPr>
        <w:t xml:space="preserve">in our work and warmly welcome feedback and constructive critique from all quarters to elevate its quality. </w:t>
      </w:r>
      <w:r w:rsidR="00D174C1">
        <w:rPr>
          <w:lang w:val="id-ID"/>
        </w:rPr>
        <w:t>We</w:t>
      </w:r>
      <w:r w:rsidRPr="005A53FB">
        <w:rPr>
          <w:lang w:val="id-ID"/>
        </w:rPr>
        <w:t xml:space="preserve"> hope that this paper will serve as a valuable resource for scholars, professionals in the field, and the general public, aiding in the comprehension and resolution of legal challenges encountered in daily life.</w:t>
      </w:r>
    </w:p>
    <w:p w14:paraId="0247A982" w14:textId="77777777" w:rsidR="00CB3AE2" w:rsidRPr="009C39FC" w:rsidRDefault="00CB3AE2" w:rsidP="00CB3AE2">
      <w:pPr>
        <w:spacing w:line="276" w:lineRule="auto"/>
        <w:rPr>
          <w:lang w:val="id-ID"/>
        </w:rPr>
      </w:pPr>
    </w:p>
    <w:p w14:paraId="123E8312" w14:textId="77777777" w:rsidR="00CB3AE2" w:rsidRPr="007F1197" w:rsidRDefault="00CB3AE2" w:rsidP="00CB3AE2">
      <w:pPr>
        <w:pStyle w:val="SubJudulTemplate"/>
        <w:rPr>
          <w:lang w:val="en-US"/>
        </w:rPr>
      </w:pPr>
      <w:r w:rsidRPr="009C39FC">
        <w:t>3. CONFLICT OF INTEREST</w:t>
      </w:r>
      <w:r>
        <w:rPr>
          <w:lang w:val="en-US"/>
        </w:rPr>
        <w:t xml:space="preserve"> </w:t>
      </w:r>
    </w:p>
    <w:p w14:paraId="03370EC7" w14:textId="724270D0" w:rsidR="00CB3AE2" w:rsidRPr="00B8091C" w:rsidRDefault="00B8091C" w:rsidP="00CB3AE2">
      <w:pPr>
        <w:pStyle w:val="SubJudulTemplate"/>
        <w:rPr>
          <w:b w:val="0"/>
          <w:bCs w:val="0"/>
          <w:sz w:val="22"/>
          <w:szCs w:val="22"/>
          <w:lang w:val="en-US"/>
        </w:rPr>
      </w:pPr>
      <w:r>
        <w:rPr>
          <w:b w:val="0"/>
          <w:bCs w:val="0"/>
          <w:sz w:val="22"/>
          <w:szCs w:val="22"/>
          <w:lang w:val="en-US"/>
        </w:rPr>
        <w:t>None</w:t>
      </w:r>
    </w:p>
    <w:p w14:paraId="723EAC7A" w14:textId="77777777" w:rsidR="00CB3AE2" w:rsidRPr="009C39FC" w:rsidRDefault="00CB3AE2" w:rsidP="00CB3AE2">
      <w:pPr>
        <w:spacing w:line="276" w:lineRule="auto"/>
        <w:rPr>
          <w:lang w:val="id-ID"/>
        </w:rPr>
      </w:pPr>
    </w:p>
    <w:p w14:paraId="696BA966" w14:textId="77777777" w:rsidR="00CB3AE2" w:rsidRPr="008509C7" w:rsidRDefault="00CB3AE2" w:rsidP="00CB3AE2">
      <w:pPr>
        <w:pStyle w:val="SubJudulTemplate"/>
        <w:rPr>
          <w:lang w:val="en-US"/>
        </w:rPr>
      </w:pPr>
      <w:r>
        <w:rPr>
          <w:lang w:val="en-US"/>
        </w:rPr>
        <w:t xml:space="preserve">4. </w:t>
      </w:r>
      <w:r w:rsidRPr="009C39FC">
        <w:t>SPONSORSHIP</w:t>
      </w:r>
      <w:r>
        <w:rPr>
          <w:lang w:val="en-US"/>
        </w:rPr>
        <w:t xml:space="preserve"> </w:t>
      </w:r>
    </w:p>
    <w:p w14:paraId="624EA02B" w14:textId="76F95E59" w:rsidR="00CB3AE2" w:rsidRDefault="00B8091C" w:rsidP="00CB3AE2">
      <w:pPr>
        <w:spacing w:line="276" w:lineRule="auto"/>
        <w:ind w:firstLine="0"/>
      </w:pPr>
      <w:r>
        <w:t>None</w:t>
      </w:r>
    </w:p>
    <w:p w14:paraId="1F356E13" w14:textId="77777777" w:rsidR="00607475" w:rsidRPr="009C39FC" w:rsidRDefault="00607475" w:rsidP="00607475">
      <w:pPr>
        <w:spacing w:line="276" w:lineRule="auto"/>
        <w:rPr>
          <w:lang w:val="id-ID"/>
        </w:rPr>
      </w:pPr>
    </w:p>
    <w:p w14:paraId="5FCC8A65" w14:textId="77777777" w:rsidR="00607475" w:rsidRPr="007F1197" w:rsidRDefault="00000000" w:rsidP="00607475">
      <w:pPr>
        <w:pStyle w:val="SubJudulTemplate"/>
        <w:rPr>
          <w:lang w:val="en-US"/>
        </w:rPr>
      </w:pPr>
      <w:r w:rsidRPr="009C39FC">
        <w:t>5. SHORT BIOGRAPHY</w:t>
      </w:r>
    </w:p>
    <w:p w14:paraId="5DE01530" w14:textId="2A0E6A02" w:rsidR="00FC36C3" w:rsidRPr="00FC36C3" w:rsidRDefault="00000000" w:rsidP="00FC36C3">
      <w:pPr>
        <w:spacing w:line="276" w:lineRule="auto"/>
        <w:ind w:firstLine="0"/>
        <w:rPr>
          <w:szCs w:val="22"/>
          <w:lang w:val="en-ID"/>
        </w:rPr>
      </w:pPr>
      <w:r w:rsidRPr="00FC36C3">
        <w:rPr>
          <w:b/>
          <w:bCs/>
          <w:szCs w:val="22"/>
          <w:lang w:val="en-ID"/>
        </w:rPr>
        <w:t>Zico Junius Fernando,</w:t>
      </w:r>
      <w:r>
        <w:rPr>
          <w:szCs w:val="22"/>
          <w:lang w:val="en-ID"/>
        </w:rPr>
        <w:t xml:space="preserve"> Lecturer (PNS</w:t>
      </w:r>
      <w:r w:rsidR="00F440AC">
        <w:rPr>
          <w:szCs w:val="22"/>
          <w:lang w:val="en-ID"/>
        </w:rPr>
        <w:t>/State Civil Apparatus</w:t>
      </w:r>
      <w:r>
        <w:rPr>
          <w:szCs w:val="22"/>
          <w:lang w:val="en-ID"/>
        </w:rPr>
        <w:t>) at the Faculty of Law, Bengkulu University. He is a student of the Doctor of Law</w:t>
      </w:r>
      <w:r w:rsidR="00F40E27">
        <w:rPr>
          <w:szCs w:val="22"/>
          <w:lang w:val="en-ID"/>
        </w:rPr>
        <w:t>s</w:t>
      </w:r>
      <w:r>
        <w:rPr>
          <w:szCs w:val="22"/>
          <w:lang w:val="en-ID"/>
        </w:rPr>
        <w:t xml:space="preserve"> (S3)</w:t>
      </w:r>
      <w:r w:rsidR="00F40E27">
        <w:rPr>
          <w:szCs w:val="22"/>
          <w:lang w:val="en-ID"/>
        </w:rPr>
        <w:t xml:space="preserve"> Program</w:t>
      </w:r>
      <w:r w:rsidR="000D7285">
        <w:rPr>
          <w:szCs w:val="22"/>
          <w:lang w:val="en-ID"/>
        </w:rPr>
        <w:t>,</w:t>
      </w:r>
      <w:r>
        <w:rPr>
          <w:szCs w:val="22"/>
          <w:lang w:val="en-ID"/>
        </w:rPr>
        <w:t xml:space="preserve"> Faculty of Law, University of Diponegoro. He has worked as an Advocate/Legal Consultant at several Legal Aid Institutions (LBH) and Law Offices. </w:t>
      </w:r>
      <w:r w:rsidR="00F651A5">
        <w:rPr>
          <w:szCs w:val="22"/>
          <w:lang w:val="en-ID"/>
        </w:rPr>
        <w:t>He is a</w:t>
      </w:r>
      <w:r>
        <w:rPr>
          <w:szCs w:val="22"/>
          <w:lang w:val="en-ID"/>
        </w:rPr>
        <w:t xml:space="preserve">ctive in youth movements/organizations (OKP) such as HMI and KAHMI. </w:t>
      </w:r>
      <w:r w:rsidR="00C8689F">
        <w:rPr>
          <w:szCs w:val="22"/>
          <w:lang w:val="en-ID"/>
        </w:rPr>
        <w:t xml:space="preserve">He serves as </w:t>
      </w:r>
      <w:r w:rsidR="0087771A">
        <w:rPr>
          <w:szCs w:val="22"/>
          <w:lang w:val="en-ID"/>
        </w:rPr>
        <w:t xml:space="preserve">a </w:t>
      </w:r>
      <w:r>
        <w:rPr>
          <w:szCs w:val="22"/>
          <w:lang w:val="en-ID"/>
        </w:rPr>
        <w:t xml:space="preserve">Main Level Anti-Corruption Extension Officer. </w:t>
      </w:r>
      <w:r w:rsidR="00A17173">
        <w:rPr>
          <w:szCs w:val="22"/>
          <w:lang w:val="en-ID"/>
        </w:rPr>
        <w:t xml:space="preserve">In addition, he holds a position as </w:t>
      </w:r>
      <w:r w:rsidR="000B6319">
        <w:rPr>
          <w:szCs w:val="22"/>
          <w:lang w:val="en-ID"/>
        </w:rPr>
        <w:t xml:space="preserve">an </w:t>
      </w:r>
      <w:r>
        <w:rPr>
          <w:szCs w:val="22"/>
          <w:lang w:val="en-ID"/>
        </w:rPr>
        <w:t xml:space="preserve">Administrator at the Indonesian Victimology Teaching Association (APVI) as Chair of the Public </w:t>
      </w:r>
      <w:r>
        <w:rPr>
          <w:szCs w:val="22"/>
          <w:lang w:val="en-ID"/>
        </w:rPr>
        <w:lastRenderedPageBreak/>
        <w:t xml:space="preserve">Relations Division, Chairperson of the Bengkulu Regional Representative Council of the Criminal Law and Criminology Society (MAHUPIKI), member of the Association of Indonesian Legal Laboratories (ALHI), member and reviewer of the Indonesian PKM Lecturer Association, member of the Association of Pancasila and Citizenship Lecturers, </w:t>
      </w:r>
      <w:r w:rsidR="00E9348F">
        <w:rPr>
          <w:szCs w:val="22"/>
          <w:lang w:val="en-ID"/>
        </w:rPr>
        <w:t>m</w:t>
      </w:r>
      <w:r>
        <w:rPr>
          <w:szCs w:val="22"/>
          <w:lang w:val="en-ID"/>
        </w:rPr>
        <w:t xml:space="preserve">ember of the Association of Indonesian Corruption Education Lecturers (ADPAKI), </w:t>
      </w:r>
      <w:r w:rsidR="00A17173">
        <w:rPr>
          <w:szCs w:val="22"/>
          <w:lang w:val="en-ID"/>
        </w:rPr>
        <w:t xml:space="preserve">and </w:t>
      </w:r>
      <w:r w:rsidR="00BD3C25">
        <w:rPr>
          <w:szCs w:val="22"/>
          <w:lang w:val="en-ID"/>
        </w:rPr>
        <w:t xml:space="preserve">part of the </w:t>
      </w:r>
      <w:r>
        <w:rPr>
          <w:szCs w:val="22"/>
          <w:lang w:val="en-ID"/>
        </w:rPr>
        <w:t>Executive Board of the Association of Criminal Law and Criminology Lecturers (ASPERHUPIKI).</w:t>
      </w:r>
    </w:p>
    <w:p w14:paraId="7899CB5E" w14:textId="77777777" w:rsidR="00FC36C3" w:rsidRPr="00FC36C3" w:rsidRDefault="00FC36C3" w:rsidP="00FC36C3">
      <w:pPr>
        <w:spacing w:line="276" w:lineRule="auto"/>
        <w:ind w:firstLine="0"/>
        <w:rPr>
          <w:szCs w:val="22"/>
        </w:rPr>
      </w:pPr>
    </w:p>
    <w:p w14:paraId="08400ABF" w14:textId="77777777" w:rsidR="00CB3AE2" w:rsidRDefault="00CB3AE2" w:rsidP="00CB3AE2">
      <w:pPr>
        <w:pStyle w:val="SubJudulTemplate"/>
        <w:rPr>
          <w:lang w:val="en-US"/>
        </w:rPr>
      </w:pPr>
      <w:r w:rsidRPr="009C39FC">
        <w:t xml:space="preserve">6. </w:t>
      </w:r>
      <w:r>
        <w:tab/>
      </w:r>
      <w:r>
        <w:rPr>
          <w:lang w:val="en-US"/>
        </w:rPr>
        <w:t xml:space="preserve">STATEMENT OF ORIGINALITY </w:t>
      </w:r>
    </w:p>
    <w:p w14:paraId="1BE903ED" w14:textId="134E8D0D" w:rsidR="00CB3AE2" w:rsidRPr="00770C1F" w:rsidRDefault="005A53FB" w:rsidP="00CB3AE2">
      <w:pPr>
        <w:spacing w:line="276" w:lineRule="auto"/>
      </w:pPr>
      <w:r w:rsidRPr="005A53FB">
        <w:t>This article is an original composition by the author, free from plagiarism, and includes properly cited sources in accordance with relevant citation standards. Furthermore, it has not been previously published, nor is it under consideration for publication in other journals.</w:t>
      </w:r>
    </w:p>
    <w:p w14:paraId="554859F6" w14:textId="77777777" w:rsidR="00CB3AE2" w:rsidRPr="009C39FC" w:rsidRDefault="00CB3AE2" w:rsidP="00CB3AE2">
      <w:pPr>
        <w:pStyle w:val="SubJudulTemplate"/>
      </w:pPr>
      <w:r>
        <w:rPr>
          <w:lang w:val="en-US"/>
        </w:rPr>
        <w:t xml:space="preserve">7. </w:t>
      </w:r>
      <w:r>
        <w:rPr>
          <w:lang w:val="en-US"/>
        </w:rPr>
        <w:tab/>
      </w:r>
      <w:r w:rsidRPr="009C39FC">
        <w:t xml:space="preserve">OTHERS </w:t>
      </w:r>
    </w:p>
    <w:p w14:paraId="53B01B6A" w14:textId="77777777" w:rsidR="00CB3AE2" w:rsidRPr="009C39FC" w:rsidRDefault="00CB3AE2" w:rsidP="00CB3AE2">
      <w:pPr>
        <w:spacing w:line="276" w:lineRule="auto"/>
        <w:rPr>
          <w:lang w:val="id-ID"/>
        </w:rPr>
      </w:pPr>
      <w:r>
        <w:t>None</w:t>
      </w:r>
      <w:r w:rsidRPr="009C39FC">
        <w:rPr>
          <w:lang w:val="id-ID"/>
        </w:rPr>
        <w:t xml:space="preserve"> </w:t>
      </w:r>
    </w:p>
    <w:p w14:paraId="5E795D2F" w14:textId="77777777" w:rsidR="001F09ED" w:rsidRDefault="00000000">
      <w:pPr>
        <w:spacing w:after="0"/>
        <w:ind w:firstLine="0"/>
        <w:contextualSpacing w:val="0"/>
        <w:jc w:val="left"/>
        <w:rPr>
          <w:i/>
          <w:sz w:val="48"/>
          <w:szCs w:val="48"/>
        </w:rPr>
      </w:pPr>
      <w:r>
        <w:br w:type="page"/>
      </w:r>
    </w:p>
    <w:p w14:paraId="70F8C297" w14:textId="77777777" w:rsidR="0053193C" w:rsidRDefault="0053193C">
      <w:pPr>
        <w:pStyle w:val="Title"/>
        <w:spacing w:beforeAutospacing="0" w:after="0" w:afterAutospacing="0" w:line="276" w:lineRule="auto"/>
        <w:rPr>
          <w:lang w:val="en-ID"/>
        </w:rPr>
        <w:sectPr w:rsidR="0053193C" w:rsidSect="00BC0BB0">
          <w:footnotePr>
            <w:numRestart w:val="eachSect"/>
          </w:footnotePr>
          <w:type w:val="continuous"/>
          <w:pgSz w:w="11906" w:h="16838"/>
          <w:pgMar w:top="1985" w:right="1418" w:bottom="1418" w:left="1418" w:header="0" w:footer="0" w:gutter="0"/>
          <w:cols w:space="720"/>
          <w:formProt w:val="0"/>
          <w:docGrid w:linePitch="360"/>
        </w:sectPr>
      </w:pPr>
    </w:p>
    <w:p w14:paraId="124E17FD" w14:textId="0272C187" w:rsidR="00864FF8" w:rsidRPr="00E47DF7" w:rsidRDefault="005F6297">
      <w:pPr>
        <w:pStyle w:val="Title"/>
        <w:spacing w:beforeAutospacing="0" w:after="0" w:afterAutospacing="0" w:line="276" w:lineRule="auto"/>
        <w:rPr>
          <w:lang w:val="en-ID"/>
        </w:rPr>
      </w:pPr>
      <w:bookmarkStart w:id="0" w:name="_Hlk144811013"/>
      <w:r w:rsidRPr="005F6297">
        <w:rPr>
          <w:lang w:val="en-ID"/>
        </w:rPr>
        <w:lastRenderedPageBreak/>
        <w:t>Controversial Articles in the Information Age: Articles 263 and 264 of the New Criminal Code and their Impact on Press Freedom and Human Rights</w:t>
      </w:r>
    </w:p>
    <w:bookmarkEnd w:id="0"/>
    <w:p w14:paraId="58FB0592" w14:textId="77777777" w:rsidR="00864FF8" w:rsidRPr="00E47DF7" w:rsidRDefault="00864FF8">
      <w:pPr>
        <w:spacing w:after="0" w:line="276" w:lineRule="auto"/>
        <w:rPr>
          <w:lang w:val="en-ID"/>
        </w:rPr>
      </w:pPr>
    </w:p>
    <w:p w14:paraId="3111A8E0" w14:textId="77777777" w:rsidR="00B849C9" w:rsidRPr="001F09ED" w:rsidRDefault="00000000" w:rsidP="00A07479">
      <w:pPr>
        <w:spacing w:after="0" w:line="276" w:lineRule="auto"/>
        <w:jc w:val="center"/>
        <w:rPr>
          <w:i/>
          <w:iCs/>
          <w:lang w:val="en-ID"/>
        </w:rPr>
      </w:pPr>
      <w:r>
        <w:rPr>
          <w:i/>
          <w:iCs/>
          <w:lang w:val="en-ID"/>
        </w:rPr>
        <w:t>Full Paper</w:t>
      </w:r>
    </w:p>
    <w:p w14:paraId="0D88765D" w14:textId="77777777" w:rsidR="00864FF8" w:rsidRPr="00E47DF7" w:rsidRDefault="00864FF8">
      <w:pPr>
        <w:spacing w:after="0" w:line="276" w:lineRule="auto"/>
        <w:rPr>
          <w:lang w:val="en-ID"/>
        </w:rPr>
      </w:pPr>
    </w:p>
    <w:p w14:paraId="47319138" w14:textId="77777777" w:rsidR="00864FF8" w:rsidRDefault="00000000" w:rsidP="00530E28">
      <w:pPr>
        <w:pStyle w:val="Heading1"/>
        <w:numPr>
          <w:ilvl w:val="0"/>
          <w:numId w:val="0"/>
        </w:numPr>
      </w:pPr>
      <w:r w:rsidRPr="00E47DF7">
        <w:t>Abstract</w:t>
      </w:r>
    </w:p>
    <w:p w14:paraId="03DE99CB" w14:textId="795549CF" w:rsidR="001B0AE2" w:rsidRPr="0039759A" w:rsidRDefault="00F93827" w:rsidP="001B0AE2">
      <w:pPr>
        <w:ind w:firstLine="0"/>
        <w:rPr>
          <w:b/>
          <w:bCs/>
          <w:color w:val="538135" w:themeColor="accent6" w:themeShade="BF"/>
          <w:lang w:val="en-ID" w:eastAsia="en-ID"/>
        </w:rPr>
      </w:pPr>
      <w:r w:rsidRPr="00F93827">
        <w:rPr>
          <w:lang w:val="en-ID" w:eastAsia="en-ID"/>
        </w:rPr>
        <w:t xml:space="preserve">The public, human rights advocates, and media practitioners have engaged in significant debate regarding Articles 263 and 264 of the new Criminal Code (KUHP). These articles establish laws that </w:t>
      </w:r>
      <w:r w:rsidR="00B8573B">
        <w:rPr>
          <w:lang w:val="en-ID" w:eastAsia="en-ID"/>
        </w:rPr>
        <w:t>criminalizes</w:t>
      </w:r>
      <w:r w:rsidRPr="00F93827">
        <w:rPr>
          <w:lang w:val="en-ID" w:eastAsia="en-ID"/>
        </w:rPr>
        <w:t xml:space="preserve"> spread</w:t>
      </w:r>
      <w:r w:rsidR="00B8573B">
        <w:rPr>
          <w:lang w:val="en-ID" w:eastAsia="en-ID"/>
        </w:rPr>
        <w:t>ing</w:t>
      </w:r>
      <w:r w:rsidRPr="00F93827">
        <w:rPr>
          <w:lang w:val="en-ID" w:eastAsia="en-ID"/>
        </w:rPr>
        <w:t xml:space="preserve"> false news that could cause social unrest. The punishments for spreading such information vary depending on the severity and intention behind its dissemination. Articles 263(1) and (2) differentiate between intentionally spreading false information that the </w:t>
      </w:r>
      <w:r w:rsidR="008E469A">
        <w:rPr>
          <w:lang w:val="en-ID" w:eastAsia="en-ID"/>
        </w:rPr>
        <w:t>perpetrator</w:t>
      </w:r>
      <w:r w:rsidR="008E469A" w:rsidRPr="00F93827">
        <w:rPr>
          <w:lang w:val="en-ID" w:eastAsia="en-ID"/>
        </w:rPr>
        <w:t xml:space="preserve"> </w:t>
      </w:r>
      <w:r w:rsidRPr="00F93827">
        <w:rPr>
          <w:lang w:val="en-ID" w:eastAsia="en-ID"/>
        </w:rPr>
        <w:t xml:space="preserve">knows is untrue and spreading information that is reasonably believed to be false. The punishment for this offense can be imprisonment for up to six years or a maximum fine of category V. Article 264 specifically addresses the act of spreading false information that the </w:t>
      </w:r>
      <w:r w:rsidR="00BA4E3F">
        <w:rPr>
          <w:lang w:val="en-ID" w:eastAsia="en-ID"/>
        </w:rPr>
        <w:t>perpetatror</w:t>
      </w:r>
      <w:r w:rsidRPr="00F93827">
        <w:rPr>
          <w:lang w:val="en-ID" w:eastAsia="en-ID"/>
        </w:rPr>
        <w:t xml:space="preserve"> </w:t>
      </w:r>
      <w:r w:rsidR="00486420">
        <w:rPr>
          <w:lang w:val="en-ID" w:eastAsia="en-ID"/>
        </w:rPr>
        <w:t>knows</w:t>
      </w:r>
      <w:r w:rsidRPr="00F93827">
        <w:rPr>
          <w:lang w:val="en-ID" w:eastAsia="en-ID"/>
        </w:rPr>
        <w:t xml:space="preserve"> is untrue. </w:t>
      </w:r>
      <w:r w:rsidR="0094536F">
        <w:rPr>
          <w:lang w:val="en-ID" w:eastAsia="en-ID"/>
        </w:rPr>
        <w:t xml:space="preserve">Meanwhile, </w:t>
      </w:r>
      <w:r w:rsidRPr="00F93827">
        <w:rPr>
          <w:lang w:val="en-ID" w:eastAsia="en-ID"/>
        </w:rPr>
        <w:t xml:space="preserve">Article 264 specifically addresses the </w:t>
      </w:r>
      <w:r w:rsidR="008E549A">
        <w:rPr>
          <w:lang w:val="en-ID" w:eastAsia="en-ID"/>
        </w:rPr>
        <w:t xml:space="preserve">act of </w:t>
      </w:r>
      <w:r w:rsidRPr="00F93827">
        <w:rPr>
          <w:lang w:val="en-ID" w:eastAsia="en-ID"/>
        </w:rPr>
        <w:t>spreading of ambiguous, exaggerated, or incomplete</w:t>
      </w:r>
      <w:r w:rsidR="008E549A">
        <w:rPr>
          <w:lang w:val="en-ID" w:eastAsia="en-ID"/>
        </w:rPr>
        <w:t xml:space="preserve"> </w:t>
      </w:r>
      <w:r w:rsidR="008E549A" w:rsidRPr="00F93827">
        <w:rPr>
          <w:lang w:val="en-ID" w:eastAsia="en-ID"/>
        </w:rPr>
        <w:t>news</w:t>
      </w:r>
      <w:r w:rsidRPr="00F93827">
        <w:rPr>
          <w:lang w:val="en-ID" w:eastAsia="en-ID"/>
        </w:rPr>
        <w:t xml:space="preserve">. Those found guilty can face a maximum penalty of two years in prison or a category III fine. This study utilizes normative legal methodologies, which include statutory, conceptual, comparative, and futuristic approaches. The research design is characterized by both descriptive and prescriptive elements. </w:t>
      </w:r>
      <w:r w:rsidR="00A44AC4">
        <w:rPr>
          <w:lang w:val="en-ID" w:eastAsia="en-ID"/>
        </w:rPr>
        <w:t>C</w:t>
      </w:r>
      <w:r w:rsidRPr="00F93827">
        <w:rPr>
          <w:lang w:val="en-ID" w:eastAsia="en-ID"/>
        </w:rPr>
        <w:t xml:space="preserve">ontent analysis </w:t>
      </w:r>
      <w:r w:rsidR="00B432A6">
        <w:rPr>
          <w:lang w:val="en-ID" w:eastAsia="en-ID"/>
        </w:rPr>
        <w:t>was conducted to evaluate</w:t>
      </w:r>
      <w:r w:rsidRPr="00F93827">
        <w:rPr>
          <w:lang w:val="en-ID" w:eastAsia="en-ID"/>
        </w:rPr>
        <w:t xml:space="preserve"> the collected data. The study's findings illustrate that the primary objective of Articles 263 and 264 of the new Criminal Code is to maintain public order and deter riots that may arise as a consequence of </w:t>
      </w:r>
      <w:r w:rsidR="008A007A">
        <w:rPr>
          <w:lang w:val="en-ID" w:eastAsia="en-ID"/>
        </w:rPr>
        <w:t xml:space="preserve">the </w:t>
      </w:r>
      <w:r w:rsidRPr="00F93827">
        <w:rPr>
          <w:lang w:val="en-ID" w:eastAsia="en-ID"/>
        </w:rPr>
        <w:t>disseminati</w:t>
      </w:r>
      <w:r w:rsidR="008A007A">
        <w:rPr>
          <w:lang w:val="en-ID" w:eastAsia="en-ID"/>
        </w:rPr>
        <w:t>on of</w:t>
      </w:r>
      <w:r w:rsidRPr="00F93827">
        <w:rPr>
          <w:lang w:val="en-ID" w:eastAsia="en-ID"/>
        </w:rPr>
        <w:t xml:space="preserve"> incorrect information. Nevertheless, these provisions have been criticized for their potential to be used as a means to suppress press freedom and </w:t>
      </w:r>
      <w:r w:rsidR="00F62D19">
        <w:rPr>
          <w:lang w:val="en-ID" w:eastAsia="en-ID"/>
        </w:rPr>
        <w:t>limit</w:t>
      </w:r>
      <w:r w:rsidR="00F62D19" w:rsidRPr="00F93827">
        <w:rPr>
          <w:lang w:val="en-ID" w:eastAsia="en-ID"/>
        </w:rPr>
        <w:t xml:space="preserve"> </w:t>
      </w:r>
      <w:r w:rsidRPr="00F93827">
        <w:rPr>
          <w:lang w:val="en-ID" w:eastAsia="en-ID"/>
        </w:rPr>
        <w:t xml:space="preserve">public expression, both of which are fundamental aspects of democracy and the </w:t>
      </w:r>
      <w:r w:rsidR="009B1778">
        <w:rPr>
          <w:lang w:val="en-ID" w:eastAsia="en-ID"/>
        </w:rPr>
        <w:t>protection</w:t>
      </w:r>
      <w:r w:rsidR="009B1778" w:rsidRPr="00F93827">
        <w:rPr>
          <w:lang w:val="en-ID" w:eastAsia="en-ID"/>
        </w:rPr>
        <w:t xml:space="preserve"> </w:t>
      </w:r>
      <w:r w:rsidRPr="00F93827">
        <w:rPr>
          <w:lang w:val="en-ID" w:eastAsia="en-ID"/>
        </w:rPr>
        <w:t xml:space="preserve">of human rights. Concerns have been raised about the potential impact of </w:t>
      </w:r>
      <w:r w:rsidR="007F26E4">
        <w:rPr>
          <w:lang w:val="en-ID" w:eastAsia="en-ID"/>
        </w:rPr>
        <w:t xml:space="preserve">the </w:t>
      </w:r>
      <w:r w:rsidRPr="00F93827">
        <w:rPr>
          <w:lang w:val="en-ID" w:eastAsia="en-ID"/>
        </w:rPr>
        <w:t>implement</w:t>
      </w:r>
      <w:r w:rsidR="007F26E4">
        <w:rPr>
          <w:lang w:val="en-ID" w:eastAsia="en-ID"/>
        </w:rPr>
        <w:t>ation</w:t>
      </w:r>
      <w:r w:rsidRPr="00F93827">
        <w:rPr>
          <w:lang w:val="en-ID" w:eastAsia="en-ID"/>
        </w:rPr>
        <w:t xml:space="preserve"> </w:t>
      </w:r>
      <w:r w:rsidR="00E7250E">
        <w:rPr>
          <w:lang w:val="en-ID" w:eastAsia="en-ID"/>
        </w:rPr>
        <w:t>of these articles</w:t>
      </w:r>
      <w:r w:rsidRPr="00F93827">
        <w:rPr>
          <w:lang w:val="en-ID" w:eastAsia="en-ID"/>
        </w:rPr>
        <w:t xml:space="preserve"> on the protection of press freedom as guaranteed by the Press Law</w:t>
      </w:r>
      <w:r>
        <w:rPr>
          <w:lang w:val="en-ID" w:eastAsia="en-ID"/>
        </w:rPr>
        <w:t>.</w:t>
      </w:r>
    </w:p>
    <w:p w14:paraId="34466483" w14:textId="77777777" w:rsidR="005F6297" w:rsidRPr="005F6297" w:rsidRDefault="005F6297" w:rsidP="005F6297">
      <w:pPr>
        <w:ind w:firstLine="0"/>
        <w:rPr>
          <w:lang w:val="en-ID"/>
        </w:rPr>
      </w:pPr>
    </w:p>
    <w:p w14:paraId="53D8D519" w14:textId="77777777" w:rsidR="00586D1B" w:rsidRPr="00586D1B" w:rsidRDefault="00000000" w:rsidP="000B2FAE">
      <w:pPr>
        <w:pBdr>
          <w:bottom w:val="single" w:sz="6" w:space="1" w:color="auto"/>
        </w:pBdr>
        <w:suppressAutoHyphens w:val="0"/>
        <w:spacing w:after="0"/>
        <w:ind w:firstLine="0"/>
        <w:contextualSpacing w:val="0"/>
        <w:rPr>
          <w:rFonts w:ascii="Arial" w:eastAsia="Times New Roman" w:hAnsi="Arial" w:cs="Arial"/>
          <w:vanish/>
          <w:sz w:val="16"/>
          <w:szCs w:val="16"/>
          <w:lang w:val="en-ID" w:eastAsia="en-ID"/>
        </w:rPr>
      </w:pPr>
      <w:r w:rsidRPr="00586D1B">
        <w:rPr>
          <w:rFonts w:ascii="Arial" w:eastAsia="Times New Roman" w:hAnsi="Arial" w:cs="Arial"/>
          <w:vanish/>
          <w:sz w:val="16"/>
          <w:szCs w:val="16"/>
          <w:lang w:val="en-ID" w:eastAsia="en-ID"/>
        </w:rPr>
        <w:t>Top of Form</w:t>
      </w:r>
    </w:p>
    <w:p w14:paraId="3F46C160" w14:textId="36240854" w:rsidR="0067601C" w:rsidRPr="0067601C" w:rsidRDefault="00000000" w:rsidP="0067601C">
      <w:pPr>
        <w:pStyle w:val="AbstractContent"/>
        <w:spacing w:after="0" w:line="276" w:lineRule="auto"/>
        <w:rPr>
          <w:b/>
          <w:bCs/>
          <w:lang w:val="en-ID" w:eastAsia="en-ID"/>
        </w:rPr>
      </w:pPr>
      <w:r w:rsidRPr="00E47DF7">
        <w:rPr>
          <w:b/>
          <w:lang w:val="en-ID"/>
        </w:rPr>
        <w:t>Keywords:</w:t>
      </w:r>
      <w:r w:rsidRPr="000B2FAE">
        <w:rPr>
          <w:lang w:val="en-ID" w:eastAsia="en-ID"/>
        </w:rPr>
        <w:t xml:space="preserve"> </w:t>
      </w:r>
      <w:r w:rsidR="0067601C" w:rsidRPr="0067601C">
        <w:rPr>
          <w:b/>
          <w:bCs/>
          <w:lang w:val="en-ID" w:eastAsia="en-ID"/>
        </w:rPr>
        <w:t xml:space="preserve">Article 263 of the Criminal Code, Article 264 of the Criminal Code, </w:t>
      </w:r>
      <w:r w:rsidR="00696F61" w:rsidRPr="0067601C">
        <w:rPr>
          <w:b/>
          <w:bCs/>
          <w:lang w:val="en-ID" w:eastAsia="en-ID"/>
        </w:rPr>
        <w:t>Democracy, Freedom of Expression</w:t>
      </w:r>
      <w:r w:rsidR="00696F61">
        <w:rPr>
          <w:b/>
          <w:bCs/>
          <w:lang w:val="en-ID" w:eastAsia="en-ID"/>
        </w:rPr>
        <w:t xml:space="preserve">, </w:t>
      </w:r>
      <w:r w:rsidR="0067601C" w:rsidRPr="0067601C">
        <w:rPr>
          <w:b/>
          <w:bCs/>
          <w:lang w:val="en-ID" w:eastAsia="en-ID"/>
        </w:rPr>
        <w:t>Freedom of the Press, Human Rights</w:t>
      </w:r>
      <w:r w:rsidR="00696F61">
        <w:rPr>
          <w:b/>
          <w:bCs/>
          <w:lang w:val="en-ID" w:eastAsia="en-ID"/>
        </w:rPr>
        <w:t>.</w:t>
      </w:r>
    </w:p>
    <w:p w14:paraId="4CC1F8B0" w14:textId="77777777" w:rsidR="000B2FAE" w:rsidRPr="00E47DF7" w:rsidRDefault="000B2FAE">
      <w:pPr>
        <w:pStyle w:val="AbstractContent"/>
        <w:spacing w:after="0" w:line="276" w:lineRule="auto"/>
        <w:rPr>
          <w:lang w:val="en-ID"/>
        </w:rPr>
      </w:pPr>
    </w:p>
    <w:p w14:paraId="486E5586" w14:textId="77777777" w:rsidR="00864FF8" w:rsidRPr="00E47DF7" w:rsidRDefault="00000000" w:rsidP="001B0212">
      <w:pPr>
        <w:pStyle w:val="Heading1"/>
        <w:ind w:left="426"/>
      </w:pPr>
      <w:r w:rsidRPr="00E47DF7">
        <w:t>Introduction</w:t>
      </w:r>
    </w:p>
    <w:p w14:paraId="6FE6D41A" w14:textId="0C71A470" w:rsidR="007B5FC4" w:rsidRDefault="00F93827" w:rsidP="007B5FC4">
      <w:pPr>
        <w:ind w:firstLine="426"/>
        <w:rPr>
          <w:lang w:val="en-ID" w:eastAsia="en-ID"/>
        </w:rPr>
      </w:pPr>
      <w:r w:rsidRPr="00F93827">
        <w:rPr>
          <w:lang w:val="en-ID" w:eastAsia="en-ID"/>
        </w:rPr>
        <w:t xml:space="preserve">Since its inception in 1963, the amendment of the Criminal Code (KUHP) has undergone a series of intricate and </w:t>
      </w:r>
      <w:r w:rsidR="00344219">
        <w:rPr>
          <w:lang w:val="en-ID" w:eastAsia="en-ID"/>
        </w:rPr>
        <w:t>prolonged</w:t>
      </w:r>
      <w:r w:rsidR="00344219" w:rsidRPr="00F93827">
        <w:rPr>
          <w:lang w:val="en-ID" w:eastAsia="en-ID"/>
        </w:rPr>
        <w:t xml:space="preserve"> </w:t>
      </w:r>
      <w:r w:rsidRPr="00F93827">
        <w:rPr>
          <w:lang w:val="en-ID" w:eastAsia="en-ID"/>
        </w:rPr>
        <w:t xml:space="preserve">stages of formulation and discussion. The </w:t>
      </w:r>
      <w:r w:rsidR="00D73EB7">
        <w:rPr>
          <w:lang w:val="en-ID" w:eastAsia="en-ID"/>
        </w:rPr>
        <w:t>effort</w:t>
      </w:r>
      <w:r w:rsidR="00D73EB7" w:rsidRPr="00F93827">
        <w:rPr>
          <w:lang w:val="en-ID" w:eastAsia="en-ID"/>
        </w:rPr>
        <w:t xml:space="preserve"> </w:t>
      </w:r>
      <w:r w:rsidRPr="00F93827">
        <w:rPr>
          <w:lang w:val="en-ID" w:eastAsia="en-ID"/>
        </w:rPr>
        <w:t xml:space="preserve">to modernize the </w:t>
      </w:r>
      <w:r w:rsidR="00451264">
        <w:rPr>
          <w:lang w:val="en-ID" w:eastAsia="en-ID"/>
        </w:rPr>
        <w:t>Criminal Code</w:t>
      </w:r>
      <w:r w:rsidRPr="00F93827">
        <w:rPr>
          <w:lang w:val="en-ID" w:eastAsia="en-ID"/>
        </w:rPr>
        <w:t xml:space="preserve">, </w:t>
      </w:r>
      <w:r w:rsidR="00F96C7C">
        <w:rPr>
          <w:lang w:val="en-ID" w:eastAsia="en-ID"/>
        </w:rPr>
        <w:t xml:space="preserve">which was </w:t>
      </w:r>
      <w:r w:rsidRPr="00F93827">
        <w:rPr>
          <w:lang w:val="en-ID" w:eastAsia="en-ID"/>
        </w:rPr>
        <w:t>derived from the Dutch colonial era</w:t>
      </w:r>
      <w:r w:rsidR="00F75AB8">
        <w:rPr>
          <w:lang w:val="en-ID" w:eastAsia="en-ID"/>
        </w:rPr>
        <w:t>’s</w:t>
      </w:r>
      <w:r w:rsidRPr="00F93827">
        <w:rPr>
          <w:lang w:val="en-ID" w:eastAsia="en-ID"/>
        </w:rPr>
        <w:t xml:space="preserve"> Wetboek van Strafrecht voor Nederlandsch-Indië (WvSNI), seeks to accurately represent Indonesia's present values, conventions, and socio-political circumstances. Following extensive deliberations, research, and amendments, the government and the House of Representatives (DPR) have successfully enacted a new Criminal Code under Law No. 1 </w:t>
      </w:r>
      <w:r w:rsidR="00785A2F">
        <w:rPr>
          <w:lang w:val="en-ID" w:eastAsia="en-ID"/>
        </w:rPr>
        <w:t>of</w:t>
      </w:r>
      <w:r w:rsidR="00785A2F" w:rsidRPr="00F93827">
        <w:rPr>
          <w:lang w:val="en-ID" w:eastAsia="en-ID"/>
        </w:rPr>
        <w:t xml:space="preserve"> </w:t>
      </w:r>
      <w:r w:rsidRPr="00F93827">
        <w:rPr>
          <w:lang w:val="en-ID" w:eastAsia="en-ID"/>
        </w:rPr>
        <w:t>2023 on the Criminal Code</w:t>
      </w:r>
      <w:r w:rsidR="007B5FC4" w:rsidRPr="007B5FC4">
        <w:rPr>
          <w:lang w:val="en-ID" w:eastAsia="en-ID"/>
        </w:rPr>
        <w:t>.</w:t>
      </w:r>
      <w:r w:rsidR="00E43809">
        <w:rPr>
          <w:rStyle w:val="FootnoteReference"/>
          <w:lang w:val="en-ID" w:eastAsia="en-ID"/>
        </w:rPr>
        <w:footnoteReference w:id="1"/>
      </w:r>
      <w:r w:rsidR="007B5FC4" w:rsidRPr="007B5FC4">
        <w:rPr>
          <w:lang w:val="en-ID" w:eastAsia="en-ID"/>
        </w:rPr>
        <w:t xml:space="preserve"> </w:t>
      </w:r>
      <w:r w:rsidRPr="00F93827">
        <w:rPr>
          <w:lang w:val="en-ID" w:eastAsia="en-ID"/>
        </w:rPr>
        <w:t xml:space="preserve">Significant revisions have been implemented in the Criminal Code, encompassing </w:t>
      </w:r>
      <w:r w:rsidR="00E46C6D">
        <w:rPr>
          <w:lang w:val="en-ID" w:eastAsia="en-ID"/>
        </w:rPr>
        <w:t>amendments</w:t>
      </w:r>
      <w:r w:rsidR="00A5156C" w:rsidRPr="00F93827">
        <w:rPr>
          <w:lang w:val="en-ID" w:eastAsia="en-ID"/>
        </w:rPr>
        <w:t xml:space="preserve"> </w:t>
      </w:r>
      <w:r w:rsidRPr="00F93827">
        <w:rPr>
          <w:lang w:val="en-ID" w:eastAsia="en-ID"/>
        </w:rPr>
        <w:t xml:space="preserve">to human rights provisions, reaffirmation of national legal authority, and </w:t>
      </w:r>
      <w:r w:rsidRPr="00F93827">
        <w:rPr>
          <w:lang w:val="en-ID" w:eastAsia="en-ID"/>
        </w:rPr>
        <w:lastRenderedPageBreak/>
        <w:t>adjustment to the requirements and complexities of modern society. These amendments are expected to strengthen Indonesia's criminal justice system and reaffirm the nation's commitment to democracy, justice, and the preservation of human rights. Since achieving independence in 1945, Indonesia has made great progress by implementing the new Criminal Code, which represents a pivotal moment in the nation's legal history</w:t>
      </w:r>
      <w:r w:rsidR="007B5FC4" w:rsidRPr="007B5FC4">
        <w:rPr>
          <w:lang w:val="en-ID" w:eastAsia="en-ID"/>
        </w:rPr>
        <w:t>.</w:t>
      </w:r>
      <w:r w:rsidR="00E43809">
        <w:rPr>
          <w:rStyle w:val="FootnoteReference"/>
          <w:lang w:val="en-ID" w:eastAsia="en-ID"/>
        </w:rPr>
        <w:footnoteReference w:id="2"/>
      </w:r>
      <w:r w:rsidR="007B5FC4" w:rsidRPr="007B5FC4">
        <w:rPr>
          <w:lang w:val="en-ID" w:eastAsia="en-ID"/>
        </w:rPr>
        <w:t xml:space="preserve"> </w:t>
      </w:r>
      <w:r w:rsidRPr="00F93827">
        <w:rPr>
          <w:lang w:val="en-ID" w:eastAsia="en-ID"/>
        </w:rPr>
        <w:t xml:space="preserve">As a remnant of the Dutch East Indies era, the </w:t>
      </w:r>
      <w:r w:rsidR="003A5885">
        <w:rPr>
          <w:lang w:val="en-ID" w:eastAsia="en-ID"/>
        </w:rPr>
        <w:t>old</w:t>
      </w:r>
      <w:r w:rsidR="003A5885" w:rsidRPr="00F93827">
        <w:rPr>
          <w:lang w:val="en-ID" w:eastAsia="en-ID"/>
        </w:rPr>
        <w:t xml:space="preserve"> </w:t>
      </w:r>
      <w:r w:rsidRPr="00F93827">
        <w:rPr>
          <w:lang w:val="en-ID" w:eastAsia="en-ID"/>
        </w:rPr>
        <w:t xml:space="preserve">Criminal Code has been widely recognized as being incongruous with the progress made in culture, customs, technology, and social organization. The revised </w:t>
      </w:r>
      <w:r w:rsidR="00146934">
        <w:rPr>
          <w:lang w:val="en-ID" w:eastAsia="en-ID"/>
        </w:rPr>
        <w:t>Criminal Code</w:t>
      </w:r>
      <w:r w:rsidR="00146934" w:rsidRPr="00F93827">
        <w:rPr>
          <w:lang w:val="en-ID" w:eastAsia="en-ID"/>
        </w:rPr>
        <w:t xml:space="preserve"> </w:t>
      </w:r>
      <w:r w:rsidRPr="00F93827">
        <w:rPr>
          <w:lang w:val="en-ID" w:eastAsia="en-ID"/>
        </w:rPr>
        <w:t xml:space="preserve">is expected to better reflect the fundamental ideas and values of Indonesian criminal justice enforcement. </w:t>
      </w:r>
      <w:r w:rsidR="0078535A">
        <w:rPr>
          <w:lang w:val="en-ID" w:eastAsia="en-ID"/>
        </w:rPr>
        <w:t xml:space="preserve">It is anticipated that </w:t>
      </w:r>
      <w:r w:rsidR="00DC482B">
        <w:rPr>
          <w:lang w:val="en-ID" w:eastAsia="en-ID"/>
        </w:rPr>
        <w:t>t</w:t>
      </w:r>
      <w:r w:rsidRPr="00F93827">
        <w:rPr>
          <w:lang w:val="en-ID" w:eastAsia="en-ID"/>
        </w:rPr>
        <w:t xml:space="preserve">he new </w:t>
      </w:r>
      <w:r w:rsidR="00DC482B">
        <w:rPr>
          <w:lang w:val="en-ID" w:eastAsia="en-ID"/>
        </w:rPr>
        <w:t>Criminal Code</w:t>
      </w:r>
      <w:r w:rsidRPr="00F93827">
        <w:rPr>
          <w:lang w:val="en-ID" w:eastAsia="en-ID"/>
        </w:rPr>
        <w:t xml:space="preserve"> </w:t>
      </w:r>
      <w:r w:rsidR="00195418">
        <w:rPr>
          <w:lang w:val="en-ID" w:eastAsia="en-ID"/>
        </w:rPr>
        <w:t>will</w:t>
      </w:r>
      <w:r w:rsidR="004A391E" w:rsidRPr="00F93827">
        <w:rPr>
          <w:lang w:val="en-ID" w:eastAsia="en-ID"/>
        </w:rPr>
        <w:t xml:space="preserve"> </w:t>
      </w:r>
      <w:r w:rsidRPr="00F93827">
        <w:rPr>
          <w:lang w:val="en-ID" w:eastAsia="en-ID"/>
        </w:rPr>
        <w:t>improve justice, strengthen the effectiveness of law enforcement, and protect human rights, in response to the demands of modern society</w:t>
      </w:r>
      <w:r w:rsidR="007B5FC4" w:rsidRPr="007B5FC4">
        <w:rPr>
          <w:lang w:val="en-ID" w:eastAsia="en-ID"/>
        </w:rPr>
        <w:t>.</w:t>
      </w:r>
      <w:r w:rsidR="00E43809">
        <w:rPr>
          <w:rStyle w:val="FootnoteReference"/>
          <w:lang w:val="en-ID" w:eastAsia="en-ID"/>
        </w:rPr>
        <w:footnoteReference w:id="3"/>
      </w:r>
    </w:p>
    <w:p w14:paraId="7F17B18C" w14:textId="4D02568F" w:rsidR="007B5FC4" w:rsidRDefault="00F93827" w:rsidP="007B5FC4">
      <w:pPr>
        <w:ind w:firstLine="426"/>
        <w:rPr>
          <w:lang w:val="en-ID" w:eastAsia="en-ID"/>
        </w:rPr>
      </w:pPr>
      <w:r w:rsidRPr="00F93827">
        <w:rPr>
          <w:lang w:val="en-ID" w:eastAsia="en-ID"/>
        </w:rPr>
        <w:t>Nevertheless, the approval of the revised Criminal Code by the House of Representatives (DPR) in December has sparked numerous disputes and discussions</w:t>
      </w:r>
      <w:r w:rsidR="007B5FC4" w:rsidRPr="007B5FC4">
        <w:rPr>
          <w:lang w:val="en-ID" w:eastAsia="en-ID"/>
        </w:rPr>
        <w:t>.</w:t>
      </w:r>
      <w:r w:rsidR="00E43809">
        <w:rPr>
          <w:rStyle w:val="FootnoteReference"/>
          <w:lang w:val="en-ID" w:eastAsia="en-ID"/>
        </w:rPr>
        <w:footnoteReference w:id="4"/>
      </w:r>
      <w:r w:rsidR="007B5FC4" w:rsidRPr="007B5FC4">
        <w:rPr>
          <w:lang w:val="en-ID" w:eastAsia="en-ID"/>
        </w:rPr>
        <w:t xml:space="preserve"> </w:t>
      </w:r>
      <w:r w:rsidRPr="00F93827">
        <w:rPr>
          <w:lang w:val="en-ID" w:eastAsia="en-ID"/>
        </w:rPr>
        <w:t xml:space="preserve">The debate </w:t>
      </w:r>
      <w:r w:rsidR="00137A3B">
        <w:rPr>
          <w:lang w:val="en-ID" w:eastAsia="en-ID"/>
        </w:rPr>
        <w:t>involves</w:t>
      </w:r>
      <w:r w:rsidR="00137A3B" w:rsidRPr="00F93827">
        <w:rPr>
          <w:lang w:val="en-ID" w:eastAsia="en-ID"/>
        </w:rPr>
        <w:t xml:space="preserve"> </w:t>
      </w:r>
      <w:r w:rsidRPr="00F93827">
        <w:rPr>
          <w:lang w:val="en-ID" w:eastAsia="en-ID"/>
        </w:rPr>
        <w:t>not just the ordinary populace, but also other stakeholders and scholars. Some individuals believe that specific articles and provisions in the new Criminal Code pose a threat to press freedom, freedom of expression, and other human rights. However, it is important to note that the primary objective of the code is to update Indonesia's criminal code and align it with the requirements and principles of contemporary society</w:t>
      </w:r>
      <w:r w:rsidR="007B5FC4" w:rsidRPr="007B5FC4">
        <w:rPr>
          <w:lang w:val="en-ID" w:eastAsia="en-ID"/>
        </w:rPr>
        <w:t>.</w:t>
      </w:r>
      <w:r w:rsidR="00E43809">
        <w:rPr>
          <w:rStyle w:val="FootnoteReference"/>
          <w:lang w:val="en-ID" w:eastAsia="en-ID"/>
        </w:rPr>
        <w:footnoteReference w:id="5"/>
      </w:r>
      <w:r w:rsidR="007B5FC4" w:rsidRPr="007B5FC4">
        <w:rPr>
          <w:lang w:val="en-ID" w:eastAsia="en-ID"/>
        </w:rPr>
        <w:t xml:space="preserve"> </w:t>
      </w:r>
      <w:r w:rsidRPr="00F93827">
        <w:rPr>
          <w:lang w:val="en-ID" w:eastAsia="en-ID"/>
        </w:rPr>
        <w:t xml:space="preserve">There are concerns over the possibility of the law being applied in a discriminatory manner or being misused in real-life scenarios. This </w:t>
      </w:r>
      <w:r w:rsidR="00941F1D">
        <w:rPr>
          <w:lang w:val="en-ID" w:eastAsia="en-ID"/>
        </w:rPr>
        <w:t>discourse</w:t>
      </w:r>
      <w:r w:rsidR="00941F1D" w:rsidRPr="00F93827">
        <w:rPr>
          <w:lang w:val="en-ID" w:eastAsia="en-ID"/>
        </w:rPr>
        <w:t xml:space="preserve"> </w:t>
      </w:r>
      <w:r w:rsidRPr="00F93827">
        <w:rPr>
          <w:lang w:val="en-ID" w:eastAsia="en-ID"/>
        </w:rPr>
        <w:t xml:space="preserve">highlights the need </w:t>
      </w:r>
      <w:r w:rsidR="00941F1D">
        <w:rPr>
          <w:lang w:val="en-ID" w:eastAsia="en-ID"/>
        </w:rPr>
        <w:t>for</w:t>
      </w:r>
      <w:r w:rsidRPr="00F93827">
        <w:rPr>
          <w:lang w:val="en-ID" w:eastAsia="en-ID"/>
        </w:rPr>
        <w:t xml:space="preserve"> an equitable criminal justice system that can enhance both security and justice while safeguarding the fundamental rights of citizens.</w:t>
      </w:r>
    </w:p>
    <w:p w14:paraId="451145A0" w14:textId="11F9757E" w:rsidR="007B5FC4" w:rsidRDefault="00F93827" w:rsidP="007B5FC4">
      <w:pPr>
        <w:ind w:firstLine="426"/>
        <w:rPr>
          <w:lang w:val="en-ID" w:eastAsia="en-ID"/>
        </w:rPr>
      </w:pPr>
      <w:r w:rsidRPr="00F93827">
        <w:rPr>
          <w:lang w:val="en-ID" w:eastAsia="en-ID"/>
        </w:rPr>
        <w:t xml:space="preserve">The dissemination of false information or deceptive content has emerged as a significant worldwide issue in the </w:t>
      </w:r>
      <w:r w:rsidR="00517F8B">
        <w:rPr>
          <w:lang w:val="en-ID" w:eastAsia="en-ID"/>
        </w:rPr>
        <w:t>ever-</w:t>
      </w:r>
      <w:r w:rsidRPr="00F93827">
        <w:rPr>
          <w:lang w:val="en-ID" w:eastAsia="en-ID"/>
        </w:rPr>
        <w:t>changing era of information</w:t>
      </w:r>
      <w:r w:rsidR="007B5FC4" w:rsidRPr="007B5FC4">
        <w:rPr>
          <w:lang w:val="en-ID" w:eastAsia="en-ID"/>
        </w:rPr>
        <w:t>.</w:t>
      </w:r>
      <w:r w:rsidR="00E43809">
        <w:rPr>
          <w:rStyle w:val="FootnoteReference"/>
          <w:lang w:val="en-ID" w:eastAsia="en-ID"/>
        </w:rPr>
        <w:footnoteReference w:id="6"/>
      </w:r>
      <w:r w:rsidR="007B5FC4" w:rsidRPr="007B5FC4">
        <w:rPr>
          <w:lang w:val="en-ID" w:eastAsia="en-ID"/>
        </w:rPr>
        <w:t xml:space="preserve"> </w:t>
      </w:r>
      <w:r w:rsidRPr="00F93827">
        <w:rPr>
          <w:lang w:val="en-ID" w:eastAsia="en-ID"/>
        </w:rPr>
        <w:t>This phenomen</w:t>
      </w:r>
      <w:r w:rsidR="008A5C2B">
        <w:rPr>
          <w:lang w:val="en-ID" w:eastAsia="en-ID"/>
        </w:rPr>
        <w:t>on</w:t>
      </w:r>
      <w:r w:rsidRPr="00F93827">
        <w:rPr>
          <w:lang w:val="en-ID" w:eastAsia="en-ID"/>
        </w:rPr>
        <w:t xml:space="preserve"> has a profound impact on multiple facets of society, ranging from the stability of social and political structures to the level of public confidence in institutions and media</w:t>
      </w:r>
      <w:r w:rsidR="007B5FC4" w:rsidRPr="007B5FC4">
        <w:rPr>
          <w:lang w:val="en-ID" w:eastAsia="en-ID"/>
        </w:rPr>
        <w:t>.</w:t>
      </w:r>
      <w:r w:rsidR="00E43809">
        <w:rPr>
          <w:rStyle w:val="FootnoteReference"/>
          <w:lang w:val="en-ID" w:eastAsia="en-ID"/>
        </w:rPr>
        <w:footnoteReference w:id="7"/>
      </w:r>
      <w:r w:rsidR="007B5FC4" w:rsidRPr="007B5FC4">
        <w:rPr>
          <w:lang w:val="en-ID" w:eastAsia="en-ID"/>
        </w:rPr>
        <w:t xml:space="preserve"> </w:t>
      </w:r>
      <w:r w:rsidRPr="00F93827">
        <w:rPr>
          <w:lang w:val="en-ID" w:eastAsia="en-ID"/>
        </w:rPr>
        <w:t xml:space="preserve">Due to the widespread availability of digital platforms and social media, incorrect information can rapidly and extensively propagate, frequently without undergoing filtration or verification. This not only generates </w:t>
      </w:r>
      <w:r w:rsidR="00BF2B69">
        <w:rPr>
          <w:lang w:val="en-ID" w:eastAsia="en-ID"/>
        </w:rPr>
        <w:t>confusion</w:t>
      </w:r>
      <w:r w:rsidR="00BF2B69" w:rsidRPr="00F93827">
        <w:rPr>
          <w:lang w:val="en-ID" w:eastAsia="en-ID"/>
        </w:rPr>
        <w:t xml:space="preserve"> </w:t>
      </w:r>
      <w:r w:rsidRPr="00F93827">
        <w:rPr>
          <w:lang w:val="en-ID" w:eastAsia="en-ID"/>
        </w:rPr>
        <w:t xml:space="preserve">and misinterpretation among the general population but also allows </w:t>
      </w:r>
      <w:r w:rsidR="006A168A">
        <w:rPr>
          <w:lang w:val="en-ID" w:eastAsia="en-ID"/>
        </w:rPr>
        <w:t>certain parties</w:t>
      </w:r>
      <w:r w:rsidRPr="00F93827">
        <w:rPr>
          <w:lang w:val="en-ID" w:eastAsia="en-ID"/>
        </w:rPr>
        <w:t xml:space="preserve"> to manipulate public sentiment or provoke unrest</w:t>
      </w:r>
      <w:r w:rsidR="007B5FC4" w:rsidRPr="007B5FC4">
        <w:rPr>
          <w:lang w:val="en-ID" w:eastAsia="en-ID"/>
        </w:rPr>
        <w:t>.</w:t>
      </w:r>
      <w:r w:rsidR="00E43809">
        <w:rPr>
          <w:rStyle w:val="FootnoteReference"/>
          <w:lang w:val="en-ID" w:eastAsia="en-ID"/>
        </w:rPr>
        <w:footnoteReference w:id="8"/>
      </w:r>
      <w:r w:rsidR="007B5FC4" w:rsidRPr="007B5FC4">
        <w:rPr>
          <w:lang w:val="en-ID" w:eastAsia="en-ID"/>
        </w:rPr>
        <w:t xml:space="preserve"> </w:t>
      </w:r>
      <w:r w:rsidRPr="00F93827">
        <w:rPr>
          <w:lang w:val="en-ID" w:eastAsia="en-ID"/>
        </w:rPr>
        <w:t xml:space="preserve">Consequently, the significance of media literacy and the capacity to differentiate between genuine information and hoaxes has grown more crucial in order to uphold public trust in institutions and the media, as well as to preserve the stability and integrity of the public </w:t>
      </w:r>
      <w:r w:rsidR="005018C9">
        <w:rPr>
          <w:lang w:val="en-ID" w:eastAsia="en-ID"/>
        </w:rPr>
        <w:t>sphere</w:t>
      </w:r>
      <w:r w:rsidR="007B5FC4" w:rsidRPr="007B5FC4">
        <w:rPr>
          <w:lang w:val="en-ID" w:eastAsia="en-ID"/>
        </w:rPr>
        <w:t>.</w:t>
      </w:r>
      <w:r w:rsidR="00E43809">
        <w:rPr>
          <w:rStyle w:val="FootnoteReference"/>
          <w:lang w:val="en-ID" w:eastAsia="en-ID"/>
        </w:rPr>
        <w:footnoteReference w:id="9"/>
      </w:r>
      <w:r w:rsidR="007B5FC4" w:rsidRPr="007B5FC4">
        <w:rPr>
          <w:lang w:val="en-ID" w:eastAsia="en-ID"/>
        </w:rPr>
        <w:t xml:space="preserve"> </w:t>
      </w:r>
      <w:r w:rsidRPr="00F93827">
        <w:rPr>
          <w:lang w:val="en-ID" w:eastAsia="en-ID"/>
        </w:rPr>
        <w:t xml:space="preserve">Indonesia, a democratic </w:t>
      </w:r>
      <w:r w:rsidRPr="00F93827">
        <w:rPr>
          <w:lang w:val="en-ID" w:eastAsia="en-ID"/>
        </w:rPr>
        <w:lastRenderedPageBreak/>
        <w:t xml:space="preserve">nation that upholds press freedom through legislation, </w:t>
      </w:r>
      <w:r w:rsidR="0018761F">
        <w:rPr>
          <w:lang w:val="en-ID" w:eastAsia="en-ID"/>
        </w:rPr>
        <w:t>faces</w:t>
      </w:r>
      <w:r w:rsidR="0018761F" w:rsidRPr="00F93827">
        <w:rPr>
          <w:lang w:val="en-ID" w:eastAsia="en-ID"/>
        </w:rPr>
        <w:t xml:space="preserve"> </w:t>
      </w:r>
      <w:r w:rsidRPr="00F93827">
        <w:rPr>
          <w:lang w:val="en-ID" w:eastAsia="en-ID"/>
        </w:rPr>
        <w:t>a distinct problem in striking a balance between combating disinformation and protecting human rights, particularly the freedoms of expression and the press</w:t>
      </w:r>
      <w:r w:rsidR="007B5FC4" w:rsidRPr="007B5FC4">
        <w:rPr>
          <w:lang w:val="en-ID" w:eastAsia="en-ID"/>
        </w:rPr>
        <w:t>.</w:t>
      </w:r>
      <w:r w:rsidR="00E43809">
        <w:rPr>
          <w:rStyle w:val="FootnoteReference"/>
          <w:lang w:val="en-ID" w:eastAsia="en-ID"/>
        </w:rPr>
        <w:footnoteReference w:id="10"/>
      </w:r>
      <w:r w:rsidR="007B5FC4" w:rsidRPr="007B5FC4">
        <w:rPr>
          <w:lang w:val="en-ID" w:eastAsia="en-ID"/>
        </w:rPr>
        <w:t xml:space="preserve"> </w:t>
      </w:r>
      <w:r w:rsidR="008D2A82" w:rsidRPr="008D2A82">
        <w:rPr>
          <w:lang w:val="en-ID" w:eastAsia="en-ID"/>
        </w:rPr>
        <w:t>This issue arises from the necessity for the government to implement decisive measures to halt the spread of false information or deceptive rumors that have the potential to jeopardize socio-political stability and harm the community</w:t>
      </w:r>
      <w:r w:rsidR="002358A0">
        <w:rPr>
          <w:lang w:val="en-ID" w:eastAsia="en-ID"/>
        </w:rPr>
        <w:t xml:space="preserve"> at large</w:t>
      </w:r>
      <w:r w:rsidR="008D2A82" w:rsidRPr="008D2A82">
        <w:rPr>
          <w:lang w:val="en-ID" w:eastAsia="en-ID"/>
        </w:rPr>
        <w:t xml:space="preserve">. However, this task </w:t>
      </w:r>
      <w:r w:rsidR="00F349AD">
        <w:rPr>
          <w:lang w:val="en-ID" w:eastAsia="en-ID"/>
        </w:rPr>
        <w:t>must be</w:t>
      </w:r>
      <w:r w:rsidR="00F349AD" w:rsidRPr="008D2A82">
        <w:rPr>
          <w:lang w:val="en-ID" w:eastAsia="en-ID"/>
        </w:rPr>
        <w:t xml:space="preserve"> </w:t>
      </w:r>
      <w:r w:rsidR="008D2A82" w:rsidRPr="008D2A82">
        <w:rPr>
          <w:lang w:val="en-ID" w:eastAsia="en-ID"/>
        </w:rPr>
        <w:t>executed without impeding the citizens' rights to freedom of speech or association</w:t>
      </w:r>
      <w:r w:rsidR="007B5FC4" w:rsidRPr="007B5FC4">
        <w:rPr>
          <w:lang w:val="en-ID" w:eastAsia="en-ID"/>
        </w:rPr>
        <w:t>.</w:t>
      </w:r>
      <w:r w:rsidR="00E43809">
        <w:rPr>
          <w:rStyle w:val="FootnoteReference"/>
          <w:lang w:val="en-ID" w:eastAsia="en-ID"/>
        </w:rPr>
        <w:footnoteReference w:id="11"/>
      </w:r>
      <w:r w:rsidR="007B5FC4" w:rsidRPr="007B5FC4">
        <w:rPr>
          <w:lang w:val="en-ID" w:eastAsia="en-ID"/>
        </w:rPr>
        <w:t xml:space="preserve"> </w:t>
      </w:r>
      <w:r w:rsidR="008D2A82" w:rsidRPr="008D2A82">
        <w:rPr>
          <w:lang w:val="en-ID" w:eastAsia="en-ID"/>
        </w:rPr>
        <w:t>Essentially, this requires finding a delicate equilibrium between implementing laws and regulations aimed at curbing misinformation, but also protecting the core principles of democracy, such as freedom of the press. The government and relevant authorities should meticulously formulate and implement policies that successfully prevent hoaxes while ensuring that they do not excessively curtail the freedom of the press to report or the people's capacity to express themselves</w:t>
      </w:r>
      <w:r w:rsidR="00E6226D" w:rsidRPr="00E6226D">
        <w:rPr>
          <w:lang w:val="en-ID" w:eastAsia="en-ID"/>
        </w:rPr>
        <w:t>.</w:t>
      </w:r>
      <w:r w:rsidR="00E43809">
        <w:rPr>
          <w:rStyle w:val="FootnoteReference"/>
          <w:lang w:val="en-ID" w:eastAsia="en-ID"/>
        </w:rPr>
        <w:footnoteReference w:id="12"/>
      </w:r>
    </w:p>
    <w:p w14:paraId="7CD40450" w14:textId="4E450AE4" w:rsidR="008D2A82" w:rsidRDefault="008D2A82" w:rsidP="006F3F9D">
      <w:pPr>
        <w:ind w:firstLine="426"/>
        <w:rPr>
          <w:lang w:val="en-ID" w:eastAsia="en-ID"/>
        </w:rPr>
      </w:pPr>
      <w:r w:rsidRPr="008D2A82">
        <w:rPr>
          <w:lang w:val="en-ID" w:eastAsia="en-ID"/>
        </w:rPr>
        <w:t xml:space="preserve">Articles 263 and 264 </w:t>
      </w:r>
      <w:r w:rsidR="00122C07">
        <w:rPr>
          <w:lang w:val="en-ID" w:eastAsia="en-ID"/>
        </w:rPr>
        <w:t xml:space="preserve">regarding fake news </w:t>
      </w:r>
      <w:r w:rsidRPr="008D2A82">
        <w:rPr>
          <w:lang w:val="en-ID" w:eastAsia="en-ID"/>
        </w:rPr>
        <w:t xml:space="preserve">in the new Criminal Code are frequently cited as prime examples </w:t>
      </w:r>
      <w:r w:rsidR="00304F14">
        <w:rPr>
          <w:lang w:val="en-ID" w:eastAsia="en-ID"/>
        </w:rPr>
        <w:t>when discussing</w:t>
      </w:r>
      <w:r w:rsidRPr="008D2A82">
        <w:rPr>
          <w:lang w:val="en-ID" w:eastAsia="en-ID"/>
        </w:rPr>
        <w:t xml:space="preserve"> controversies around the potential suppression of press freedom.</w:t>
      </w:r>
      <w:r w:rsidR="00E43809">
        <w:rPr>
          <w:rStyle w:val="FootnoteReference"/>
          <w:lang w:val="en-ID" w:eastAsia="en-ID"/>
        </w:rPr>
        <w:footnoteReference w:id="13"/>
      </w:r>
      <w:r w:rsidR="007B5FC4" w:rsidRPr="007B5FC4">
        <w:rPr>
          <w:lang w:val="en-ID" w:eastAsia="en-ID"/>
        </w:rPr>
        <w:t xml:space="preserve"> </w:t>
      </w:r>
      <w:r w:rsidRPr="008D2A82">
        <w:rPr>
          <w:lang w:val="en-ID" w:eastAsia="en-ID"/>
        </w:rPr>
        <w:t>The primary issue with these articles is their potential to curtail media freedom and expression through the prosecution of journalists or media organizations who distribute information considered by the government to be false news</w:t>
      </w:r>
      <w:r w:rsidR="007B5FC4" w:rsidRPr="007B5FC4">
        <w:rPr>
          <w:lang w:val="en-ID" w:eastAsia="en-ID"/>
        </w:rPr>
        <w:t>.</w:t>
      </w:r>
      <w:r w:rsidR="00E43809">
        <w:rPr>
          <w:rStyle w:val="FootnoteReference"/>
          <w:lang w:val="en-ID" w:eastAsia="en-ID"/>
        </w:rPr>
        <w:footnoteReference w:id="14"/>
      </w:r>
      <w:r w:rsidR="007B5FC4" w:rsidRPr="007B5FC4">
        <w:rPr>
          <w:lang w:val="en-ID" w:eastAsia="en-ID"/>
        </w:rPr>
        <w:t xml:space="preserve"> </w:t>
      </w:r>
      <w:r w:rsidRPr="008D2A82">
        <w:rPr>
          <w:lang w:val="en-ID" w:eastAsia="en-ID"/>
        </w:rPr>
        <w:t>Article 263 imposes sanctions on anyone who intentionally send</w:t>
      </w:r>
      <w:r w:rsidR="00515163">
        <w:rPr>
          <w:lang w:val="en-ID" w:eastAsia="en-ID"/>
        </w:rPr>
        <w:t>s</w:t>
      </w:r>
      <w:r w:rsidRPr="008D2A82">
        <w:rPr>
          <w:lang w:val="en-ID" w:eastAsia="en-ID"/>
        </w:rPr>
        <w:t xml:space="preserve"> or spread</w:t>
      </w:r>
      <w:r w:rsidR="00515163">
        <w:rPr>
          <w:lang w:val="en-ID" w:eastAsia="en-ID"/>
        </w:rPr>
        <w:t>s</w:t>
      </w:r>
      <w:r w:rsidRPr="008D2A82">
        <w:rPr>
          <w:lang w:val="en-ID" w:eastAsia="en-ID"/>
        </w:rPr>
        <w:t xml:space="preserve"> false material known to be erroneous and has the potential to </w:t>
      </w:r>
      <w:r w:rsidR="003B1246">
        <w:rPr>
          <w:lang w:val="en-ID" w:eastAsia="en-ID"/>
        </w:rPr>
        <w:t>cause unrest</w:t>
      </w:r>
      <w:r w:rsidRPr="008D2A82">
        <w:rPr>
          <w:lang w:val="en-ID" w:eastAsia="en-ID"/>
        </w:rPr>
        <w:t xml:space="preserve"> within the community. Article 264 serves the same purpose of maintaining order and preventing riots by specifically targeting the dissemination of incorrect, exaggerated, or insufficient information that has the potential to provoke disturbances. Human rights groups and media professionals express apprehension </w:t>
      </w:r>
      <w:r w:rsidR="00AB0FFC">
        <w:rPr>
          <w:lang w:val="en-ID" w:eastAsia="en-ID"/>
        </w:rPr>
        <w:t>about</w:t>
      </w:r>
      <w:r w:rsidR="00AB0FFC" w:rsidRPr="008D2A82">
        <w:rPr>
          <w:lang w:val="en-ID" w:eastAsia="en-ID"/>
        </w:rPr>
        <w:t xml:space="preserve"> </w:t>
      </w:r>
      <w:r w:rsidRPr="008D2A82">
        <w:rPr>
          <w:lang w:val="en-ID" w:eastAsia="en-ID"/>
        </w:rPr>
        <w:t xml:space="preserve">both articles, despite their stated intention to uphold social order. They argue that these </w:t>
      </w:r>
      <w:r w:rsidR="00267FCD">
        <w:rPr>
          <w:lang w:val="en-ID" w:eastAsia="en-ID"/>
        </w:rPr>
        <w:t>articles</w:t>
      </w:r>
      <w:r w:rsidR="00267FCD" w:rsidRPr="008D2A82">
        <w:rPr>
          <w:lang w:val="en-ID" w:eastAsia="en-ID"/>
        </w:rPr>
        <w:t xml:space="preserve"> </w:t>
      </w:r>
      <w:r w:rsidRPr="008D2A82">
        <w:rPr>
          <w:lang w:val="en-ID" w:eastAsia="en-ID"/>
        </w:rPr>
        <w:t xml:space="preserve">could be used to suppress press freedom </w:t>
      </w:r>
      <w:r w:rsidR="007C660A">
        <w:rPr>
          <w:lang w:val="en-ID" w:eastAsia="en-ID"/>
        </w:rPr>
        <w:t>as</w:t>
      </w:r>
      <w:r w:rsidR="007C660A" w:rsidRPr="008D2A82">
        <w:rPr>
          <w:lang w:val="en-ID" w:eastAsia="en-ID"/>
        </w:rPr>
        <w:t xml:space="preserve"> </w:t>
      </w:r>
      <w:r w:rsidRPr="008D2A82">
        <w:rPr>
          <w:lang w:val="en-ID" w:eastAsia="en-ID"/>
        </w:rPr>
        <w:t xml:space="preserve">the existing mechanisms of the Press Law and the </w:t>
      </w:r>
      <w:r w:rsidR="00F16066">
        <w:rPr>
          <w:lang w:val="en-ID" w:eastAsia="en-ID"/>
        </w:rPr>
        <w:t>supervision</w:t>
      </w:r>
      <w:r w:rsidR="00F16066" w:rsidRPr="008D2A82">
        <w:rPr>
          <w:lang w:val="en-ID" w:eastAsia="en-ID"/>
        </w:rPr>
        <w:t xml:space="preserve"> </w:t>
      </w:r>
      <w:r w:rsidRPr="008D2A82">
        <w:rPr>
          <w:lang w:val="en-ID" w:eastAsia="en-ID"/>
        </w:rPr>
        <w:t xml:space="preserve">of the Press Council should have been sufficient for regulating </w:t>
      </w:r>
      <w:r w:rsidR="00EA5242" w:rsidRPr="008D2A82">
        <w:rPr>
          <w:lang w:val="en-ID" w:eastAsia="en-ID"/>
        </w:rPr>
        <w:t xml:space="preserve">rules </w:t>
      </w:r>
      <w:r w:rsidR="00EA5242">
        <w:rPr>
          <w:lang w:val="en-ID" w:eastAsia="en-ID"/>
        </w:rPr>
        <w:t xml:space="preserve">on </w:t>
      </w:r>
      <w:r w:rsidRPr="008D2A82">
        <w:rPr>
          <w:lang w:val="en-ID" w:eastAsia="en-ID"/>
        </w:rPr>
        <w:t>reporting. Press freedom is an essential component of a democratic society as it enables everyone to get accurate information and express their viewpoints regarding the actions and policies of the government. It facilitates accountable and transparent governance and ensures that the general public can have confidence in well-informed decision-making processes.</w:t>
      </w:r>
      <w:r w:rsidR="00E43809">
        <w:rPr>
          <w:rStyle w:val="FootnoteReference"/>
          <w:lang w:val="en-ID" w:eastAsia="en-ID"/>
        </w:rPr>
        <w:footnoteReference w:id="15"/>
      </w:r>
      <w:r w:rsidR="007B5FC4">
        <w:rPr>
          <w:lang w:val="en-ID" w:eastAsia="en-ID"/>
        </w:rPr>
        <w:t xml:space="preserve"> </w:t>
      </w:r>
      <w:r w:rsidRPr="008D2A82">
        <w:rPr>
          <w:lang w:val="en-ID" w:eastAsia="en-ID"/>
        </w:rPr>
        <w:t xml:space="preserve">This background aims to offer a more comprehensive understanding and emphasize the need </w:t>
      </w:r>
      <w:r w:rsidR="00456A8B">
        <w:rPr>
          <w:lang w:val="en-ID" w:eastAsia="en-ID"/>
        </w:rPr>
        <w:t>to grasp</w:t>
      </w:r>
      <w:r w:rsidRPr="008D2A82">
        <w:rPr>
          <w:lang w:val="en-ID" w:eastAsia="en-ID"/>
        </w:rPr>
        <w:t xml:space="preserve"> the intricacies of press freedom and human rights in Indonesia, specifically in relation to Articles 263 and 264 of the Criminal Code (KUHP). The Indonesian constitution guarantees both press freedom and human rights as fundamental components. A fundamental principle of press freedom is to uphold government accountability and transparency while also enabling public engagement in the democratic process through the provision of </w:t>
      </w:r>
      <w:r w:rsidR="00BA7266">
        <w:rPr>
          <w:lang w:val="en-ID" w:eastAsia="en-ID"/>
        </w:rPr>
        <w:t>accurate</w:t>
      </w:r>
      <w:r w:rsidR="00BA7266" w:rsidRPr="008D2A82">
        <w:rPr>
          <w:lang w:val="en-ID" w:eastAsia="en-ID"/>
        </w:rPr>
        <w:t xml:space="preserve"> </w:t>
      </w:r>
      <w:r w:rsidRPr="008D2A82">
        <w:rPr>
          <w:lang w:val="en-ID" w:eastAsia="en-ID"/>
        </w:rPr>
        <w:t>and impartial information.</w:t>
      </w:r>
    </w:p>
    <w:p w14:paraId="0A6E27E8" w14:textId="0526B249" w:rsidR="008D2A82" w:rsidRPr="008D2A82" w:rsidRDefault="008D2A82" w:rsidP="008D2A82">
      <w:pPr>
        <w:ind w:firstLine="426"/>
        <w:rPr>
          <w:lang w:val="en-ID" w:eastAsia="en-ID"/>
        </w:rPr>
      </w:pPr>
      <w:r w:rsidRPr="008D2A82">
        <w:rPr>
          <w:lang w:val="en-ID" w:eastAsia="en-ID"/>
        </w:rPr>
        <w:lastRenderedPageBreak/>
        <w:t xml:space="preserve">This study distinguishes itself from previous studies by adopting a comprehensive and interconnected approach to analyzing the impact of Articles 263 and 264 of Indonesia's new Criminal Code on press freedom and human rights. Prior </w:t>
      </w:r>
      <w:r w:rsidR="001B7BF5">
        <w:rPr>
          <w:lang w:val="en-ID" w:eastAsia="en-ID"/>
        </w:rPr>
        <w:t>studies</w:t>
      </w:r>
      <w:r w:rsidR="001B7BF5" w:rsidRPr="008D2A82">
        <w:rPr>
          <w:lang w:val="en-ID" w:eastAsia="en-ID"/>
        </w:rPr>
        <w:t xml:space="preserve"> </w:t>
      </w:r>
      <w:r w:rsidRPr="008D2A82">
        <w:rPr>
          <w:lang w:val="en-ID" w:eastAsia="en-ID"/>
        </w:rPr>
        <w:t xml:space="preserve">may have mostly focused on analyzing the legal ramifications of anti-fake news legislation or its impact on media operations. However, by incorporating a framework based on human rights, this study expands its </w:t>
      </w:r>
      <w:r w:rsidR="0050680C">
        <w:rPr>
          <w:lang w:val="en-ID" w:eastAsia="en-ID"/>
        </w:rPr>
        <w:t>scope of analysis</w:t>
      </w:r>
      <w:r w:rsidR="0050680C" w:rsidRPr="008D2A82">
        <w:rPr>
          <w:lang w:val="en-ID" w:eastAsia="en-ID"/>
        </w:rPr>
        <w:t xml:space="preserve"> </w:t>
      </w:r>
      <w:r w:rsidRPr="008D2A82">
        <w:rPr>
          <w:lang w:val="en-ID" w:eastAsia="en-ID"/>
        </w:rPr>
        <w:t xml:space="preserve">and provides a more thorough understanding of how to achieve a harmonious equilibrium between </w:t>
      </w:r>
      <w:r w:rsidR="001B7BF5">
        <w:rPr>
          <w:lang w:val="en-ID" w:eastAsia="en-ID"/>
        </w:rPr>
        <w:t>protecting</w:t>
      </w:r>
      <w:r w:rsidR="001B7BF5" w:rsidRPr="008D2A82">
        <w:rPr>
          <w:lang w:val="en-ID" w:eastAsia="en-ID"/>
        </w:rPr>
        <w:t xml:space="preserve"> </w:t>
      </w:r>
      <w:r w:rsidRPr="008D2A82">
        <w:rPr>
          <w:lang w:val="en-ID" w:eastAsia="en-ID"/>
        </w:rPr>
        <w:t xml:space="preserve">fundamental rights and combating misinformation. The article "The Criminalization of Fake News: A Critique on Indonesia's New Penal Code" by Vidya Prahassacitta and Harkristuti Harkrisnowo, published on February 26, 2024, </w:t>
      </w:r>
      <w:r w:rsidR="00AF31A1">
        <w:rPr>
          <w:lang w:val="en-ID" w:eastAsia="en-ID"/>
        </w:rPr>
        <w:t>constitutes a study</w:t>
      </w:r>
      <w:r w:rsidR="00AB3AB8">
        <w:rPr>
          <w:lang w:val="en-ID" w:eastAsia="en-ID"/>
        </w:rPr>
        <w:t xml:space="preserve"> on</w:t>
      </w:r>
      <w:r w:rsidRPr="008D2A82">
        <w:rPr>
          <w:lang w:val="en-ID" w:eastAsia="en-ID"/>
        </w:rPr>
        <w:t xml:space="preserve"> the subject. The methodological focus and analysis of this </w:t>
      </w:r>
      <w:r w:rsidR="00C256BB">
        <w:rPr>
          <w:lang w:val="en-ID" w:eastAsia="en-ID"/>
        </w:rPr>
        <w:t>study</w:t>
      </w:r>
      <w:r w:rsidR="00C256BB" w:rsidRPr="008D2A82">
        <w:rPr>
          <w:lang w:val="en-ID" w:eastAsia="en-ID"/>
        </w:rPr>
        <w:t xml:space="preserve"> </w:t>
      </w:r>
      <w:r w:rsidRPr="008D2A82">
        <w:rPr>
          <w:lang w:val="en-ID" w:eastAsia="en-ID"/>
        </w:rPr>
        <w:t>varies significantly from the previously stated stud</w:t>
      </w:r>
      <w:r w:rsidR="005F1089">
        <w:rPr>
          <w:lang w:val="en-ID" w:eastAsia="en-ID"/>
        </w:rPr>
        <w:t>y</w:t>
      </w:r>
      <w:r w:rsidRPr="008D2A82">
        <w:rPr>
          <w:lang w:val="en-ID" w:eastAsia="en-ID"/>
        </w:rPr>
        <w:t xml:space="preserve">. Prahassacitta and Harkrisnowo's </w:t>
      </w:r>
      <w:r w:rsidR="00EA0514">
        <w:rPr>
          <w:lang w:val="en-ID" w:eastAsia="en-ID"/>
        </w:rPr>
        <w:t>study</w:t>
      </w:r>
      <w:r w:rsidR="00EA0514" w:rsidRPr="008D2A82">
        <w:rPr>
          <w:lang w:val="en-ID" w:eastAsia="en-ID"/>
        </w:rPr>
        <w:t xml:space="preserve"> </w:t>
      </w:r>
      <w:r w:rsidRPr="008D2A82">
        <w:rPr>
          <w:lang w:val="en-ID" w:eastAsia="en-ID"/>
        </w:rPr>
        <w:t>is centered around the Criminal Code (KUHP) that was recently enacted in 2023. Their objective is to investigate the origins and limitations of Indonesia's criminalization of fake news that causes public disorder. This study stands out due to its comprehensive examination of the legal system and the historical, political, social, and cultural contexts that underpin the prohibition of spreading false information as a restriction on the freedom of expression in the Indonesian context.</w:t>
      </w:r>
    </w:p>
    <w:p w14:paraId="32F214CF" w14:textId="3B21EE74" w:rsidR="008D2A82" w:rsidRDefault="008D2A82" w:rsidP="008D2A82">
      <w:pPr>
        <w:ind w:firstLine="426"/>
        <w:rPr>
          <w:lang w:val="en-ID" w:eastAsia="en-ID"/>
        </w:rPr>
      </w:pPr>
      <w:r w:rsidRPr="008D2A82">
        <w:rPr>
          <w:lang w:val="en-ID" w:eastAsia="en-ID"/>
        </w:rPr>
        <w:t xml:space="preserve">This </w:t>
      </w:r>
      <w:r w:rsidR="006D6318">
        <w:rPr>
          <w:lang w:val="en-ID" w:eastAsia="en-ID"/>
        </w:rPr>
        <w:t>study</w:t>
      </w:r>
      <w:r w:rsidR="006D6318" w:rsidRPr="008D2A82">
        <w:rPr>
          <w:lang w:val="en-ID" w:eastAsia="en-ID"/>
        </w:rPr>
        <w:t xml:space="preserve"> </w:t>
      </w:r>
      <w:r w:rsidRPr="008D2A82">
        <w:rPr>
          <w:lang w:val="en-ID" w:eastAsia="en-ID"/>
        </w:rPr>
        <w:t xml:space="preserve">is unique </w:t>
      </w:r>
      <w:r w:rsidR="008D7939">
        <w:rPr>
          <w:lang w:val="en-ID" w:eastAsia="en-ID"/>
        </w:rPr>
        <w:t>as</w:t>
      </w:r>
      <w:r w:rsidR="008D7939" w:rsidRPr="008D2A82">
        <w:rPr>
          <w:lang w:val="en-ID" w:eastAsia="en-ID"/>
        </w:rPr>
        <w:t xml:space="preserve"> </w:t>
      </w:r>
      <w:r w:rsidRPr="008D2A82">
        <w:rPr>
          <w:lang w:val="en-ID" w:eastAsia="en-ID"/>
        </w:rPr>
        <w:t xml:space="preserve">it takes a comprehensive and diverse approach to addressing the conflict between fighting disinformation and protecting freedom of speech in Indonesia's new Criminal Code. Specifically, it focuses on Articles 263 and 264. This </w:t>
      </w:r>
      <w:r w:rsidR="008D7939">
        <w:rPr>
          <w:lang w:val="en-ID" w:eastAsia="en-ID"/>
        </w:rPr>
        <w:t>study</w:t>
      </w:r>
      <w:r w:rsidR="008D7939" w:rsidRPr="008D2A82">
        <w:rPr>
          <w:lang w:val="en-ID" w:eastAsia="en-ID"/>
        </w:rPr>
        <w:t xml:space="preserve"> </w:t>
      </w:r>
      <w:r w:rsidRPr="008D2A82">
        <w:rPr>
          <w:lang w:val="en-ID" w:eastAsia="en-ID"/>
        </w:rPr>
        <w:t xml:space="preserve">provides a thorough analysis of the complex relationship between preserving social order and protecting democratic freedoms in the digital age, going beyond previous discussions that focused only on legal consequences or the immediate effects on press freedom. The approach presented integrates a human rights-based viewpoint with legal analysis. It highlights the importance of providing clearer definitions, distinguishing between intent and negligence, and establishing verification measures to minimize the chances of misuse. Additionally, the </w:t>
      </w:r>
      <w:r w:rsidR="00C425C8">
        <w:rPr>
          <w:lang w:val="en-ID" w:eastAsia="en-ID"/>
        </w:rPr>
        <w:t>study</w:t>
      </w:r>
      <w:r w:rsidR="00C425C8" w:rsidRPr="008D2A82">
        <w:rPr>
          <w:lang w:val="en-ID" w:eastAsia="en-ID"/>
        </w:rPr>
        <w:t xml:space="preserve"> </w:t>
      </w:r>
      <w:r w:rsidRPr="008D2A82">
        <w:rPr>
          <w:lang w:val="en-ID" w:eastAsia="en-ID"/>
        </w:rPr>
        <w:t xml:space="preserve">suggests novel remedies, such as safeguarding journalistic methodologies, advocating for media literacy education, and establishing an autonomous committee of specialists. The purpose of these recommendations is to improve the legal to successfully combat the dissemination of false information. Additionally, they aim to strengthen society's ability to resist disinformation through education and community empowerment. This approach emphasizes the significance of cooperative </w:t>
      </w:r>
      <w:r w:rsidR="00390283">
        <w:rPr>
          <w:lang w:val="en-ID" w:eastAsia="en-ID"/>
        </w:rPr>
        <w:t>efforts</w:t>
      </w:r>
      <w:r w:rsidR="00390283" w:rsidRPr="008D2A82">
        <w:rPr>
          <w:lang w:val="en-ID" w:eastAsia="en-ID"/>
        </w:rPr>
        <w:t xml:space="preserve"> </w:t>
      </w:r>
      <w:r w:rsidRPr="008D2A82">
        <w:rPr>
          <w:lang w:val="en-ID" w:eastAsia="en-ID"/>
        </w:rPr>
        <w:t xml:space="preserve">between the government, media, and civil society in addressing the difficulties presented by disinformation, while also </w:t>
      </w:r>
      <w:r w:rsidR="001653B4">
        <w:rPr>
          <w:lang w:val="en-ID" w:eastAsia="en-ID"/>
        </w:rPr>
        <w:t>protecting</w:t>
      </w:r>
      <w:r w:rsidR="001653B4" w:rsidRPr="008D2A82">
        <w:rPr>
          <w:lang w:val="en-ID" w:eastAsia="en-ID"/>
        </w:rPr>
        <w:t xml:space="preserve"> </w:t>
      </w:r>
      <w:r w:rsidRPr="008D2A82">
        <w:rPr>
          <w:lang w:val="en-ID" w:eastAsia="en-ID"/>
        </w:rPr>
        <w:t>the fundamental human rights that underpin a democratic society.</w:t>
      </w:r>
    </w:p>
    <w:p w14:paraId="08795F36" w14:textId="75C5A8E5" w:rsidR="0052467C" w:rsidRDefault="00C22977" w:rsidP="0052467C">
      <w:pPr>
        <w:pStyle w:val="Heading1"/>
        <w:ind w:left="426"/>
      </w:pPr>
      <w:r>
        <w:t>M</w:t>
      </w:r>
      <w:r w:rsidRPr="00E47DF7">
        <w:t>ethod</w:t>
      </w:r>
    </w:p>
    <w:p w14:paraId="7FC1D21E" w14:textId="0B7EBF7B" w:rsidR="0052467C" w:rsidRPr="0039759A" w:rsidRDefault="008D2A82" w:rsidP="0052467C">
      <w:pPr>
        <w:suppressAutoHyphens w:val="0"/>
        <w:spacing w:after="0"/>
        <w:ind w:firstLine="425"/>
        <w:contextualSpacing w:val="0"/>
        <w:rPr>
          <w:b/>
          <w:bCs/>
          <w:color w:val="538135" w:themeColor="accent6" w:themeShade="BF"/>
        </w:rPr>
      </w:pPr>
      <w:r w:rsidRPr="008D2A82">
        <w:rPr>
          <w:lang w:val="en-ID" w:eastAsia="en-ID"/>
        </w:rPr>
        <w:t xml:space="preserve">The study, titled "Controversial Articles in the Information Age: Articles 263 and 264 of the New Criminal Code and Their Impact on Press Freedom and Human Rights," examines two controversial articles of Indonesia's new Criminal Code that specifically address the dissemination of incorrect information. The study utilizes normative legal methodologies to evaluate the consequences of these </w:t>
      </w:r>
      <w:r w:rsidR="00AC4C2F">
        <w:rPr>
          <w:lang w:val="en-ID" w:eastAsia="en-ID"/>
        </w:rPr>
        <w:t>articles</w:t>
      </w:r>
      <w:r w:rsidR="00AC4C2F" w:rsidRPr="008D2A82">
        <w:rPr>
          <w:lang w:val="en-ID" w:eastAsia="en-ID"/>
        </w:rPr>
        <w:t xml:space="preserve"> </w:t>
      </w:r>
      <w:r w:rsidRPr="008D2A82">
        <w:rPr>
          <w:lang w:val="en-ID" w:eastAsia="en-ID"/>
        </w:rPr>
        <w:t>on press freedom and human rights</w:t>
      </w:r>
      <w:r w:rsidR="0052467C" w:rsidRPr="0052467C">
        <w:rPr>
          <w:lang w:val="en-ID" w:eastAsia="en-ID"/>
        </w:rPr>
        <w:t>.</w:t>
      </w:r>
      <w:r w:rsidR="00E43809">
        <w:rPr>
          <w:rStyle w:val="FootnoteReference"/>
          <w:lang w:val="en-ID" w:eastAsia="en-ID"/>
        </w:rPr>
        <w:footnoteReference w:id="16"/>
      </w:r>
      <w:r w:rsidR="0052467C" w:rsidRPr="0052467C">
        <w:rPr>
          <w:lang w:val="en-ID" w:eastAsia="en-ID"/>
        </w:rPr>
        <w:t xml:space="preserve"> </w:t>
      </w:r>
      <w:r w:rsidRPr="008D2A82">
        <w:rPr>
          <w:lang w:val="en-ID" w:eastAsia="en-ID"/>
        </w:rPr>
        <w:t xml:space="preserve">The </w:t>
      </w:r>
      <w:r w:rsidR="00E26B36">
        <w:rPr>
          <w:lang w:val="en-ID" w:eastAsia="en-ID"/>
        </w:rPr>
        <w:t>study</w:t>
      </w:r>
      <w:r w:rsidR="00E26B36" w:rsidRPr="008D2A82">
        <w:rPr>
          <w:lang w:val="en-ID" w:eastAsia="en-ID"/>
        </w:rPr>
        <w:t xml:space="preserve"> </w:t>
      </w:r>
      <w:r w:rsidRPr="008D2A82">
        <w:rPr>
          <w:lang w:val="en-ID" w:eastAsia="en-ID"/>
        </w:rPr>
        <w:t xml:space="preserve">employs statutory, conceptual, comparative, and futuristic </w:t>
      </w:r>
      <w:r w:rsidR="00152BF8">
        <w:rPr>
          <w:lang w:val="en-ID" w:eastAsia="en-ID"/>
        </w:rPr>
        <w:t>approaches</w:t>
      </w:r>
      <w:r w:rsidR="00152BF8" w:rsidRPr="008D2A82">
        <w:rPr>
          <w:lang w:val="en-ID" w:eastAsia="en-ID"/>
        </w:rPr>
        <w:t xml:space="preserve"> </w:t>
      </w:r>
      <w:r w:rsidRPr="008D2A82">
        <w:rPr>
          <w:lang w:val="en-ID" w:eastAsia="en-ID"/>
        </w:rPr>
        <w:t xml:space="preserve">to examine, understand, and assess the </w:t>
      </w:r>
      <w:r w:rsidR="00500504">
        <w:rPr>
          <w:lang w:val="en-ID" w:eastAsia="en-ID"/>
        </w:rPr>
        <w:t>impact</w:t>
      </w:r>
      <w:r w:rsidR="00500504" w:rsidRPr="008D2A82">
        <w:rPr>
          <w:lang w:val="en-ID" w:eastAsia="en-ID"/>
        </w:rPr>
        <w:t xml:space="preserve"> </w:t>
      </w:r>
      <w:r w:rsidRPr="008D2A82">
        <w:rPr>
          <w:lang w:val="en-ID" w:eastAsia="en-ID"/>
        </w:rPr>
        <w:t xml:space="preserve">of Articles 263 and 264. </w:t>
      </w:r>
      <w:r w:rsidR="0077483F">
        <w:rPr>
          <w:lang w:val="en-ID" w:eastAsia="en-ID"/>
        </w:rPr>
        <w:t>This is a</w:t>
      </w:r>
      <w:r w:rsidRPr="008D2A82">
        <w:rPr>
          <w:lang w:val="en-ID" w:eastAsia="en-ID"/>
        </w:rPr>
        <w:t xml:space="preserve"> descriptive-prescriptive </w:t>
      </w:r>
      <w:r w:rsidR="0077483F">
        <w:rPr>
          <w:lang w:val="en-ID" w:eastAsia="en-ID"/>
        </w:rPr>
        <w:t>study</w:t>
      </w:r>
      <w:r w:rsidRPr="008D2A82">
        <w:rPr>
          <w:lang w:val="en-ID" w:eastAsia="en-ID"/>
        </w:rPr>
        <w:t xml:space="preserve"> with the objective of examining the substance and practicality of the articles while also providing recommendations and solutions to the identified challenges. The </w:t>
      </w:r>
      <w:r w:rsidR="003762E2">
        <w:rPr>
          <w:lang w:val="en-ID" w:eastAsia="en-ID"/>
        </w:rPr>
        <w:t xml:space="preserve">data </w:t>
      </w:r>
      <w:r w:rsidRPr="008D2A82">
        <w:rPr>
          <w:lang w:val="en-ID" w:eastAsia="en-ID"/>
        </w:rPr>
        <w:t xml:space="preserve">collected was subjected to content analysis, which enabled a systematic assessment and interpretation of the content and context of Articles 263 and 264, together with the associated </w:t>
      </w:r>
      <w:r w:rsidR="00007B5D">
        <w:rPr>
          <w:lang w:val="en-ID" w:eastAsia="en-ID"/>
        </w:rPr>
        <w:t>discourse</w:t>
      </w:r>
      <w:r w:rsidR="00007B5D" w:rsidRPr="008D2A82">
        <w:rPr>
          <w:lang w:val="en-ID" w:eastAsia="en-ID"/>
        </w:rPr>
        <w:t xml:space="preserve"> </w:t>
      </w:r>
      <w:r w:rsidRPr="008D2A82">
        <w:rPr>
          <w:lang w:val="en-ID" w:eastAsia="en-ID"/>
        </w:rPr>
        <w:t xml:space="preserve">and </w:t>
      </w:r>
      <w:r w:rsidR="00007B5D">
        <w:rPr>
          <w:lang w:val="en-ID" w:eastAsia="en-ID"/>
        </w:rPr>
        <w:t>debates</w:t>
      </w:r>
      <w:r w:rsidRPr="008D2A82">
        <w:rPr>
          <w:lang w:val="en-ID" w:eastAsia="en-ID"/>
        </w:rPr>
        <w:t xml:space="preserve">. The analysis aimed to understand the potential </w:t>
      </w:r>
      <w:r w:rsidR="0008029B">
        <w:rPr>
          <w:lang w:val="en-ID" w:eastAsia="en-ID"/>
        </w:rPr>
        <w:t>impact</w:t>
      </w:r>
      <w:r w:rsidR="0008029B" w:rsidRPr="008D2A82">
        <w:rPr>
          <w:lang w:val="en-ID" w:eastAsia="en-ID"/>
        </w:rPr>
        <w:t xml:space="preserve"> </w:t>
      </w:r>
      <w:r w:rsidRPr="008D2A82">
        <w:rPr>
          <w:lang w:val="en-ID" w:eastAsia="en-ID"/>
        </w:rPr>
        <w:t xml:space="preserve">of the articles on freedom of the press and expression, as well as their alignment or deviation from international human rights and constitutional </w:t>
      </w:r>
      <w:r w:rsidR="00A8447C">
        <w:rPr>
          <w:lang w:val="en-ID" w:eastAsia="en-ID"/>
        </w:rPr>
        <w:t>principles</w:t>
      </w:r>
      <w:r w:rsidRPr="008D2A82">
        <w:rPr>
          <w:lang w:val="en-ID" w:eastAsia="en-ID"/>
        </w:rPr>
        <w:t xml:space="preserve">. To analyze the compatibility of these articles with global </w:t>
      </w:r>
      <w:r w:rsidR="00F85D0C">
        <w:rPr>
          <w:lang w:val="en-ID" w:eastAsia="en-ID"/>
        </w:rPr>
        <w:t>standards</w:t>
      </w:r>
      <w:r w:rsidR="00F85D0C" w:rsidRPr="008D2A82">
        <w:rPr>
          <w:lang w:val="en-ID" w:eastAsia="en-ID"/>
        </w:rPr>
        <w:t xml:space="preserve"> </w:t>
      </w:r>
      <w:r w:rsidRPr="008D2A82">
        <w:rPr>
          <w:lang w:val="en-ID" w:eastAsia="en-ID"/>
        </w:rPr>
        <w:t xml:space="preserve">for press freedom and freedom of expression, a forward-thinking </w:t>
      </w:r>
      <w:r w:rsidR="00B2217F">
        <w:rPr>
          <w:lang w:val="en-ID" w:eastAsia="en-ID"/>
        </w:rPr>
        <w:t>approach</w:t>
      </w:r>
      <w:r w:rsidR="00B2217F" w:rsidRPr="008D2A82">
        <w:rPr>
          <w:lang w:val="en-ID" w:eastAsia="en-ID"/>
        </w:rPr>
        <w:t xml:space="preserve"> </w:t>
      </w:r>
      <w:r w:rsidR="005D53C7">
        <w:rPr>
          <w:lang w:val="en-ID" w:eastAsia="en-ID"/>
        </w:rPr>
        <w:t>was</w:t>
      </w:r>
      <w:r w:rsidR="005D53C7" w:rsidRPr="008D2A82">
        <w:rPr>
          <w:lang w:val="en-ID" w:eastAsia="en-ID"/>
        </w:rPr>
        <w:t xml:space="preserve"> </w:t>
      </w:r>
      <w:r w:rsidRPr="008D2A82">
        <w:rPr>
          <w:lang w:val="en-ID" w:eastAsia="en-ID"/>
        </w:rPr>
        <w:t xml:space="preserve">used. This methodology ensures that democratic principles and fundamental liberties are safeguarded during the practical implementation of these articles. In addition, </w:t>
      </w:r>
      <w:r w:rsidR="0026637C">
        <w:rPr>
          <w:lang w:val="en-ID" w:eastAsia="en-ID"/>
        </w:rPr>
        <w:t>the</w:t>
      </w:r>
      <w:r w:rsidRPr="008D2A82">
        <w:rPr>
          <w:lang w:val="en-ID" w:eastAsia="en-ID"/>
        </w:rPr>
        <w:t xml:space="preserve"> usage </w:t>
      </w:r>
      <w:r w:rsidR="00AF6F3C">
        <w:rPr>
          <w:lang w:val="en-ID" w:eastAsia="en-ID"/>
        </w:rPr>
        <w:t>these</w:t>
      </w:r>
      <w:r w:rsidR="0026637C">
        <w:rPr>
          <w:lang w:val="en-ID" w:eastAsia="en-ID"/>
        </w:rPr>
        <w:t xml:space="preserve"> articles </w:t>
      </w:r>
      <w:r w:rsidRPr="008D2A82">
        <w:rPr>
          <w:lang w:val="en-ID" w:eastAsia="en-ID"/>
        </w:rPr>
        <w:t xml:space="preserve">in other countries that are dealing with similar issues in </w:t>
      </w:r>
      <w:r w:rsidR="007B54BE">
        <w:rPr>
          <w:lang w:val="en-ID" w:eastAsia="en-ID"/>
        </w:rPr>
        <w:t>protecting</w:t>
      </w:r>
      <w:r w:rsidR="007B54BE" w:rsidRPr="008D2A82">
        <w:rPr>
          <w:lang w:val="en-ID" w:eastAsia="en-ID"/>
        </w:rPr>
        <w:t xml:space="preserve"> </w:t>
      </w:r>
      <w:r w:rsidRPr="008D2A82">
        <w:rPr>
          <w:lang w:val="en-ID" w:eastAsia="en-ID"/>
        </w:rPr>
        <w:t xml:space="preserve">human rights and </w:t>
      </w:r>
      <w:r w:rsidRPr="008D2A82">
        <w:rPr>
          <w:lang w:val="en-ID" w:eastAsia="en-ID"/>
        </w:rPr>
        <w:lastRenderedPageBreak/>
        <w:t>countering disinformation</w:t>
      </w:r>
      <w:r w:rsidR="008466C8">
        <w:rPr>
          <w:lang w:val="en-ID" w:eastAsia="en-ID"/>
        </w:rPr>
        <w:t xml:space="preserve"> was examined</w:t>
      </w:r>
      <w:r w:rsidRPr="008D2A82">
        <w:rPr>
          <w:lang w:val="en-ID" w:eastAsia="en-ID"/>
        </w:rPr>
        <w:t xml:space="preserve">. </w:t>
      </w:r>
      <w:r w:rsidR="00B2217F">
        <w:rPr>
          <w:lang w:val="en-ID" w:eastAsia="en-ID"/>
        </w:rPr>
        <w:t xml:space="preserve">The approach </w:t>
      </w:r>
      <w:r w:rsidR="00F61368">
        <w:rPr>
          <w:lang w:val="en-ID" w:eastAsia="en-ID"/>
        </w:rPr>
        <w:t>also</w:t>
      </w:r>
      <w:r w:rsidRPr="008D2A82">
        <w:rPr>
          <w:lang w:val="en-ID" w:eastAsia="en-ID"/>
        </w:rPr>
        <w:t xml:space="preserve"> suggests policy modifications or alternative</w:t>
      </w:r>
      <w:r w:rsidR="005753F6">
        <w:rPr>
          <w:lang w:val="en-ID" w:eastAsia="en-ID"/>
        </w:rPr>
        <w:t>s</w:t>
      </w:r>
      <w:r w:rsidRPr="008D2A82">
        <w:rPr>
          <w:lang w:val="en-ID" w:eastAsia="en-ID"/>
        </w:rPr>
        <w:t xml:space="preserve"> that could strengthen a </w:t>
      </w:r>
      <w:r w:rsidR="00DD2237">
        <w:rPr>
          <w:lang w:val="en-ID" w:eastAsia="en-ID"/>
        </w:rPr>
        <w:t>robust</w:t>
      </w:r>
      <w:r w:rsidR="00DD2237" w:rsidRPr="008D2A82">
        <w:rPr>
          <w:lang w:val="en-ID" w:eastAsia="en-ID"/>
        </w:rPr>
        <w:t xml:space="preserve"> </w:t>
      </w:r>
      <w:r w:rsidRPr="008D2A82">
        <w:rPr>
          <w:lang w:val="en-ID" w:eastAsia="en-ID"/>
        </w:rPr>
        <w:t xml:space="preserve">information ecosystem and promote a resilient democratic society. This </w:t>
      </w:r>
      <w:r w:rsidR="000123AD">
        <w:rPr>
          <w:lang w:val="en-ID" w:eastAsia="en-ID"/>
        </w:rPr>
        <w:t>study</w:t>
      </w:r>
      <w:r w:rsidR="000123AD" w:rsidRPr="008D2A82">
        <w:rPr>
          <w:lang w:val="en-ID" w:eastAsia="en-ID"/>
        </w:rPr>
        <w:t xml:space="preserve"> </w:t>
      </w:r>
      <w:r w:rsidRPr="008D2A82">
        <w:rPr>
          <w:lang w:val="en-ID" w:eastAsia="en-ID"/>
        </w:rPr>
        <w:t xml:space="preserve">significantly enhances our comprehension of the challenges and opportunities </w:t>
      </w:r>
      <w:r w:rsidR="00FA5782">
        <w:rPr>
          <w:lang w:val="en-ID" w:eastAsia="en-ID"/>
        </w:rPr>
        <w:t>faced by</w:t>
      </w:r>
      <w:r w:rsidR="00FA5782" w:rsidRPr="008D2A82">
        <w:rPr>
          <w:lang w:val="en-ID" w:eastAsia="en-ID"/>
        </w:rPr>
        <w:t xml:space="preserve"> </w:t>
      </w:r>
      <w:r w:rsidRPr="008D2A82">
        <w:rPr>
          <w:lang w:val="en-ID" w:eastAsia="en-ID"/>
        </w:rPr>
        <w:t>Indonesia in the present age of information. It emphasizes the urgent need to protect the public against misinformation while also maintaining a transparent and active public space that promotes productive conversations and critical examination.</w:t>
      </w:r>
    </w:p>
    <w:p w14:paraId="51CDA079" w14:textId="77777777" w:rsidR="0052467C" w:rsidRPr="0052467C" w:rsidRDefault="0052467C" w:rsidP="0052467C">
      <w:pPr>
        <w:ind w:firstLine="0"/>
        <w:rPr>
          <w:lang w:val="en-ID"/>
        </w:rPr>
      </w:pPr>
    </w:p>
    <w:p w14:paraId="1D3EF08C" w14:textId="77777777" w:rsidR="00864FF8" w:rsidRDefault="00000000" w:rsidP="001B0212">
      <w:pPr>
        <w:pStyle w:val="Heading1"/>
        <w:spacing w:line="240" w:lineRule="auto"/>
        <w:ind w:left="426"/>
      </w:pPr>
      <w:r w:rsidRPr="00E47DF7">
        <w:t>Findings and Discussion</w:t>
      </w:r>
    </w:p>
    <w:p w14:paraId="72ED23AF" w14:textId="2F6B2244" w:rsidR="00F906AB" w:rsidRDefault="001F232E" w:rsidP="00261FF2">
      <w:pPr>
        <w:pStyle w:val="Heading2"/>
        <w:spacing w:line="240" w:lineRule="auto"/>
        <w:ind w:left="426" w:hanging="435"/>
        <w:rPr>
          <w:color w:val="222222"/>
          <w:shd w:val="clear" w:color="auto" w:fill="FFFFFF"/>
        </w:rPr>
      </w:pPr>
      <w:r w:rsidRPr="001F232E">
        <w:rPr>
          <w:color w:val="222222"/>
          <w:shd w:val="clear" w:color="auto" w:fill="FFFFFF"/>
        </w:rPr>
        <w:t>Fake News vs Freedom of Expression: Unraveling the Controversy of Articles 263 and 264 in Indonesia</w:t>
      </w:r>
      <w:r>
        <w:rPr>
          <w:color w:val="222222"/>
          <w:shd w:val="clear" w:color="auto" w:fill="FFFFFF"/>
        </w:rPr>
        <w:t>’s New</w:t>
      </w:r>
      <w:r w:rsidRPr="001F232E">
        <w:rPr>
          <w:color w:val="222222"/>
          <w:shd w:val="clear" w:color="auto" w:fill="FFFFFF"/>
        </w:rPr>
        <w:t xml:space="preserve"> Criminal Code</w:t>
      </w:r>
    </w:p>
    <w:p w14:paraId="1746D751" w14:textId="7A4BD60E" w:rsidR="008D2A82" w:rsidRDefault="008D2A82" w:rsidP="00DA63FE">
      <w:pPr>
        <w:suppressAutoHyphens w:val="0"/>
        <w:spacing w:after="0"/>
        <w:ind w:firstLine="426"/>
        <w:contextualSpacing w:val="0"/>
        <w:rPr>
          <w:szCs w:val="22"/>
          <w:lang w:val="en-ID" w:eastAsia="en-ID"/>
        </w:rPr>
      </w:pPr>
      <w:r w:rsidRPr="008D2A82">
        <w:rPr>
          <w:szCs w:val="22"/>
          <w:lang w:val="en-ID" w:eastAsia="en-ID"/>
        </w:rPr>
        <w:t xml:space="preserve">Articles 263 and 264 of the recently enacted Criminal Code </w:t>
      </w:r>
      <w:r w:rsidR="00176F45">
        <w:rPr>
          <w:szCs w:val="22"/>
          <w:lang w:val="en-ID" w:eastAsia="en-ID"/>
        </w:rPr>
        <w:t>are quite</w:t>
      </w:r>
      <w:r w:rsidRPr="008D2A82">
        <w:rPr>
          <w:szCs w:val="22"/>
          <w:lang w:val="en-ID" w:eastAsia="en-ID"/>
        </w:rPr>
        <w:t xml:space="preserve"> prominent and controversial </w:t>
      </w:r>
      <w:r w:rsidR="00176F45">
        <w:rPr>
          <w:szCs w:val="22"/>
          <w:lang w:val="en-ID" w:eastAsia="en-ID"/>
        </w:rPr>
        <w:t>when it comes to</w:t>
      </w:r>
      <w:r w:rsidRPr="008D2A82">
        <w:rPr>
          <w:szCs w:val="22"/>
          <w:lang w:val="en-ID" w:eastAsia="en-ID"/>
        </w:rPr>
        <w:t xml:space="preserve"> Indonesian legislation and media. The primary objective of these articles </w:t>
      </w:r>
      <w:r w:rsidR="004A3449">
        <w:rPr>
          <w:szCs w:val="22"/>
          <w:lang w:val="en-ID" w:eastAsia="en-ID"/>
        </w:rPr>
        <w:t>is</w:t>
      </w:r>
      <w:r w:rsidR="004A3449" w:rsidRPr="008D2A82">
        <w:rPr>
          <w:szCs w:val="22"/>
          <w:lang w:val="en-ID" w:eastAsia="en-ID"/>
        </w:rPr>
        <w:t xml:space="preserve"> </w:t>
      </w:r>
      <w:r w:rsidRPr="008D2A82">
        <w:rPr>
          <w:szCs w:val="22"/>
          <w:lang w:val="en-ID" w:eastAsia="en-ID"/>
        </w:rPr>
        <w:t xml:space="preserve">to tackle the problem of spreading inaccurate information or news, which has gained significant prominence in the era of digital technology and has the capacity to incite societal unrest. Articles 263 and 264 of the updated Criminal Code establish a system for law enforcement to address the dissemination of false or misleading information that has the potential to provoke social unrest. Article 263 of the law distinguishes between two types of </w:t>
      </w:r>
      <w:r w:rsidR="009409C8" w:rsidRPr="00DA63FE">
        <w:rPr>
          <w:lang w:val="en-ID" w:eastAsia="en-ID"/>
        </w:rPr>
        <w:t xml:space="preserve">culpability </w:t>
      </w:r>
      <w:r w:rsidRPr="008D2A82">
        <w:rPr>
          <w:szCs w:val="22"/>
          <w:lang w:val="en-ID" w:eastAsia="en-ID"/>
        </w:rPr>
        <w:t xml:space="preserve">in the dissemination of false information. Subsection (1) applies to individuals who intentionally spread false information that is known to provoke riots, and they can face a maximum punishment of six years in prison or a category V fine. Subsection (2) applies to individuals who knowingly spread information based on their "reasonable suspicion" that it is false and has the potential to incite riots. They can be sentenced to a maximum of four years in prison or a category IV fine. This article differentiates between actions performed under circumstances where the perpetrator should have been </w:t>
      </w:r>
      <w:r w:rsidR="002D4AA6">
        <w:rPr>
          <w:szCs w:val="22"/>
          <w:lang w:val="en-ID" w:eastAsia="en-ID"/>
        </w:rPr>
        <w:t>aware</w:t>
      </w:r>
      <w:r w:rsidR="002D4AA6" w:rsidRPr="008D2A82">
        <w:rPr>
          <w:szCs w:val="22"/>
          <w:lang w:val="en-ID" w:eastAsia="en-ID"/>
        </w:rPr>
        <w:t xml:space="preserve"> </w:t>
      </w:r>
      <w:r w:rsidRPr="008D2A82">
        <w:rPr>
          <w:szCs w:val="22"/>
          <w:lang w:val="en-ID" w:eastAsia="en-ID"/>
        </w:rPr>
        <w:t xml:space="preserve">of the potential falsehood of the information, and actions performed with full awareness of the information's falseness. This distinction implicitly acknowledges varying levels of awareness and degrees of culpability. Article 264 expands the range of </w:t>
      </w:r>
      <w:r w:rsidR="001842D1">
        <w:rPr>
          <w:szCs w:val="22"/>
          <w:lang w:val="en-ID" w:eastAsia="en-ID"/>
        </w:rPr>
        <w:t>punishment</w:t>
      </w:r>
      <w:r w:rsidR="001842D1" w:rsidRPr="008D2A82">
        <w:rPr>
          <w:szCs w:val="22"/>
          <w:lang w:val="en-ID" w:eastAsia="en-ID"/>
        </w:rPr>
        <w:t xml:space="preserve"> </w:t>
      </w:r>
      <w:r w:rsidRPr="008D2A82">
        <w:rPr>
          <w:szCs w:val="22"/>
          <w:lang w:val="en-ID" w:eastAsia="en-ID"/>
        </w:rPr>
        <w:t xml:space="preserve">to include the dissemination of material that is not only blatantly incorrect but also ambiguous, exaggerated, or incomplete, which has the potential to cause </w:t>
      </w:r>
      <w:r w:rsidR="0011747E">
        <w:rPr>
          <w:szCs w:val="22"/>
          <w:lang w:val="en-ID" w:eastAsia="en-ID"/>
        </w:rPr>
        <w:t>unrest</w:t>
      </w:r>
      <w:r w:rsidRPr="008D2A82">
        <w:rPr>
          <w:szCs w:val="22"/>
          <w:lang w:val="en-ID" w:eastAsia="en-ID"/>
        </w:rPr>
        <w:t xml:space="preserve">. Offenders may face a maximum prison term of two years or a category III fine. This article highlights the </w:t>
      </w:r>
      <w:r w:rsidR="000A74BD">
        <w:rPr>
          <w:szCs w:val="22"/>
          <w:lang w:val="en-ID" w:eastAsia="en-ID"/>
        </w:rPr>
        <w:t>danger</w:t>
      </w:r>
      <w:r w:rsidR="000A74BD" w:rsidRPr="008D2A82">
        <w:rPr>
          <w:szCs w:val="22"/>
          <w:lang w:val="en-ID" w:eastAsia="en-ID"/>
        </w:rPr>
        <w:t xml:space="preserve"> </w:t>
      </w:r>
      <w:r w:rsidRPr="008D2A82">
        <w:rPr>
          <w:szCs w:val="22"/>
          <w:lang w:val="en-ID" w:eastAsia="en-ID"/>
        </w:rPr>
        <w:t xml:space="preserve">of </w:t>
      </w:r>
      <w:r w:rsidR="009D7FF5" w:rsidRPr="008D2A82">
        <w:rPr>
          <w:szCs w:val="22"/>
          <w:lang w:val="en-ID" w:eastAsia="en-ID"/>
        </w:rPr>
        <w:t>spreading</w:t>
      </w:r>
      <w:r w:rsidRPr="008D2A82">
        <w:rPr>
          <w:szCs w:val="22"/>
          <w:lang w:val="en-ID" w:eastAsia="en-ID"/>
        </w:rPr>
        <w:t xml:space="preserve"> information</w:t>
      </w:r>
      <w:r w:rsidR="009D7FF5">
        <w:rPr>
          <w:szCs w:val="22"/>
          <w:lang w:val="en-ID" w:eastAsia="en-ID"/>
        </w:rPr>
        <w:t xml:space="preserve"> </w:t>
      </w:r>
      <w:r w:rsidR="009D7FF5" w:rsidRPr="008D2A82">
        <w:rPr>
          <w:szCs w:val="22"/>
          <w:lang w:val="en-ID" w:eastAsia="en-ID"/>
        </w:rPr>
        <w:t>irresponsib</w:t>
      </w:r>
      <w:r w:rsidR="009D7FF5">
        <w:rPr>
          <w:szCs w:val="22"/>
          <w:lang w:val="en-ID" w:eastAsia="en-ID"/>
        </w:rPr>
        <w:t>ly</w:t>
      </w:r>
      <w:r w:rsidRPr="008D2A82">
        <w:rPr>
          <w:szCs w:val="22"/>
          <w:lang w:val="en-ID" w:eastAsia="en-ID"/>
        </w:rPr>
        <w:t xml:space="preserve">, </w:t>
      </w:r>
      <w:r w:rsidR="00C20C58">
        <w:rPr>
          <w:szCs w:val="22"/>
          <w:lang w:val="en-ID" w:eastAsia="en-ID"/>
        </w:rPr>
        <w:t>underlining</w:t>
      </w:r>
      <w:r w:rsidRPr="008D2A82">
        <w:rPr>
          <w:szCs w:val="22"/>
          <w:lang w:val="en-ID" w:eastAsia="en-ID"/>
        </w:rPr>
        <w:t xml:space="preserve"> that even moderately accurate information can have harmful consequences </w:t>
      </w:r>
      <w:r w:rsidR="000119A6">
        <w:rPr>
          <w:szCs w:val="22"/>
          <w:lang w:val="en-ID" w:eastAsia="en-ID"/>
        </w:rPr>
        <w:t xml:space="preserve">for the society </w:t>
      </w:r>
      <w:r w:rsidRPr="008D2A82">
        <w:rPr>
          <w:szCs w:val="22"/>
          <w:lang w:val="en-ID" w:eastAsia="en-ID"/>
        </w:rPr>
        <w:t>if presented dishonestly. The articles reflect legislative efforts to address the intricate nature of information dissemination in the digital era, when its detrimental impact on society is magnified by its rapidity and wide reach. The law aims to strike a balance between protecting the public from harmful material and respecting the fundamental right to freedom of expression by enforcing these articles. The main challenge lies in creating fair and transparent boundaries for their implementation.</w:t>
      </w:r>
    </w:p>
    <w:p w14:paraId="668A558D" w14:textId="07F7D70E" w:rsidR="008D2A82" w:rsidRPr="008D2A82" w:rsidRDefault="008D2A82" w:rsidP="008D2A82">
      <w:pPr>
        <w:rPr>
          <w:lang w:val="en-ID" w:eastAsia="en-ID"/>
        </w:rPr>
      </w:pPr>
      <w:r w:rsidRPr="008D2A82">
        <w:rPr>
          <w:lang w:val="en-ID" w:eastAsia="en-ID"/>
        </w:rPr>
        <w:t xml:space="preserve">The implementation of the new Criminal Code's Articles 263 and 264 poses significant </w:t>
      </w:r>
      <w:r w:rsidR="00A05D24">
        <w:rPr>
          <w:lang w:val="en-ID" w:eastAsia="en-ID"/>
        </w:rPr>
        <w:t>risks</w:t>
      </w:r>
      <w:r w:rsidR="00A05D24" w:rsidRPr="008D2A82">
        <w:rPr>
          <w:lang w:val="en-ID" w:eastAsia="en-ID"/>
        </w:rPr>
        <w:t xml:space="preserve"> </w:t>
      </w:r>
      <w:r w:rsidRPr="008D2A82">
        <w:rPr>
          <w:lang w:val="en-ID" w:eastAsia="en-ID"/>
        </w:rPr>
        <w:t xml:space="preserve">to media and freedom of expression, despite its intended objectives of combating misinformation and maintaining social order. Article 264 aims to </w:t>
      </w:r>
      <w:r w:rsidR="00CA11A0">
        <w:rPr>
          <w:lang w:val="en-ID" w:eastAsia="en-ID"/>
        </w:rPr>
        <w:t>protect</w:t>
      </w:r>
      <w:r w:rsidR="00CA11A0" w:rsidRPr="008D2A82">
        <w:rPr>
          <w:lang w:val="en-ID" w:eastAsia="en-ID"/>
        </w:rPr>
        <w:t xml:space="preserve"> </w:t>
      </w:r>
      <w:r w:rsidRPr="008D2A82">
        <w:rPr>
          <w:lang w:val="en-ID" w:eastAsia="en-ID"/>
        </w:rPr>
        <w:t xml:space="preserve">the public from the harmful consequences of misleading information, including uncertain, exaggerated, or incomplete news. Similarly, Article 263 is designed to protect the public from the spread of false news that is known or reasonably believed to incite a riot. However, the </w:t>
      </w:r>
      <w:r w:rsidR="00022DFB">
        <w:rPr>
          <w:lang w:val="en-ID" w:eastAsia="en-ID"/>
        </w:rPr>
        <w:t>loose</w:t>
      </w:r>
      <w:r w:rsidR="00022DFB" w:rsidRPr="008D2A82">
        <w:rPr>
          <w:lang w:val="en-ID" w:eastAsia="en-ID"/>
        </w:rPr>
        <w:t xml:space="preserve"> </w:t>
      </w:r>
      <w:r w:rsidRPr="008D2A82">
        <w:rPr>
          <w:lang w:val="en-ID" w:eastAsia="en-ID"/>
        </w:rPr>
        <w:t xml:space="preserve">definitions and criteria for categorizing information as "fake news" or "news that may incite riots" give rise to concerns about the possibility of subjective and broad interpretation. The potential </w:t>
      </w:r>
      <w:r w:rsidR="00366F88">
        <w:rPr>
          <w:lang w:val="en-ID" w:eastAsia="en-ID"/>
        </w:rPr>
        <w:t>impacts</w:t>
      </w:r>
      <w:r w:rsidR="00366F88" w:rsidRPr="008D2A82">
        <w:rPr>
          <w:lang w:val="en-ID" w:eastAsia="en-ID"/>
        </w:rPr>
        <w:t xml:space="preserve"> </w:t>
      </w:r>
      <w:r w:rsidRPr="008D2A82">
        <w:rPr>
          <w:lang w:val="en-ID" w:eastAsia="en-ID"/>
        </w:rPr>
        <w:t xml:space="preserve">of the </w:t>
      </w:r>
      <w:r w:rsidR="000317DB">
        <w:rPr>
          <w:lang w:val="en-ID" w:eastAsia="en-ID"/>
        </w:rPr>
        <w:t>articles</w:t>
      </w:r>
      <w:r w:rsidR="000317DB" w:rsidRPr="008D2A82">
        <w:rPr>
          <w:lang w:val="en-ID" w:eastAsia="en-ID"/>
        </w:rPr>
        <w:t xml:space="preserve"> </w:t>
      </w:r>
      <w:r w:rsidRPr="008D2A82">
        <w:rPr>
          <w:lang w:val="en-ID" w:eastAsia="en-ID"/>
        </w:rPr>
        <w:t xml:space="preserve">on the freedom of the press and expression only serve to intensify these concerns. Media outlets and journalists may face criminal implications for generating or spreading </w:t>
      </w:r>
      <w:r w:rsidR="0040353E">
        <w:rPr>
          <w:lang w:val="en-ID" w:eastAsia="en-ID"/>
        </w:rPr>
        <w:t xml:space="preserve">news </w:t>
      </w:r>
      <w:r w:rsidRPr="008D2A82">
        <w:rPr>
          <w:lang w:val="en-ID" w:eastAsia="en-ID"/>
        </w:rPr>
        <w:t xml:space="preserve">material, even when they are ethically reporting and fulfilling their obligation to inform the public. This could potentially have a chilling effect on press freedom, leading the media to exercise more caution or even avoid discussing sensitive and risky topics. Consequently, this would diminish the quality and extent of investigative journalism. In addition, it is not solely the media that faces the potential </w:t>
      </w:r>
      <w:r w:rsidR="00C71FB9">
        <w:rPr>
          <w:lang w:val="en-ID" w:eastAsia="en-ID"/>
        </w:rPr>
        <w:t>impact</w:t>
      </w:r>
      <w:r w:rsidR="00C71FB9" w:rsidRPr="008D2A82">
        <w:rPr>
          <w:lang w:val="en-ID" w:eastAsia="en-ID"/>
        </w:rPr>
        <w:t xml:space="preserve"> </w:t>
      </w:r>
      <w:r w:rsidRPr="008D2A82">
        <w:rPr>
          <w:lang w:val="en-ID" w:eastAsia="en-ID"/>
        </w:rPr>
        <w:t xml:space="preserve">of </w:t>
      </w:r>
      <w:r w:rsidR="00C71FB9">
        <w:rPr>
          <w:lang w:val="en-ID" w:eastAsia="en-ID"/>
        </w:rPr>
        <w:t xml:space="preserve">the </w:t>
      </w:r>
      <w:r w:rsidRPr="008D2A82">
        <w:rPr>
          <w:lang w:val="en-ID" w:eastAsia="en-ID"/>
        </w:rPr>
        <w:t>legislation that may curtail the freedom of speech. Affected parties may encompass individuals or community organizations who engage in communication via social media or other platforms to share ideas or information. To safeguard core democratic principles, law enforcement officials must exercise great care and use discretion judiciously when interpreting these provisions to avoid undermining efforts to combat misinformation.</w:t>
      </w:r>
    </w:p>
    <w:p w14:paraId="3733CB6F" w14:textId="33719010" w:rsidR="00E6226D" w:rsidRPr="0052467C" w:rsidRDefault="008D2A82" w:rsidP="008D2A82">
      <w:pPr>
        <w:rPr>
          <w:lang w:val="en-ID"/>
        </w:rPr>
      </w:pPr>
      <w:r w:rsidRPr="008D2A82">
        <w:rPr>
          <w:lang w:val="en-ID" w:eastAsia="en-ID"/>
        </w:rPr>
        <w:lastRenderedPageBreak/>
        <w:t xml:space="preserve">Moreover, there could be a certain degree of </w:t>
      </w:r>
      <w:r w:rsidR="00D33B3F">
        <w:rPr>
          <w:lang w:val="en-ID" w:eastAsia="en-ID"/>
        </w:rPr>
        <w:t>overlap</w:t>
      </w:r>
      <w:r w:rsidR="00D33B3F" w:rsidRPr="008D2A82">
        <w:rPr>
          <w:lang w:val="en-ID" w:eastAsia="en-ID"/>
        </w:rPr>
        <w:t xml:space="preserve"> </w:t>
      </w:r>
      <w:r w:rsidRPr="008D2A82">
        <w:rPr>
          <w:lang w:val="en-ID" w:eastAsia="en-ID"/>
        </w:rPr>
        <w:t xml:space="preserve">between the Press Law, which </w:t>
      </w:r>
      <w:r w:rsidR="00FC1DDC">
        <w:rPr>
          <w:lang w:val="en-ID" w:eastAsia="en-ID"/>
        </w:rPr>
        <w:t>currently</w:t>
      </w:r>
      <w:r w:rsidR="00FC1DDC" w:rsidRPr="008D2A82">
        <w:rPr>
          <w:lang w:val="en-ID" w:eastAsia="en-ID"/>
        </w:rPr>
        <w:t xml:space="preserve"> </w:t>
      </w:r>
      <w:r w:rsidRPr="008D2A82">
        <w:rPr>
          <w:lang w:val="en-ID" w:eastAsia="en-ID"/>
        </w:rPr>
        <w:t xml:space="preserve">provides a structure for regulating press-related issues under the oversight of the Press Council, and the Criminal Code due to the incorporation of these provisions. If these articles are enacted without considering the </w:t>
      </w:r>
      <w:r w:rsidR="006C2835">
        <w:rPr>
          <w:lang w:val="en-ID" w:eastAsia="en-ID"/>
        </w:rPr>
        <w:t>specific context</w:t>
      </w:r>
      <w:r w:rsidRPr="008D2A82">
        <w:rPr>
          <w:lang w:val="en-ID" w:eastAsia="en-ID"/>
        </w:rPr>
        <w:t xml:space="preserve"> of news reporting and journalistic ethics, the Press Council, which aims to protect press freedom and address concerns regarding journalistic ethics, will be compelled to uphold the values of media autonomy and press freedom. This could potentially complicate the differentiation between ethical violations and criminal acts, impede the media's ability to fulfill its supervisory function, and limit the extent of public discourse for constructive critique and </w:t>
      </w:r>
      <w:r w:rsidR="00FA2A00">
        <w:rPr>
          <w:lang w:val="en-ID" w:eastAsia="en-ID"/>
        </w:rPr>
        <w:t>discussion</w:t>
      </w:r>
      <w:r w:rsidRPr="008D2A82">
        <w:rPr>
          <w:lang w:val="en-ID" w:eastAsia="en-ID"/>
        </w:rPr>
        <w:t xml:space="preserve">. In a legal context, it is necessary to employ just and rational approaches to enforce Articles 263 and 264, while ensuring the protection of fundamental human rights, such as the right to freedom of expression. This requires maintaining a delicate equilibrium between safeguarding individuals' freedom of expression and dissemination of information, while also protecting the public from the harmful consequences of </w:t>
      </w:r>
      <w:r w:rsidR="000C1321">
        <w:rPr>
          <w:lang w:val="en-ID" w:eastAsia="en-ID"/>
        </w:rPr>
        <w:t>false</w:t>
      </w:r>
      <w:r w:rsidR="000C1321" w:rsidRPr="008D2A82">
        <w:rPr>
          <w:lang w:val="en-ID" w:eastAsia="en-ID"/>
        </w:rPr>
        <w:t xml:space="preserve"> </w:t>
      </w:r>
      <w:r w:rsidRPr="008D2A82">
        <w:rPr>
          <w:lang w:val="en-ID" w:eastAsia="en-ID"/>
        </w:rPr>
        <w:t>information. To effectively address the problem of false information, a comprehensive and interdisciplinary approach is required. This approach should incorporate technological, pedagogical, and legal measures. The success in addressing this issue will depend on the efficiency of rules such as Article 263 and Article 264, as well as the understanding and active participation of all members of society in promoting a culture of responsible information sharing.</w:t>
      </w:r>
    </w:p>
    <w:p w14:paraId="320C8E9E" w14:textId="26B086F6" w:rsidR="007C6261" w:rsidRDefault="00525233" w:rsidP="007C6261">
      <w:pPr>
        <w:pStyle w:val="Heading2"/>
        <w:ind w:left="426" w:hanging="435"/>
      </w:pPr>
      <w:r>
        <w:t>Establishing</w:t>
      </w:r>
      <w:r w:rsidRPr="001F232E">
        <w:t xml:space="preserve"> </w:t>
      </w:r>
      <w:r w:rsidR="001F232E" w:rsidRPr="001F232E">
        <w:t>a Resilient and Informed Society: A Human Rights-Based Approach to Addressing the Spread of False Information</w:t>
      </w:r>
    </w:p>
    <w:p w14:paraId="72D9A96E" w14:textId="675237AE" w:rsidR="008D2A82" w:rsidRDefault="008D2A82" w:rsidP="009B3CE0">
      <w:pPr>
        <w:ind w:firstLine="426"/>
        <w:rPr>
          <w:lang w:val="en-ID" w:eastAsia="en-ID"/>
        </w:rPr>
      </w:pPr>
      <w:r w:rsidRPr="008D2A82">
        <w:rPr>
          <w:lang w:val="en-ID" w:eastAsia="en-ID"/>
        </w:rPr>
        <w:t xml:space="preserve">When analyzing the use of human rights instruments in managing and preventing the spread of false information or hoaxes, it is important to have a deep understanding of how law enforcement activities, as </w:t>
      </w:r>
      <w:r w:rsidR="00896DB1">
        <w:rPr>
          <w:lang w:val="en-ID" w:eastAsia="en-ID"/>
        </w:rPr>
        <w:t>regulated</w:t>
      </w:r>
      <w:r w:rsidR="00896DB1" w:rsidRPr="008D2A82">
        <w:rPr>
          <w:lang w:val="en-ID" w:eastAsia="en-ID"/>
        </w:rPr>
        <w:t xml:space="preserve"> </w:t>
      </w:r>
      <w:r w:rsidRPr="008D2A82">
        <w:rPr>
          <w:lang w:val="en-ID" w:eastAsia="en-ID"/>
        </w:rPr>
        <w:t xml:space="preserve">by Articles 263 and 264, must align with human rights principles. In this context, it is crucial to consider the fundamental values of freedom of speech, the right to knowledge, and the right to public order and security. Freedom of expression, a fundamental human right, is extensively </w:t>
      </w:r>
      <w:r w:rsidR="00DF06AC">
        <w:rPr>
          <w:lang w:val="en-ID" w:eastAsia="en-ID"/>
        </w:rPr>
        <w:t>protected</w:t>
      </w:r>
      <w:r w:rsidR="00DF06AC" w:rsidRPr="008D2A82">
        <w:rPr>
          <w:lang w:val="en-ID" w:eastAsia="en-ID"/>
        </w:rPr>
        <w:t xml:space="preserve"> </w:t>
      </w:r>
      <w:r w:rsidRPr="008D2A82">
        <w:rPr>
          <w:lang w:val="en-ID" w:eastAsia="en-ID"/>
        </w:rPr>
        <w:t>by various international human rights agreements, including the International Covenant on Civil and Political Rights (ICCPR) and Article 19 of the Universal Declaration of Human Rights (UDHR).</w:t>
      </w:r>
      <w:r w:rsidR="00E43809">
        <w:rPr>
          <w:rStyle w:val="FootnoteReference"/>
          <w:lang w:val="en-ID" w:eastAsia="en-ID"/>
        </w:rPr>
        <w:footnoteReference w:id="17"/>
      </w:r>
      <w:r w:rsidR="009B3CE0" w:rsidRPr="009B3CE0">
        <w:rPr>
          <w:lang w:val="en-ID" w:eastAsia="en-ID"/>
        </w:rPr>
        <w:t xml:space="preserve"> </w:t>
      </w:r>
      <w:r w:rsidRPr="008D2A82">
        <w:rPr>
          <w:lang w:val="en-ID" w:eastAsia="en-ID"/>
        </w:rPr>
        <w:t xml:space="preserve">This right grants individuals the freedom to openly express their thoughts </w:t>
      </w:r>
      <w:r w:rsidR="000F02A7">
        <w:rPr>
          <w:lang w:val="en-ID" w:eastAsia="en-ID"/>
        </w:rPr>
        <w:t xml:space="preserve">and </w:t>
      </w:r>
      <w:r w:rsidRPr="008D2A82">
        <w:rPr>
          <w:lang w:val="en-ID" w:eastAsia="en-ID"/>
        </w:rPr>
        <w:t>actively search for, obtain, and share information and ideas via any method of communication, without being limited by national boundaries</w:t>
      </w:r>
      <w:r w:rsidR="009B3CE0" w:rsidRPr="009B3CE0">
        <w:rPr>
          <w:lang w:val="en-ID" w:eastAsia="en-ID"/>
        </w:rPr>
        <w:t>.</w:t>
      </w:r>
      <w:r w:rsidR="00E43809">
        <w:rPr>
          <w:rStyle w:val="FootnoteReference"/>
          <w:lang w:val="en-ID" w:eastAsia="en-ID"/>
        </w:rPr>
        <w:footnoteReference w:id="18"/>
      </w:r>
      <w:r w:rsidR="009B3CE0" w:rsidRPr="009B3CE0">
        <w:rPr>
          <w:lang w:val="en-ID" w:eastAsia="en-ID"/>
        </w:rPr>
        <w:t xml:space="preserve"> </w:t>
      </w:r>
      <w:r w:rsidRPr="008D2A82">
        <w:rPr>
          <w:lang w:val="en-ID" w:eastAsia="en-ID"/>
        </w:rPr>
        <w:t xml:space="preserve">Nevertheless, the right to freedom of expression is not without limitations and might be subject to </w:t>
      </w:r>
      <w:r w:rsidR="001F606B">
        <w:rPr>
          <w:lang w:val="en-ID" w:eastAsia="en-ID"/>
        </w:rPr>
        <w:t>certain restrictions</w:t>
      </w:r>
      <w:r w:rsidRPr="008D2A82">
        <w:rPr>
          <w:lang w:val="en-ID" w:eastAsia="en-ID"/>
        </w:rPr>
        <w:t xml:space="preserve">. These </w:t>
      </w:r>
      <w:r w:rsidR="00A2582C">
        <w:rPr>
          <w:lang w:val="en-ID" w:eastAsia="en-ID"/>
        </w:rPr>
        <w:t>restrictions</w:t>
      </w:r>
      <w:r w:rsidR="00A2582C" w:rsidRPr="008D2A82">
        <w:rPr>
          <w:lang w:val="en-ID" w:eastAsia="en-ID"/>
        </w:rPr>
        <w:t xml:space="preserve"> </w:t>
      </w:r>
      <w:r w:rsidRPr="008D2A82">
        <w:rPr>
          <w:lang w:val="en-ID" w:eastAsia="en-ID"/>
        </w:rPr>
        <w:t>may be established by the laws of different countries, as long as they adhere to legal principles and are considered essential for certain objectives.</w:t>
      </w:r>
      <w:r w:rsidR="00E43809">
        <w:rPr>
          <w:rStyle w:val="FootnoteReference"/>
          <w:lang w:val="en-ID" w:eastAsia="en-ID"/>
        </w:rPr>
        <w:footnoteReference w:id="19"/>
      </w:r>
      <w:r w:rsidR="009B3CE0" w:rsidRPr="009B3CE0">
        <w:rPr>
          <w:lang w:val="en-ID" w:eastAsia="en-ID"/>
        </w:rPr>
        <w:t xml:space="preserve"> </w:t>
      </w:r>
      <w:r w:rsidRPr="008D2A82">
        <w:rPr>
          <w:lang w:val="en-ID" w:eastAsia="en-ID"/>
        </w:rPr>
        <w:t xml:space="preserve">These </w:t>
      </w:r>
      <w:r w:rsidR="0036037F">
        <w:rPr>
          <w:lang w:val="en-ID" w:eastAsia="en-ID"/>
        </w:rPr>
        <w:t>restrictions</w:t>
      </w:r>
      <w:r w:rsidR="0036037F" w:rsidRPr="008D2A82">
        <w:rPr>
          <w:lang w:val="en-ID" w:eastAsia="en-ID"/>
        </w:rPr>
        <w:t xml:space="preserve"> </w:t>
      </w:r>
      <w:r w:rsidRPr="008D2A82">
        <w:rPr>
          <w:lang w:val="en-ID" w:eastAsia="en-ID"/>
        </w:rPr>
        <w:t>should be designed to uphold the rights and reputations of others, safeguard national security, maintain public order, promote public health, and uphold public morals.</w:t>
      </w:r>
      <w:r w:rsidR="00E43809">
        <w:rPr>
          <w:rStyle w:val="FootnoteReference"/>
          <w:lang w:val="en-ID" w:eastAsia="en-ID"/>
        </w:rPr>
        <w:footnoteReference w:id="20"/>
      </w:r>
      <w:r w:rsidR="009B3CE0" w:rsidRPr="009B3CE0">
        <w:rPr>
          <w:lang w:val="en-ID" w:eastAsia="en-ID"/>
        </w:rPr>
        <w:t xml:space="preserve"> </w:t>
      </w:r>
      <w:r w:rsidR="002A74F3">
        <w:rPr>
          <w:lang w:val="en-ID" w:eastAsia="en-ID"/>
        </w:rPr>
        <w:t>In accordance to the principles of legality, necessity, and proportionality</w:t>
      </w:r>
      <w:r w:rsidR="00BA0CC7">
        <w:rPr>
          <w:lang w:val="en-ID" w:eastAsia="en-ID"/>
        </w:rPr>
        <w:t>, c</w:t>
      </w:r>
      <w:r w:rsidRPr="008D2A82">
        <w:rPr>
          <w:lang w:val="en-ID" w:eastAsia="en-ID"/>
        </w:rPr>
        <w:t xml:space="preserve">lear legislation is important </w:t>
      </w:r>
      <w:r w:rsidR="002B179C">
        <w:rPr>
          <w:lang w:val="en-ID" w:eastAsia="en-ID"/>
        </w:rPr>
        <w:t>in</w:t>
      </w:r>
      <w:r w:rsidR="002B179C" w:rsidRPr="008D2A82">
        <w:rPr>
          <w:lang w:val="en-ID" w:eastAsia="en-ID"/>
        </w:rPr>
        <w:t xml:space="preserve"> </w:t>
      </w:r>
      <w:r w:rsidR="002B179C">
        <w:rPr>
          <w:lang w:val="en-ID" w:eastAsia="en-ID"/>
        </w:rPr>
        <w:t>regulating</w:t>
      </w:r>
      <w:r w:rsidRPr="008D2A82">
        <w:rPr>
          <w:lang w:val="en-ID" w:eastAsia="en-ID"/>
        </w:rPr>
        <w:t xml:space="preserve"> every restriction, ensuring that it is aimed at legitimate objectives in accordance with international law and is strictly necessary for achieving </w:t>
      </w:r>
      <w:r w:rsidR="001F3118">
        <w:rPr>
          <w:lang w:val="en-ID" w:eastAsia="en-ID"/>
        </w:rPr>
        <w:t>such</w:t>
      </w:r>
      <w:r w:rsidR="001F3118" w:rsidRPr="008D2A82">
        <w:rPr>
          <w:lang w:val="en-ID" w:eastAsia="en-ID"/>
        </w:rPr>
        <w:t xml:space="preserve"> </w:t>
      </w:r>
      <w:r w:rsidRPr="008D2A82">
        <w:rPr>
          <w:lang w:val="en-ID" w:eastAsia="en-ID"/>
        </w:rPr>
        <w:t>aims in a democratic society.</w:t>
      </w:r>
      <w:r w:rsidR="00E43809">
        <w:rPr>
          <w:rStyle w:val="FootnoteReference"/>
          <w:lang w:val="en-ID" w:eastAsia="en-ID"/>
        </w:rPr>
        <w:footnoteReference w:id="21"/>
      </w:r>
      <w:r w:rsidR="009B3CE0" w:rsidRPr="009B3CE0">
        <w:rPr>
          <w:lang w:val="en-ID" w:eastAsia="en-ID"/>
        </w:rPr>
        <w:t xml:space="preserve"> </w:t>
      </w:r>
      <w:r w:rsidRPr="008D2A82">
        <w:rPr>
          <w:lang w:val="en-ID" w:eastAsia="en-ID"/>
        </w:rPr>
        <w:t xml:space="preserve">Moreover, the preservation of the </w:t>
      </w:r>
      <w:r w:rsidRPr="008D2A82">
        <w:rPr>
          <w:lang w:val="en-ID" w:eastAsia="en-ID"/>
        </w:rPr>
        <w:lastRenderedPageBreak/>
        <w:t xml:space="preserve">right to free expression must be meticulously weighed against the need to impose restrictions in order to protect other recognized interests. These </w:t>
      </w:r>
      <w:r w:rsidR="007263E2">
        <w:rPr>
          <w:lang w:val="en-ID" w:eastAsia="en-ID"/>
        </w:rPr>
        <w:t>assessments</w:t>
      </w:r>
      <w:r w:rsidR="007263E2" w:rsidRPr="008D2A82">
        <w:rPr>
          <w:lang w:val="en-ID" w:eastAsia="en-ID"/>
        </w:rPr>
        <w:t xml:space="preserve"> </w:t>
      </w:r>
      <w:r w:rsidRPr="008D2A82">
        <w:rPr>
          <w:lang w:val="en-ID" w:eastAsia="en-ID"/>
        </w:rPr>
        <w:t xml:space="preserve">often involve complex considerations and require individual examination to ensure that restrictions are not imposed to suppress freedom of speech or </w:t>
      </w:r>
      <w:r w:rsidR="004C5773">
        <w:rPr>
          <w:lang w:val="en-ID" w:eastAsia="en-ID"/>
        </w:rPr>
        <w:t>silence</w:t>
      </w:r>
      <w:r w:rsidR="004C5773" w:rsidRPr="008D2A82">
        <w:rPr>
          <w:lang w:val="en-ID" w:eastAsia="en-ID"/>
        </w:rPr>
        <w:t xml:space="preserve"> </w:t>
      </w:r>
      <w:r w:rsidRPr="008D2A82">
        <w:rPr>
          <w:lang w:val="en-ID" w:eastAsia="en-ID"/>
        </w:rPr>
        <w:t>critic</w:t>
      </w:r>
      <w:r w:rsidR="004C5773">
        <w:rPr>
          <w:lang w:val="en-ID" w:eastAsia="en-ID"/>
        </w:rPr>
        <w:t>ism</w:t>
      </w:r>
      <w:r w:rsidRPr="008D2A82">
        <w:rPr>
          <w:lang w:val="en-ID" w:eastAsia="en-ID"/>
        </w:rPr>
        <w:t>.</w:t>
      </w:r>
    </w:p>
    <w:p w14:paraId="77A1968D" w14:textId="2A488B0A" w:rsidR="009B3CE0" w:rsidRDefault="008D2A82" w:rsidP="009B3CE0">
      <w:pPr>
        <w:ind w:firstLine="426"/>
        <w:rPr>
          <w:lang w:val="en-ID" w:eastAsia="en-ID"/>
        </w:rPr>
      </w:pPr>
      <w:r w:rsidRPr="008D2A82">
        <w:rPr>
          <w:lang w:val="en-ID" w:eastAsia="en-ID"/>
        </w:rPr>
        <w:t xml:space="preserve">An objective assessment of how restrictions on freedom of speech are used to prevent the spread of false information that could potentially harm social stability and public order is essential for understanding the interpretation of Articles 263 and 264 within the context of human rights. It is </w:t>
      </w:r>
      <w:r w:rsidR="00DC7E34">
        <w:rPr>
          <w:lang w:val="en-ID" w:eastAsia="en-ID"/>
        </w:rPr>
        <w:t>important</w:t>
      </w:r>
      <w:r w:rsidR="00DC7E34" w:rsidRPr="008D2A82">
        <w:rPr>
          <w:lang w:val="en-ID" w:eastAsia="en-ID"/>
        </w:rPr>
        <w:t xml:space="preserve"> </w:t>
      </w:r>
      <w:r w:rsidRPr="008D2A82">
        <w:rPr>
          <w:lang w:val="en-ID" w:eastAsia="en-ID"/>
        </w:rPr>
        <w:t xml:space="preserve">to uphold the principles of necessity and proportionality in law enforcement efforts, while also avoiding excessive restrictions on freedom of expression, to protect human rights. This implies that the </w:t>
      </w:r>
      <w:r w:rsidR="00622DA5">
        <w:rPr>
          <w:lang w:val="en-ID" w:eastAsia="en-ID"/>
        </w:rPr>
        <w:t>punishment</w:t>
      </w:r>
      <w:r w:rsidR="00622DA5" w:rsidRPr="008D2A82">
        <w:rPr>
          <w:lang w:val="en-ID" w:eastAsia="en-ID"/>
        </w:rPr>
        <w:t xml:space="preserve"> </w:t>
      </w:r>
      <w:r w:rsidRPr="008D2A82">
        <w:rPr>
          <w:lang w:val="en-ID" w:eastAsia="en-ID"/>
        </w:rPr>
        <w:t xml:space="preserve">or penalty </w:t>
      </w:r>
      <w:r w:rsidR="00B32514">
        <w:rPr>
          <w:lang w:val="en-ID" w:eastAsia="en-ID"/>
        </w:rPr>
        <w:t>applied</w:t>
      </w:r>
      <w:r w:rsidR="00B32514" w:rsidRPr="008D2A82">
        <w:rPr>
          <w:lang w:val="en-ID" w:eastAsia="en-ID"/>
        </w:rPr>
        <w:t xml:space="preserve"> </w:t>
      </w:r>
      <w:r w:rsidRPr="008D2A82">
        <w:rPr>
          <w:lang w:val="en-ID" w:eastAsia="en-ID"/>
        </w:rPr>
        <w:t xml:space="preserve">must be suitable for the transgression committed and absolutely necessary to achieve a lawful objective, such as preventing societal unrest. Furthermore, a fair and impartial judicial system is a crucial factor that influences the implementation of Articles 263 and 264 in relation to human rights. This encompasses the entitlements to protect oneself, an unbiased judicial system, and an equitable and open court proceeding. </w:t>
      </w:r>
      <w:r w:rsidR="008E2214">
        <w:rPr>
          <w:lang w:val="en-ID" w:eastAsia="en-ID"/>
        </w:rPr>
        <w:t>T</w:t>
      </w:r>
      <w:r w:rsidRPr="008D2A82">
        <w:rPr>
          <w:lang w:val="en-ID" w:eastAsia="en-ID"/>
        </w:rPr>
        <w:t xml:space="preserve">o ensure that individuals are not unjustly accused of criminal behavior based on their chosen words, the legal system </w:t>
      </w:r>
      <w:r w:rsidR="007C0160">
        <w:rPr>
          <w:lang w:val="en-ID" w:eastAsia="en-ID"/>
        </w:rPr>
        <w:t xml:space="preserve">must </w:t>
      </w:r>
      <w:r w:rsidRPr="008D2A82">
        <w:rPr>
          <w:lang w:val="en-ID" w:eastAsia="en-ID"/>
        </w:rPr>
        <w:t>maintain transparency in both its decision-making process and its implementation. Moreover, a strategy based on human rights emphasizes the importance of promoting public awareness and education as an effective approach to halt the dissemination of hoaxes.</w:t>
      </w:r>
      <w:r w:rsidR="00E43809">
        <w:rPr>
          <w:rStyle w:val="FootnoteReference"/>
          <w:lang w:val="en-ID" w:eastAsia="en-ID"/>
        </w:rPr>
        <w:footnoteReference w:id="22"/>
      </w:r>
      <w:r w:rsidR="009B3CE0" w:rsidRPr="009B3CE0">
        <w:rPr>
          <w:lang w:val="en-ID" w:eastAsia="en-ID"/>
        </w:rPr>
        <w:t xml:space="preserve"> </w:t>
      </w:r>
      <w:r w:rsidR="00C11D63" w:rsidRPr="00C11D63">
        <w:rPr>
          <w:lang w:val="en-ID" w:eastAsia="en-ID"/>
        </w:rPr>
        <w:t>Acquiring knowledge on media and information literacy can enhance individuals' ability to evaluate and disseminate information, while also reinforcing the value of truth and honesty in public communications.</w:t>
      </w:r>
      <w:r w:rsidR="00E43809">
        <w:rPr>
          <w:rStyle w:val="FootnoteReference"/>
          <w:lang w:val="en-ID" w:eastAsia="en-ID"/>
        </w:rPr>
        <w:footnoteReference w:id="23"/>
      </w:r>
    </w:p>
    <w:p w14:paraId="3CBF4FF9" w14:textId="0D820C3E" w:rsidR="009B3CE0" w:rsidRDefault="00C11D63" w:rsidP="00C11D63">
      <w:pPr>
        <w:ind w:firstLine="426"/>
        <w:rPr>
          <w:lang w:val="en-ID" w:eastAsia="en-ID"/>
        </w:rPr>
      </w:pPr>
      <w:r w:rsidRPr="00C11D63">
        <w:rPr>
          <w:lang w:val="en-ID" w:eastAsia="en-ID"/>
        </w:rPr>
        <w:t xml:space="preserve">Integrating law enforcement initiatives with the advocacy of freedom of speech and public education within a human rights framework offers a more robust and </w:t>
      </w:r>
      <w:r w:rsidR="00431A61">
        <w:rPr>
          <w:lang w:val="en-ID" w:eastAsia="en-ID"/>
        </w:rPr>
        <w:t>sustainable</w:t>
      </w:r>
      <w:r w:rsidR="00431A61" w:rsidRPr="00C11D63">
        <w:rPr>
          <w:lang w:val="en-ID" w:eastAsia="en-ID"/>
        </w:rPr>
        <w:t xml:space="preserve"> </w:t>
      </w:r>
      <w:r w:rsidRPr="00C11D63">
        <w:rPr>
          <w:lang w:val="en-ID" w:eastAsia="en-ID"/>
        </w:rPr>
        <w:t xml:space="preserve">foundation for tackling the dissemination of </w:t>
      </w:r>
      <w:r w:rsidR="00B6278C">
        <w:rPr>
          <w:lang w:val="en-ID" w:eastAsia="en-ID"/>
        </w:rPr>
        <w:t>false</w:t>
      </w:r>
      <w:r w:rsidR="00B6278C" w:rsidRPr="00C11D63">
        <w:rPr>
          <w:lang w:val="en-ID" w:eastAsia="en-ID"/>
        </w:rPr>
        <w:t xml:space="preserve"> </w:t>
      </w:r>
      <w:r w:rsidRPr="00C11D63">
        <w:rPr>
          <w:lang w:val="en-ID" w:eastAsia="en-ID"/>
        </w:rPr>
        <w:t>information</w:t>
      </w:r>
      <w:r w:rsidR="009B3CE0" w:rsidRPr="009B3CE0">
        <w:rPr>
          <w:lang w:val="en-ID" w:eastAsia="en-ID"/>
        </w:rPr>
        <w:t>.</w:t>
      </w:r>
      <w:r w:rsidR="00E43809">
        <w:rPr>
          <w:rStyle w:val="FootnoteReference"/>
          <w:lang w:val="en-ID" w:eastAsia="en-ID"/>
        </w:rPr>
        <w:footnoteReference w:id="24"/>
      </w:r>
      <w:r w:rsidR="009B3CE0" w:rsidRPr="009B3CE0">
        <w:rPr>
          <w:lang w:val="en-ID" w:eastAsia="en-ID"/>
        </w:rPr>
        <w:t xml:space="preserve"> </w:t>
      </w:r>
      <w:r w:rsidRPr="00C11D63">
        <w:rPr>
          <w:lang w:val="en-ID" w:eastAsia="en-ID"/>
        </w:rPr>
        <w:t xml:space="preserve">This </w:t>
      </w:r>
      <w:r w:rsidR="009637D7">
        <w:rPr>
          <w:lang w:val="en-ID" w:eastAsia="en-ID"/>
        </w:rPr>
        <w:t>approach</w:t>
      </w:r>
      <w:r w:rsidR="009637D7" w:rsidRPr="00C11D63">
        <w:rPr>
          <w:lang w:val="en-ID" w:eastAsia="en-ID"/>
        </w:rPr>
        <w:t xml:space="preserve"> </w:t>
      </w:r>
      <w:r w:rsidRPr="00C11D63">
        <w:rPr>
          <w:lang w:val="en-ID" w:eastAsia="en-ID"/>
        </w:rPr>
        <w:t xml:space="preserve">ensures both legal compliance and the development of an informed, responsible, and resilient society that is resistant to disinformation and hoaxes. Developing the ability of a community to identify and respond to </w:t>
      </w:r>
      <w:r w:rsidR="00C23B8A">
        <w:rPr>
          <w:lang w:val="en-ID" w:eastAsia="en-ID"/>
        </w:rPr>
        <w:t>false</w:t>
      </w:r>
      <w:r w:rsidR="00C23B8A" w:rsidRPr="00C11D63">
        <w:rPr>
          <w:lang w:val="en-ID" w:eastAsia="en-ID"/>
        </w:rPr>
        <w:t xml:space="preserve"> </w:t>
      </w:r>
      <w:r w:rsidRPr="00C11D63">
        <w:rPr>
          <w:lang w:val="en-ID" w:eastAsia="en-ID"/>
        </w:rPr>
        <w:t xml:space="preserve">information is essential when adopting human rights measures to counteract the dissemination of false information. This entails providing financial assistance for educational and training programs that promote the development of digital and critical literacy skills, enabling individuals to discern between trustworthy sources and deceptive ones. Thus, a policy that is based on human rights places equal emphasis on proactive prevention through community empowerment and reactive police enforcement against violations. In addition, it is essential to take into account the social and cultural environment while formulating and implementing legislation aimed at preventing the dissemination of </w:t>
      </w:r>
      <w:r w:rsidR="00C2496E">
        <w:rPr>
          <w:lang w:val="en-ID" w:eastAsia="en-ID"/>
        </w:rPr>
        <w:t>false</w:t>
      </w:r>
      <w:r w:rsidR="00C2496E" w:rsidRPr="00C11D63">
        <w:rPr>
          <w:lang w:val="en-ID" w:eastAsia="en-ID"/>
        </w:rPr>
        <w:t xml:space="preserve"> </w:t>
      </w:r>
      <w:r w:rsidRPr="00C11D63">
        <w:rPr>
          <w:lang w:val="en-ID" w:eastAsia="en-ID"/>
        </w:rPr>
        <w:t xml:space="preserve">information, particularly in a diverse and multicultural country like Indonesia. To enhance the effectiveness of education and communication projects, it is important to adopt a respectful approach toward </w:t>
      </w:r>
      <w:r w:rsidR="00F32AF2">
        <w:rPr>
          <w:lang w:val="en-ID" w:eastAsia="en-ID"/>
        </w:rPr>
        <w:t>diverse</w:t>
      </w:r>
      <w:r w:rsidR="00F32AF2" w:rsidRPr="00C11D63">
        <w:rPr>
          <w:lang w:val="en-ID" w:eastAsia="en-ID"/>
        </w:rPr>
        <w:t xml:space="preserve"> </w:t>
      </w:r>
      <w:r w:rsidRPr="00C11D63">
        <w:rPr>
          <w:lang w:val="en-ID" w:eastAsia="en-ID"/>
        </w:rPr>
        <w:t xml:space="preserve">cultures and perspectives. This ensures that communications are relevant and </w:t>
      </w:r>
      <w:r w:rsidR="00D36828">
        <w:rPr>
          <w:lang w:val="en-ID" w:eastAsia="en-ID"/>
        </w:rPr>
        <w:t>resonates with</w:t>
      </w:r>
      <w:r w:rsidRPr="00C11D63">
        <w:rPr>
          <w:lang w:val="en-ID" w:eastAsia="en-ID"/>
        </w:rPr>
        <w:t xml:space="preserve"> a wide range of social groups. In addition, international cooperation and the exchange of effective strategies could lead to new insights and pragmatic methods for addressing the global issue of spreading </w:t>
      </w:r>
      <w:r w:rsidR="00DA4BE2">
        <w:rPr>
          <w:lang w:val="en-ID" w:eastAsia="en-ID"/>
        </w:rPr>
        <w:t>false</w:t>
      </w:r>
      <w:r w:rsidR="00DA4BE2" w:rsidRPr="00C11D63">
        <w:rPr>
          <w:lang w:val="en-ID" w:eastAsia="en-ID"/>
        </w:rPr>
        <w:t xml:space="preserve"> </w:t>
      </w:r>
      <w:r w:rsidRPr="00C11D63">
        <w:rPr>
          <w:lang w:val="en-ID" w:eastAsia="en-ID"/>
        </w:rPr>
        <w:t xml:space="preserve">information. International human rights institutions provide a platform for </w:t>
      </w:r>
      <w:r w:rsidR="00B7470C">
        <w:rPr>
          <w:lang w:val="en-ID" w:eastAsia="en-ID"/>
        </w:rPr>
        <w:t>countries</w:t>
      </w:r>
      <w:r w:rsidR="00B7470C" w:rsidRPr="00C11D63">
        <w:rPr>
          <w:lang w:val="en-ID" w:eastAsia="en-ID"/>
        </w:rPr>
        <w:t xml:space="preserve"> </w:t>
      </w:r>
      <w:r w:rsidRPr="00C11D63">
        <w:rPr>
          <w:lang w:val="en-ID" w:eastAsia="en-ID"/>
        </w:rPr>
        <w:t xml:space="preserve">to share experiences, learn from each other, and preserve freedom of expression while combating </w:t>
      </w:r>
      <w:r w:rsidR="00FD2E64">
        <w:rPr>
          <w:lang w:val="en-ID" w:eastAsia="en-ID"/>
        </w:rPr>
        <w:t>false</w:t>
      </w:r>
      <w:r w:rsidR="00FD2E64" w:rsidRPr="00C11D63">
        <w:rPr>
          <w:lang w:val="en-ID" w:eastAsia="en-ID"/>
        </w:rPr>
        <w:t xml:space="preserve"> </w:t>
      </w:r>
      <w:r w:rsidRPr="00C11D63">
        <w:rPr>
          <w:lang w:val="en-ID" w:eastAsia="en-ID"/>
        </w:rPr>
        <w:t>information</w:t>
      </w:r>
      <w:r w:rsidR="001503FE">
        <w:rPr>
          <w:lang w:val="en-ID" w:eastAsia="en-ID"/>
        </w:rPr>
        <w:t>, such as</w:t>
      </w:r>
      <w:r w:rsidRPr="00C11D63">
        <w:rPr>
          <w:lang w:val="en-ID" w:eastAsia="en-ID"/>
        </w:rPr>
        <w:t xml:space="preserve"> </w:t>
      </w:r>
      <w:r w:rsidR="001503FE">
        <w:rPr>
          <w:lang w:val="en-ID" w:eastAsia="en-ID"/>
        </w:rPr>
        <w:t>t</w:t>
      </w:r>
      <w:r w:rsidRPr="00C11D63">
        <w:rPr>
          <w:lang w:val="en-ID" w:eastAsia="en-ID"/>
        </w:rPr>
        <w:t xml:space="preserve">he Universal </w:t>
      </w:r>
      <w:r w:rsidRPr="00C11D63">
        <w:rPr>
          <w:lang w:val="en-ID" w:eastAsia="en-ID"/>
        </w:rPr>
        <w:lastRenderedPageBreak/>
        <w:t xml:space="preserve">Periodic </w:t>
      </w:r>
      <w:r w:rsidR="007F3DFF">
        <w:rPr>
          <w:lang w:val="en-ID" w:eastAsia="en-ID"/>
        </w:rPr>
        <w:t>Review</w:t>
      </w:r>
      <w:r w:rsidR="007F3DFF" w:rsidRPr="00C11D63">
        <w:rPr>
          <w:lang w:val="en-ID" w:eastAsia="en-ID"/>
        </w:rPr>
        <w:t xml:space="preserve"> </w:t>
      </w:r>
      <w:r w:rsidRPr="00C11D63">
        <w:rPr>
          <w:lang w:val="en-ID" w:eastAsia="en-ID"/>
        </w:rPr>
        <w:t>(UPR)</w:t>
      </w:r>
      <w:r w:rsidR="001503FE">
        <w:rPr>
          <w:lang w:val="en-ID" w:eastAsia="en-ID"/>
        </w:rPr>
        <w:t xml:space="preserve">, </w:t>
      </w:r>
      <w:r w:rsidRPr="00C11D63">
        <w:rPr>
          <w:lang w:val="en-ID" w:eastAsia="en-ID"/>
        </w:rPr>
        <w:t>a peer assessment mechanism under the UN Human Rights Council.</w:t>
      </w:r>
      <w:r w:rsidR="00E43809">
        <w:rPr>
          <w:rStyle w:val="FootnoteReference"/>
          <w:lang w:val="en-ID" w:eastAsia="en-ID"/>
        </w:rPr>
        <w:footnoteReference w:id="25"/>
      </w:r>
      <w:r w:rsidR="009B3CE0" w:rsidRPr="009B3CE0">
        <w:rPr>
          <w:lang w:val="en-ID" w:eastAsia="en-ID"/>
        </w:rPr>
        <w:t xml:space="preserve"> </w:t>
      </w:r>
      <w:r w:rsidRPr="00C11D63">
        <w:rPr>
          <w:lang w:val="en-ID" w:eastAsia="en-ID"/>
        </w:rPr>
        <w:t xml:space="preserve">The utilization of artificial intelligence (AI) and technology can offer prospects for the detection and prevention of the dissemination of </w:t>
      </w:r>
      <w:r w:rsidR="00F03C30">
        <w:rPr>
          <w:lang w:val="en-ID" w:eastAsia="en-ID"/>
        </w:rPr>
        <w:t>false</w:t>
      </w:r>
      <w:r w:rsidR="00F03C30" w:rsidRPr="00C11D63">
        <w:rPr>
          <w:lang w:val="en-ID" w:eastAsia="en-ID"/>
        </w:rPr>
        <w:t xml:space="preserve"> </w:t>
      </w:r>
      <w:r w:rsidRPr="00C11D63">
        <w:rPr>
          <w:lang w:val="en-ID" w:eastAsia="en-ID"/>
        </w:rPr>
        <w:t xml:space="preserve">information. Nevertheless, the </w:t>
      </w:r>
      <w:r w:rsidR="0065707B">
        <w:rPr>
          <w:lang w:val="en-ID" w:eastAsia="en-ID"/>
        </w:rPr>
        <w:t xml:space="preserve">their </w:t>
      </w:r>
      <w:r w:rsidRPr="00C11D63">
        <w:rPr>
          <w:lang w:val="en-ID" w:eastAsia="en-ID"/>
        </w:rPr>
        <w:t xml:space="preserve">utilization, which encompasses </w:t>
      </w:r>
      <w:r w:rsidR="00F861FF">
        <w:rPr>
          <w:lang w:val="en-ID" w:eastAsia="en-ID"/>
        </w:rPr>
        <w:t>protecting</w:t>
      </w:r>
      <w:r w:rsidR="00F861FF" w:rsidRPr="00C11D63">
        <w:rPr>
          <w:lang w:val="en-ID" w:eastAsia="en-ID"/>
        </w:rPr>
        <w:t xml:space="preserve"> </w:t>
      </w:r>
      <w:r w:rsidRPr="00C11D63">
        <w:rPr>
          <w:lang w:val="en-ID" w:eastAsia="en-ID"/>
        </w:rPr>
        <w:t xml:space="preserve">data and ensuring privacy, must adhere to human rights standards. </w:t>
      </w:r>
      <w:r w:rsidR="000F36C9">
        <w:rPr>
          <w:lang w:val="en-ID" w:eastAsia="en-ID"/>
        </w:rPr>
        <w:t>T</w:t>
      </w:r>
      <w:r w:rsidRPr="00C11D63">
        <w:rPr>
          <w:lang w:val="en-ID" w:eastAsia="en-ID"/>
        </w:rPr>
        <w:t xml:space="preserve">o ensure responsibility and avoid bias or unfair treatment, it is imperative for social media platforms and other technological systems to be open and clear about the algorithms and decision-making procedures they employ. Ultimately, the creation of a comprehensive and all-encompassing plan for managing </w:t>
      </w:r>
      <w:r w:rsidR="00CC7F8C">
        <w:rPr>
          <w:lang w:val="en-ID" w:eastAsia="en-ID"/>
        </w:rPr>
        <w:t>false</w:t>
      </w:r>
      <w:r w:rsidR="00CC7F8C" w:rsidRPr="00C11D63">
        <w:rPr>
          <w:lang w:val="en-ID" w:eastAsia="en-ID"/>
        </w:rPr>
        <w:t xml:space="preserve"> </w:t>
      </w:r>
      <w:r w:rsidRPr="00C11D63">
        <w:rPr>
          <w:lang w:val="en-ID" w:eastAsia="en-ID"/>
        </w:rPr>
        <w:t xml:space="preserve">information necessitates effective communication and engagement with various stakeholders, such as the </w:t>
      </w:r>
      <w:r w:rsidR="009971E3">
        <w:rPr>
          <w:lang w:val="en-ID" w:eastAsia="en-ID"/>
        </w:rPr>
        <w:t>private</w:t>
      </w:r>
      <w:r w:rsidR="009971E3" w:rsidRPr="00C11D63">
        <w:rPr>
          <w:lang w:val="en-ID" w:eastAsia="en-ID"/>
        </w:rPr>
        <w:t xml:space="preserve"> </w:t>
      </w:r>
      <w:r w:rsidRPr="00C11D63">
        <w:rPr>
          <w:lang w:val="en-ID" w:eastAsia="en-ID"/>
        </w:rPr>
        <w:t xml:space="preserve">sector, governmental entities, and civil society. Through this engagement, a comprehensive strategy may be developed that balances the protection of the public from misinformation with the preservation of the right to free speech. Hence, the application of human rights principles </w:t>
      </w:r>
      <w:r w:rsidR="00EA6CF5">
        <w:rPr>
          <w:lang w:val="en-ID" w:eastAsia="en-ID"/>
        </w:rPr>
        <w:t>in addressing</w:t>
      </w:r>
      <w:r w:rsidR="00EA6CF5" w:rsidRPr="00C11D63">
        <w:rPr>
          <w:lang w:val="en-ID" w:eastAsia="en-ID"/>
        </w:rPr>
        <w:t xml:space="preserve"> </w:t>
      </w:r>
      <w:r w:rsidRPr="00C11D63">
        <w:rPr>
          <w:lang w:val="en-ID" w:eastAsia="en-ID"/>
        </w:rPr>
        <w:t xml:space="preserve">the spread of false information requires a thorough approach that considers the importance of education, community engagement, cultural awareness, global collaboration, and responsible technology usage, alongside legal factors. An effective plan could contribute to the creation of a </w:t>
      </w:r>
      <w:r w:rsidR="00A91DFD">
        <w:rPr>
          <w:lang w:val="en-ID" w:eastAsia="en-ID"/>
        </w:rPr>
        <w:t xml:space="preserve">resilient and </w:t>
      </w:r>
      <w:r w:rsidR="00F64411">
        <w:rPr>
          <w:lang w:val="en-ID" w:eastAsia="en-ID"/>
        </w:rPr>
        <w:t>well-informed</w:t>
      </w:r>
      <w:r w:rsidR="00A91DFD">
        <w:rPr>
          <w:lang w:val="en-ID" w:eastAsia="en-ID"/>
        </w:rPr>
        <w:t xml:space="preserve"> </w:t>
      </w:r>
      <w:r w:rsidRPr="00C11D63">
        <w:rPr>
          <w:lang w:val="en-ID" w:eastAsia="en-ID"/>
        </w:rPr>
        <w:t>society that values human rights.</w:t>
      </w:r>
    </w:p>
    <w:p w14:paraId="7CA0B374" w14:textId="1EF1AB0E" w:rsidR="00C11D63" w:rsidRDefault="00C11D63" w:rsidP="00C11D63">
      <w:pPr>
        <w:ind w:firstLine="426"/>
        <w:rPr>
          <w:lang w:val="en-ID" w:eastAsia="en-ID"/>
        </w:rPr>
      </w:pPr>
      <w:r w:rsidRPr="00C11D63">
        <w:rPr>
          <w:lang w:val="en-ID" w:eastAsia="en-ID"/>
        </w:rPr>
        <w:t xml:space="preserve">Legal theories are essential in connecting law enforcement activities to human rights principlesto effectively manage and prevent the spread of false information or hoaxes. The Natural Law Theory emphasizes that the state is not allowed to violate fundamental human rights, such as the right to free speech, by intervention. However, this </w:t>
      </w:r>
      <w:r w:rsidR="00613809">
        <w:rPr>
          <w:lang w:val="en-ID" w:eastAsia="en-ID"/>
        </w:rPr>
        <w:t>theory</w:t>
      </w:r>
      <w:r w:rsidR="00613809" w:rsidRPr="00C11D63">
        <w:rPr>
          <w:lang w:val="en-ID" w:eastAsia="en-ID"/>
        </w:rPr>
        <w:t xml:space="preserve"> </w:t>
      </w:r>
      <w:r w:rsidRPr="00C11D63">
        <w:rPr>
          <w:lang w:val="en-ID" w:eastAsia="en-ID"/>
        </w:rPr>
        <w:t xml:space="preserve">also recognizes that individual rights can be restricted for the greater good of the society, as long as the </w:t>
      </w:r>
      <w:r w:rsidR="0072266D">
        <w:rPr>
          <w:lang w:val="en-ID" w:eastAsia="en-ID"/>
        </w:rPr>
        <w:t>restrictions</w:t>
      </w:r>
      <w:r w:rsidR="0072266D" w:rsidRPr="00C11D63">
        <w:rPr>
          <w:lang w:val="en-ID" w:eastAsia="en-ID"/>
        </w:rPr>
        <w:t xml:space="preserve"> </w:t>
      </w:r>
      <w:r w:rsidRPr="00C11D63">
        <w:rPr>
          <w:lang w:val="en-ID" w:eastAsia="en-ID"/>
        </w:rPr>
        <w:t>are fair and proportional. This can be seen in situations where public order or national security need</w:t>
      </w:r>
      <w:r w:rsidR="004A200B">
        <w:rPr>
          <w:lang w:val="en-ID" w:eastAsia="en-ID"/>
        </w:rPr>
        <w:t>s</w:t>
      </w:r>
      <w:r w:rsidRPr="00C11D63">
        <w:rPr>
          <w:lang w:val="en-ID" w:eastAsia="en-ID"/>
        </w:rPr>
        <w:t xml:space="preserve"> to be preserved. Furthermore, positive legal theory emphasizes that laws enacted by legislative bodies form the basis for the implementation of the law, which may involve the limitation of human rights. In this particular situation, it is crucial that the formulation and implementation of Articles 263 and 264 strictly conform to fundamental principles of human rights, including but not limited to fairness, equality, and non-discrimination, as well as existing legal </w:t>
      </w:r>
      <w:r w:rsidR="00626642">
        <w:rPr>
          <w:lang w:val="en-ID" w:eastAsia="en-ID"/>
        </w:rPr>
        <w:t>provisions</w:t>
      </w:r>
      <w:r w:rsidRPr="00C11D63">
        <w:rPr>
          <w:lang w:val="en-ID" w:eastAsia="en-ID"/>
        </w:rPr>
        <w:t xml:space="preserve">. Furthermore, John Rawls' Theory of Justice as Fairness asserts that all social and political actions, including the handling of hoaxes, should be guided by the principles of fairness. This idea posits that to </w:t>
      </w:r>
      <w:r w:rsidR="003F1741">
        <w:rPr>
          <w:lang w:val="en-ID" w:eastAsia="en-ID"/>
        </w:rPr>
        <w:t>prevent</w:t>
      </w:r>
      <w:r w:rsidR="003F1741" w:rsidRPr="00C11D63">
        <w:rPr>
          <w:lang w:val="en-ID" w:eastAsia="en-ID"/>
        </w:rPr>
        <w:t xml:space="preserve"> </w:t>
      </w:r>
      <w:r w:rsidRPr="00C11D63">
        <w:rPr>
          <w:lang w:val="en-ID" w:eastAsia="en-ID"/>
        </w:rPr>
        <w:t xml:space="preserve">some groups or individuals from experiencing </w:t>
      </w:r>
      <w:r w:rsidR="00DD4658">
        <w:rPr>
          <w:lang w:val="en-ID" w:eastAsia="en-ID"/>
        </w:rPr>
        <w:t>disproportionate</w:t>
      </w:r>
      <w:r w:rsidRPr="00C11D63">
        <w:rPr>
          <w:lang w:val="en-ID" w:eastAsia="en-ID"/>
        </w:rPr>
        <w:t xml:space="preserve"> </w:t>
      </w:r>
      <w:r w:rsidR="00CF4422">
        <w:rPr>
          <w:lang w:val="en-ID" w:eastAsia="en-ID"/>
        </w:rPr>
        <w:t>harm</w:t>
      </w:r>
      <w:r w:rsidR="00CF4422" w:rsidRPr="00C11D63">
        <w:rPr>
          <w:lang w:val="en-ID" w:eastAsia="en-ID"/>
        </w:rPr>
        <w:t xml:space="preserve"> </w:t>
      </w:r>
      <w:r w:rsidRPr="00C11D63">
        <w:rPr>
          <w:lang w:val="en-ID" w:eastAsia="en-ID"/>
        </w:rPr>
        <w:t xml:space="preserve">due to actions taken against false information, limitations on the freedom of speech should be established within a fair and equitable framework. Hence, an </w:t>
      </w:r>
      <w:r w:rsidR="006A7661">
        <w:rPr>
          <w:lang w:val="en-ID" w:eastAsia="en-ID"/>
        </w:rPr>
        <w:t>analysis</w:t>
      </w:r>
      <w:r w:rsidR="006A7661" w:rsidRPr="00C11D63">
        <w:rPr>
          <w:lang w:val="en-ID" w:eastAsia="en-ID"/>
        </w:rPr>
        <w:t xml:space="preserve"> </w:t>
      </w:r>
      <w:r w:rsidRPr="00C11D63">
        <w:rPr>
          <w:lang w:val="en-ID" w:eastAsia="en-ID"/>
        </w:rPr>
        <w:t xml:space="preserve">of the approach to addressing false information through human rights instruments and relevant legal theories requires achieving a harmonious equilibrium between safeguarding the right to information and freedom of expression, and ensuring public safety and order, while </w:t>
      </w:r>
      <w:r w:rsidR="00E21943">
        <w:rPr>
          <w:lang w:val="en-ID" w:eastAsia="en-ID"/>
        </w:rPr>
        <w:t>making sure</w:t>
      </w:r>
      <w:r w:rsidR="00E21943" w:rsidRPr="00C11D63">
        <w:rPr>
          <w:lang w:val="en-ID" w:eastAsia="en-ID"/>
        </w:rPr>
        <w:t xml:space="preserve"> </w:t>
      </w:r>
      <w:r w:rsidRPr="00C11D63">
        <w:rPr>
          <w:lang w:val="en-ID" w:eastAsia="en-ID"/>
        </w:rPr>
        <w:t>that any restrictions imposed are rational, proportionate, and in accordance with the law.</w:t>
      </w:r>
    </w:p>
    <w:p w14:paraId="65BE6033" w14:textId="77777777" w:rsidR="00C11D63" w:rsidRPr="00C11D63" w:rsidRDefault="00C11D63" w:rsidP="00C11D63">
      <w:pPr>
        <w:ind w:firstLine="426"/>
        <w:rPr>
          <w:lang w:val="en-ID" w:eastAsia="en-ID"/>
        </w:rPr>
      </w:pPr>
    </w:p>
    <w:p w14:paraId="32C373A3" w14:textId="383C057D" w:rsidR="00B0323E" w:rsidRDefault="00E473A7" w:rsidP="00B0323E">
      <w:pPr>
        <w:pStyle w:val="Heading2"/>
        <w:ind w:left="426" w:hanging="435"/>
      </w:pPr>
      <w:r>
        <w:t>Achieveing</w:t>
      </w:r>
      <w:r w:rsidRPr="001F232E">
        <w:t xml:space="preserve"> </w:t>
      </w:r>
      <w:r w:rsidR="001F232E" w:rsidRPr="001F232E">
        <w:t>Balance: Redefining the Legal Approach to False Information in the Era of Freedom of Expression</w:t>
      </w:r>
    </w:p>
    <w:p w14:paraId="4885616C" w14:textId="61C691F2" w:rsidR="00DA63FE" w:rsidRDefault="004E342A" w:rsidP="00DA63FE">
      <w:pPr>
        <w:ind w:firstLine="426"/>
        <w:rPr>
          <w:lang w:val="en-ID" w:eastAsia="en-ID"/>
        </w:rPr>
      </w:pPr>
      <w:r w:rsidRPr="004E342A">
        <w:rPr>
          <w:lang w:val="en-ID" w:eastAsia="en-ID"/>
        </w:rPr>
        <w:t xml:space="preserve">To </w:t>
      </w:r>
      <w:r w:rsidR="002F6061">
        <w:rPr>
          <w:lang w:val="en-ID" w:eastAsia="en-ID"/>
        </w:rPr>
        <w:t>defuse</w:t>
      </w:r>
      <w:r w:rsidR="002F6061" w:rsidRPr="004E342A">
        <w:rPr>
          <w:lang w:val="en-ID" w:eastAsia="en-ID"/>
        </w:rPr>
        <w:t xml:space="preserve"> </w:t>
      </w:r>
      <w:r w:rsidRPr="004E342A">
        <w:rPr>
          <w:lang w:val="en-ID" w:eastAsia="en-ID"/>
        </w:rPr>
        <w:t xml:space="preserve">the controversy surrounding Articles 263 and 264 of the new </w:t>
      </w:r>
      <w:r w:rsidR="002F6061">
        <w:rPr>
          <w:lang w:val="en-ID" w:eastAsia="en-ID"/>
        </w:rPr>
        <w:t>Criminal</w:t>
      </w:r>
      <w:r w:rsidR="002F6061" w:rsidRPr="004E342A">
        <w:rPr>
          <w:lang w:val="en-ID" w:eastAsia="en-ID"/>
        </w:rPr>
        <w:t xml:space="preserve"> </w:t>
      </w:r>
      <w:r w:rsidRPr="004E342A">
        <w:rPr>
          <w:lang w:val="en-ID" w:eastAsia="en-ID"/>
        </w:rPr>
        <w:t xml:space="preserve">Code, a fair and constructive comparison between the need to protect press freedom and public expression and the goal of </w:t>
      </w:r>
      <w:r w:rsidR="00C63CDC">
        <w:rPr>
          <w:lang w:val="en-ID" w:eastAsia="en-ID"/>
        </w:rPr>
        <w:t>protecting</w:t>
      </w:r>
      <w:r w:rsidR="00C63CDC" w:rsidRPr="004E342A">
        <w:rPr>
          <w:lang w:val="en-ID" w:eastAsia="en-ID"/>
        </w:rPr>
        <w:t xml:space="preserve"> </w:t>
      </w:r>
      <w:r w:rsidRPr="004E342A">
        <w:rPr>
          <w:lang w:val="en-ID" w:eastAsia="en-ID"/>
        </w:rPr>
        <w:t>the public from rumors that incite riot</w:t>
      </w:r>
      <w:r w:rsidR="002C0A70">
        <w:rPr>
          <w:lang w:val="en-ID" w:eastAsia="en-ID"/>
        </w:rPr>
        <w:t>s</w:t>
      </w:r>
      <w:r w:rsidRPr="004E342A">
        <w:rPr>
          <w:lang w:val="en-ID" w:eastAsia="en-ID"/>
        </w:rPr>
        <w:t xml:space="preserve"> must be drawn. First and foremost, it</w:t>
      </w:r>
      <w:r w:rsidR="008E4630">
        <w:rPr>
          <w:lang w:val="en-ID" w:eastAsia="en-ID"/>
        </w:rPr>
        <w:t xml:space="preserve"> is</w:t>
      </w:r>
      <w:r w:rsidRPr="004E342A">
        <w:rPr>
          <w:lang w:val="en-ID" w:eastAsia="en-ID"/>
        </w:rPr>
        <w:t xml:space="preserve"> critical to acknowledge that, in order to preserve public order and avoid further harm to society, the intentional spread of false information that has the potential to destabilize society must be subject to legal regulation.</w:t>
      </w:r>
      <w:r w:rsidR="00E43809">
        <w:rPr>
          <w:rStyle w:val="FootnoteReference"/>
          <w:lang w:val="en-ID" w:eastAsia="en-ID"/>
        </w:rPr>
        <w:footnoteReference w:id="26"/>
      </w:r>
      <w:r w:rsidR="00DA63FE" w:rsidRPr="00DA63FE">
        <w:rPr>
          <w:lang w:val="en-ID" w:eastAsia="en-ID"/>
        </w:rPr>
        <w:t xml:space="preserve"> </w:t>
      </w:r>
      <w:r w:rsidRPr="004E342A">
        <w:rPr>
          <w:lang w:val="en-ID" w:eastAsia="en-ID"/>
        </w:rPr>
        <w:t xml:space="preserve">This demonstrates the legislator's desire to uphold social order and </w:t>
      </w:r>
      <w:r w:rsidR="00303EBB">
        <w:rPr>
          <w:lang w:val="en-ID" w:eastAsia="en-ID"/>
        </w:rPr>
        <w:t>prevent</w:t>
      </w:r>
      <w:r w:rsidR="00303EBB" w:rsidRPr="004E342A">
        <w:rPr>
          <w:lang w:val="en-ID" w:eastAsia="en-ID"/>
        </w:rPr>
        <w:t xml:space="preserve"> </w:t>
      </w:r>
      <w:r w:rsidRPr="004E342A">
        <w:rPr>
          <w:lang w:val="en-ID" w:eastAsia="en-ID"/>
        </w:rPr>
        <w:t>misinformation that might threaten it. However, it</w:t>
      </w:r>
      <w:r w:rsidR="00357706">
        <w:rPr>
          <w:lang w:val="en-ID" w:eastAsia="en-ID"/>
        </w:rPr>
        <w:t xml:space="preserve"> is</w:t>
      </w:r>
      <w:r w:rsidRPr="004E342A">
        <w:rPr>
          <w:lang w:val="en-ID" w:eastAsia="en-ID"/>
        </w:rPr>
        <w:t xml:space="preserve"> also </w:t>
      </w:r>
      <w:r w:rsidR="00E316CC">
        <w:rPr>
          <w:lang w:val="en-ID" w:eastAsia="en-ID"/>
        </w:rPr>
        <w:t>essential</w:t>
      </w:r>
      <w:r w:rsidR="00E316CC" w:rsidRPr="004E342A">
        <w:rPr>
          <w:lang w:val="en-ID" w:eastAsia="en-ID"/>
        </w:rPr>
        <w:t xml:space="preserve"> </w:t>
      </w:r>
      <w:r w:rsidRPr="004E342A">
        <w:rPr>
          <w:lang w:val="en-ID" w:eastAsia="en-ID"/>
        </w:rPr>
        <w:t xml:space="preserve">to make sure that the application of Articles 263 and </w:t>
      </w:r>
      <w:r w:rsidRPr="004E342A">
        <w:rPr>
          <w:lang w:val="en-ID" w:eastAsia="en-ID"/>
        </w:rPr>
        <w:lastRenderedPageBreak/>
        <w:t xml:space="preserve">264 does not end up being a means of restricting the freedom of the press or impeding the exercise of human rights, especially the right to free speech. The concern that these </w:t>
      </w:r>
      <w:r w:rsidR="009E5574">
        <w:rPr>
          <w:lang w:val="en-ID" w:eastAsia="en-ID"/>
        </w:rPr>
        <w:t>articles</w:t>
      </w:r>
      <w:r w:rsidR="009E5574" w:rsidRPr="004E342A">
        <w:rPr>
          <w:lang w:val="en-ID" w:eastAsia="en-ID"/>
        </w:rPr>
        <w:t xml:space="preserve"> </w:t>
      </w:r>
      <w:r w:rsidRPr="004E342A">
        <w:rPr>
          <w:lang w:val="en-ID" w:eastAsia="en-ID"/>
        </w:rPr>
        <w:t>might be applied arbitrarily or overly to silence critics</w:t>
      </w:r>
      <w:r>
        <w:rPr>
          <w:lang w:val="en-ID" w:eastAsia="en-ID"/>
        </w:rPr>
        <w:t xml:space="preserve"> </w:t>
      </w:r>
      <w:r w:rsidRPr="004E342A">
        <w:rPr>
          <w:lang w:val="en-ID" w:eastAsia="en-ID"/>
        </w:rPr>
        <w:t>both from the public and the media</w:t>
      </w:r>
      <w:r>
        <w:rPr>
          <w:lang w:val="en-ID" w:eastAsia="en-ID"/>
        </w:rPr>
        <w:t xml:space="preserve"> </w:t>
      </w:r>
      <w:r w:rsidRPr="004E342A">
        <w:rPr>
          <w:lang w:val="en-ID" w:eastAsia="en-ID"/>
        </w:rPr>
        <w:t>which are crucial for democracy and the development of an educated public</w:t>
      </w:r>
      <w:r>
        <w:rPr>
          <w:lang w:val="en-ID" w:eastAsia="en-ID"/>
        </w:rPr>
        <w:t xml:space="preserve"> </w:t>
      </w:r>
      <w:r w:rsidRPr="004E342A">
        <w:rPr>
          <w:lang w:val="en-ID" w:eastAsia="en-ID"/>
        </w:rPr>
        <w:t xml:space="preserve">is a common theme in criticism of these articles. A more precise definition of "fake news" and the establishment of reliable verification methods to guarantee that the evaluation of information is transparent and objective may be the first steps toward establishing clear and equitable legal procedures in the application of these articles. In order to make sure that there are ways to fix any incorrect legal rulings, there should also be a robust and efficient appeals </w:t>
      </w:r>
      <w:r w:rsidR="00844AD0">
        <w:rPr>
          <w:lang w:val="en-ID" w:eastAsia="en-ID"/>
        </w:rPr>
        <w:t>mechanism</w:t>
      </w:r>
      <w:r w:rsidRPr="004E342A">
        <w:rPr>
          <w:lang w:val="en-ID" w:eastAsia="en-ID"/>
        </w:rPr>
        <w:t>.</w:t>
      </w:r>
    </w:p>
    <w:p w14:paraId="375F01F0" w14:textId="4F7468AC" w:rsidR="004E342A" w:rsidRDefault="004E342A" w:rsidP="00E3614B">
      <w:pPr>
        <w:ind w:firstLine="426"/>
        <w:rPr>
          <w:lang w:val="en-ID" w:eastAsia="en-ID"/>
        </w:rPr>
      </w:pPr>
      <w:r w:rsidRPr="004E342A">
        <w:rPr>
          <w:lang w:val="en-ID" w:eastAsia="en-ID"/>
        </w:rPr>
        <w:t xml:space="preserve">Furthermore, to ensure that the legal process pertaining to the application of Articles 263 and 264 of the Criminal Code does not supersede or replace the mechanisms established by the Press Law, the Press Council's role and capacity as an independent institution in handling press-related cases </w:t>
      </w:r>
      <w:r w:rsidR="00B47D6C">
        <w:rPr>
          <w:lang w:val="en-ID" w:eastAsia="en-ID"/>
        </w:rPr>
        <w:t xml:space="preserve">must </w:t>
      </w:r>
      <w:r w:rsidRPr="004E342A">
        <w:rPr>
          <w:lang w:val="en-ID" w:eastAsia="en-ID"/>
        </w:rPr>
        <w:t xml:space="preserve">be strengthened. Therefore, the key to coming to a consensus on the best way to execute these principles without compromising democratic norms and human rights is to enhance communication between the government, press organizations, human rights advocates, and civil society. Various countries have used </w:t>
      </w:r>
      <w:r w:rsidR="00EB783F">
        <w:rPr>
          <w:lang w:val="en-ID" w:eastAsia="en-ID"/>
        </w:rPr>
        <w:t>a variety of</w:t>
      </w:r>
      <w:r w:rsidR="00EB783F" w:rsidRPr="004E342A">
        <w:rPr>
          <w:lang w:val="en-ID" w:eastAsia="en-ID"/>
        </w:rPr>
        <w:t xml:space="preserve"> </w:t>
      </w:r>
      <w:r w:rsidR="00EB783F">
        <w:rPr>
          <w:lang w:val="en-ID" w:eastAsia="en-ID"/>
        </w:rPr>
        <w:t>approaches</w:t>
      </w:r>
      <w:r w:rsidR="00EB783F" w:rsidRPr="004E342A">
        <w:rPr>
          <w:lang w:val="en-ID" w:eastAsia="en-ID"/>
        </w:rPr>
        <w:t xml:space="preserve"> </w:t>
      </w:r>
      <w:r w:rsidRPr="004E342A">
        <w:rPr>
          <w:lang w:val="en-ID" w:eastAsia="en-ID"/>
        </w:rPr>
        <w:t xml:space="preserve">to tackle the issue of hoaxes and disinformation, customizing their tactics based on their unique social, political, and technological environments. Germany has chosen a stringent legislative approach with its Network Enforcement Act (NetzDG), </w:t>
      </w:r>
      <w:r w:rsidR="00E7688A">
        <w:rPr>
          <w:lang w:val="en-ID" w:eastAsia="en-ID"/>
        </w:rPr>
        <w:t>forcing</w:t>
      </w:r>
      <w:r w:rsidR="00E7688A" w:rsidRPr="004E342A">
        <w:rPr>
          <w:lang w:val="en-ID" w:eastAsia="en-ID"/>
        </w:rPr>
        <w:t xml:space="preserve"> </w:t>
      </w:r>
      <w:r w:rsidRPr="004E342A">
        <w:rPr>
          <w:lang w:val="en-ID" w:eastAsia="en-ID"/>
        </w:rPr>
        <w:t>social media companies to remove illegal content promptly. This action demonstrates the seriousness with which Germany is addressing hate speech and fake news, but it also raises concerns about the potential effects on free expression</w:t>
      </w:r>
      <w:r w:rsidR="00DA63FE" w:rsidRPr="00DA63FE">
        <w:rPr>
          <w:lang w:val="en-ID" w:eastAsia="en-ID"/>
        </w:rPr>
        <w:t>.</w:t>
      </w:r>
      <w:r w:rsidR="00E43809">
        <w:rPr>
          <w:rStyle w:val="FootnoteReference"/>
          <w:lang w:val="en-ID" w:eastAsia="en-ID"/>
        </w:rPr>
        <w:footnoteReference w:id="27"/>
      </w:r>
      <w:r w:rsidR="00DA63FE" w:rsidRPr="00DA63FE">
        <w:rPr>
          <w:lang w:val="en-ID" w:eastAsia="en-ID"/>
        </w:rPr>
        <w:t xml:space="preserve"> </w:t>
      </w:r>
      <w:r w:rsidR="00FB13BA">
        <w:rPr>
          <w:lang w:val="en-ID" w:eastAsia="en-ID"/>
        </w:rPr>
        <w:t>M</w:t>
      </w:r>
      <w:r w:rsidRPr="004E342A">
        <w:rPr>
          <w:lang w:val="en-ID" w:eastAsia="en-ID"/>
        </w:rPr>
        <w:t xml:space="preserve">eanwhile, Sweden adopts an educational approach that places a strong emphasis on media literacy. This preventive measure aims to develop the critical ability of its </w:t>
      </w:r>
      <w:r w:rsidR="00552EA5">
        <w:rPr>
          <w:lang w:val="en-ID" w:eastAsia="en-ID"/>
        </w:rPr>
        <w:t>citizens</w:t>
      </w:r>
      <w:r w:rsidR="00552EA5" w:rsidRPr="004E342A">
        <w:rPr>
          <w:lang w:val="en-ID" w:eastAsia="en-ID"/>
        </w:rPr>
        <w:t xml:space="preserve"> </w:t>
      </w:r>
      <w:r w:rsidRPr="004E342A">
        <w:rPr>
          <w:lang w:val="en-ID" w:eastAsia="en-ID"/>
        </w:rPr>
        <w:t xml:space="preserve">to evaluate information, which may be more sustainable </w:t>
      </w:r>
      <w:r w:rsidR="00F445F9">
        <w:rPr>
          <w:lang w:val="en-ID" w:eastAsia="en-ID"/>
        </w:rPr>
        <w:t xml:space="preserve">in the </w:t>
      </w:r>
      <w:r w:rsidR="00F445F9" w:rsidRPr="004E342A">
        <w:rPr>
          <w:lang w:val="en-ID" w:eastAsia="en-ID"/>
        </w:rPr>
        <w:t xml:space="preserve">longterm </w:t>
      </w:r>
      <w:r w:rsidRPr="004E342A">
        <w:rPr>
          <w:lang w:val="en-ID" w:eastAsia="en-ID"/>
        </w:rPr>
        <w:t>without jeopardizing press freedom. Another effective but contentious legal method that gives the government substantial tools to combat misinformation is Singapore's Protection from Hate and Online Disinformation Act (POFMA), which may impose restrictions on free expression</w:t>
      </w:r>
      <w:r w:rsidR="00DA63FE" w:rsidRPr="00DA63FE">
        <w:rPr>
          <w:lang w:val="en-ID" w:eastAsia="en-ID"/>
        </w:rPr>
        <w:t>.</w:t>
      </w:r>
      <w:r w:rsidR="00E43809">
        <w:rPr>
          <w:rStyle w:val="FootnoteReference"/>
          <w:lang w:val="en-ID" w:eastAsia="en-ID"/>
        </w:rPr>
        <w:footnoteReference w:id="28"/>
      </w:r>
      <w:r w:rsidR="00DA63FE" w:rsidRPr="00DA63FE">
        <w:rPr>
          <w:lang w:val="en-ID" w:eastAsia="en-ID"/>
        </w:rPr>
        <w:t xml:space="preserve"> Finland, on the other hand, demonstrates a commitment to a multi-agency approach through its National Program Against Disinformation, which involves cooperation between the government, media, and education sectors to counter disinformation with critical media education.</w:t>
      </w:r>
      <w:r w:rsidR="00E43809">
        <w:rPr>
          <w:rStyle w:val="FootnoteReference"/>
          <w:lang w:val="en-ID" w:eastAsia="en-ID"/>
        </w:rPr>
        <w:footnoteReference w:id="29"/>
      </w:r>
      <w:r w:rsidR="00DA63FE" w:rsidRPr="00DA63FE">
        <w:rPr>
          <w:lang w:val="en-ID" w:eastAsia="en-ID"/>
        </w:rPr>
        <w:t xml:space="preserve"> </w:t>
      </w:r>
      <w:r w:rsidRPr="004E342A">
        <w:rPr>
          <w:lang w:val="en-ID" w:eastAsia="en-ID"/>
        </w:rPr>
        <w:t>Recognizing the value of media and digital literacy as a tool to enable citizens to spot false information, Canada shares the view that education is the key to tackling this problem.  This analysis demonstrates that there is</w:t>
      </w:r>
      <w:r w:rsidR="00CA56AB">
        <w:rPr>
          <w:lang w:val="en-ID" w:eastAsia="en-ID"/>
        </w:rPr>
        <w:t xml:space="preserve"> no</w:t>
      </w:r>
      <w:r w:rsidRPr="004E342A">
        <w:rPr>
          <w:lang w:val="en-ID" w:eastAsia="en-ID"/>
        </w:rPr>
        <w:t xml:space="preserve"> single, all-encompassing answer to deal with the false news and misinformation issue. While education-based techniques take longer to show effects, they provide a more lasting solution by enhancing citizens' analytical skills. Regulative approaches may be helpful in the short term, but they may also raise concerns regarding freedom of speech. The sharing of best practices and experiences among nations can aid in the development of sensible and successful plans for battling misinformation while defending democratic </w:t>
      </w:r>
      <w:r w:rsidR="00C47D0B">
        <w:rPr>
          <w:lang w:val="en-ID" w:eastAsia="en-ID"/>
        </w:rPr>
        <w:t>values</w:t>
      </w:r>
      <w:r w:rsidR="00C47D0B" w:rsidRPr="004E342A">
        <w:rPr>
          <w:lang w:val="en-ID" w:eastAsia="en-ID"/>
        </w:rPr>
        <w:t xml:space="preserve"> </w:t>
      </w:r>
      <w:r w:rsidRPr="004E342A">
        <w:rPr>
          <w:lang w:val="en-ID" w:eastAsia="en-ID"/>
        </w:rPr>
        <w:t>in an increasingly interconnected world.</w:t>
      </w:r>
    </w:p>
    <w:p w14:paraId="23AC68B5" w14:textId="621AA32D" w:rsidR="00E3614B" w:rsidRDefault="004E342A" w:rsidP="00E3614B">
      <w:pPr>
        <w:ind w:firstLine="426"/>
        <w:rPr>
          <w:lang w:val="en-ID" w:eastAsia="en-ID"/>
        </w:rPr>
      </w:pPr>
      <w:r w:rsidRPr="004E342A">
        <w:rPr>
          <w:lang w:val="en-ID" w:eastAsia="en-ID"/>
        </w:rPr>
        <w:t xml:space="preserve">Furthermore, the methods employed by these nations demonstrate how critical it is to modify plans in response to regional and international obstacles in the fight against misinformation. By enacting stringent legislation, Germany and Singapore demonstrated government control over online narratives and established legal guidelines that social media companies must abide by, highlighting their obligation to remove damaging content. </w:t>
      </w:r>
      <w:r w:rsidR="00AD3F3C">
        <w:rPr>
          <w:lang w:val="en-ID" w:eastAsia="en-ID"/>
        </w:rPr>
        <w:t>However,</w:t>
      </w:r>
      <w:r w:rsidR="00AD3F3C" w:rsidRPr="004E342A">
        <w:rPr>
          <w:lang w:val="en-ID" w:eastAsia="en-ID"/>
        </w:rPr>
        <w:t xml:space="preserve"> </w:t>
      </w:r>
      <w:r w:rsidRPr="004E342A">
        <w:rPr>
          <w:lang w:val="en-ID" w:eastAsia="en-ID"/>
        </w:rPr>
        <w:t xml:space="preserve">this also spurred a conversation on how to </w:t>
      </w:r>
      <w:r w:rsidR="000559C0">
        <w:rPr>
          <w:lang w:val="en-ID" w:eastAsia="en-ID"/>
        </w:rPr>
        <w:t>reach an equilibrium</w:t>
      </w:r>
      <w:r w:rsidRPr="004E342A">
        <w:rPr>
          <w:lang w:val="en-ID" w:eastAsia="en-ID"/>
        </w:rPr>
        <w:t xml:space="preserve"> between regulation and free speech, highlighting how difficult it is to strike a balance between the need to </w:t>
      </w:r>
      <w:r w:rsidR="00643D33">
        <w:rPr>
          <w:lang w:val="en-ID" w:eastAsia="en-ID"/>
        </w:rPr>
        <w:t>combat</w:t>
      </w:r>
      <w:r w:rsidR="00643D33" w:rsidRPr="004E342A">
        <w:rPr>
          <w:lang w:val="en-ID" w:eastAsia="en-ID"/>
        </w:rPr>
        <w:t xml:space="preserve"> </w:t>
      </w:r>
      <w:r w:rsidRPr="004E342A">
        <w:rPr>
          <w:lang w:val="en-ID" w:eastAsia="en-ID"/>
        </w:rPr>
        <w:t xml:space="preserve">misinformation and upholding an open and unrestricted public </w:t>
      </w:r>
      <w:r w:rsidR="00FB43AF">
        <w:rPr>
          <w:lang w:val="en-ID" w:eastAsia="en-ID"/>
        </w:rPr>
        <w:t>space</w:t>
      </w:r>
      <w:r w:rsidRPr="004E342A">
        <w:rPr>
          <w:lang w:val="en-ID" w:eastAsia="en-ID"/>
        </w:rPr>
        <w:t xml:space="preserve">. However, Sweden, </w:t>
      </w:r>
      <w:r w:rsidRPr="004E342A">
        <w:rPr>
          <w:lang w:val="en-ID" w:eastAsia="en-ID"/>
        </w:rPr>
        <w:lastRenderedPageBreak/>
        <w:t xml:space="preserve">Finland, and Canada understand that empowering people via education is just as important in countering misinformation as regulation and law enforcement. This </w:t>
      </w:r>
      <w:r w:rsidR="008F444E">
        <w:rPr>
          <w:lang w:val="en-ID" w:eastAsia="en-ID"/>
        </w:rPr>
        <w:t>approach</w:t>
      </w:r>
      <w:r w:rsidR="008F444E" w:rsidRPr="004E342A">
        <w:rPr>
          <w:lang w:val="en-ID" w:eastAsia="en-ID"/>
        </w:rPr>
        <w:t xml:space="preserve"> </w:t>
      </w:r>
      <w:r w:rsidRPr="004E342A">
        <w:rPr>
          <w:lang w:val="en-ID" w:eastAsia="en-ID"/>
        </w:rPr>
        <w:t xml:space="preserve">seeks to create resilient communities where people possess the essential abilities to discern between reliable and false news. </w:t>
      </w:r>
      <w:r w:rsidR="00D11AD6">
        <w:rPr>
          <w:lang w:val="en-ID" w:eastAsia="en-ID"/>
        </w:rPr>
        <w:t>T</w:t>
      </w:r>
      <w:r w:rsidRPr="004E342A">
        <w:rPr>
          <w:lang w:val="en-ID" w:eastAsia="en-ID"/>
        </w:rPr>
        <w:t xml:space="preserve">o lessen society's susceptibility to misinformation, these nations are investing in long-term solutions by emphasizing media and digital literacy from a young age. It has also become evident how important cross-sectoral cooperation is, as demonstrated by Finland, where the government, media, and educational institutions collaborated to develop a comprehensive national program. In addition to bolstering educational initiatives, this kind of collaboration encourages different stakeholders to take an active part in the fight against misinformation. This demonstrates the understanding that battling misinformation necessitates collaboration between all societal segments. Additionally, in order to deal with the ever-changing dynamics of information and technology, adaptation and flexibility in approach are essential. </w:t>
      </w:r>
      <w:r w:rsidR="00D11AD6">
        <w:rPr>
          <w:lang w:val="en-ID" w:eastAsia="en-ID"/>
        </w:rPr>
        <w:t>Strategies to combat d</w:t>
      </w:r>
      <w:r w:rsidRPr="004E342A">
        <w:rPr>
          <w:lang w:val="en-ID" w:eastAsia="en-ID"/>
        </w:rPr>
        <w:t xml:space="preserve">isinformation need to change along with technology advancements and shifts in the ways that information is transmitted and consumed. Programs like the digital and media literacy effort in Canada serve as an example of how important it is to update and modify instructional materials on a regular basis to keep them current with emerging technologies. All things considered, experiences </w:t>
      </w:r>
      <w:r w:rsidR="00DD6071">
        <w:rPr>
          <w:lang w:val="en-ID" w:eastAsia="en-ID"/>
        </w:rPr>
        <w:t xml:space="preserve">from different countries </w:t>
      </w:r>
      <w:r w:rsidRPr="004E342A">
        <w:rPr>
          <w:lang w:val="en-ID" w:eastAsia="en-ID"/>
        </w:rPr>
        <w:t>provide insightful information about various strategies for battling misinformation. A society that is resistant to misinformation can only be built through a mix of reasonable legislation, media literacy education, and cross-sectoral cooperation; yet, there is no one-size-fits-all approach. Countries can create more efficient and long-lasting plans to preserve the integrity of their public places by studying and adjusting to each other's best practices.</w:t>
      </w:r>
    </w:p>
    <w:p w14:paraId="008E6532" w14:textId="2CB4C00D" w:rsidR="00E3614B" w:rsidRPr="001131F8" w:rsidRDefault="00E3614B" w:rsidP="00E3614B">
      <w:pPr>
        <w:ind w:firstLine="426"/>
        <w:rPr>
          <w:b/>
          <w:bCs/>
          <w:lang w:val="en-ID" w:eastAsia="en-ID"/>
        </w:rPr>
      </w:pPr>
      <w:r w:rsidRPr="00E3614B">
        <w:rPr>
          <w:lang w:val="en-ID" w:eastAsia="en-ID"/>
        </w:rPr>
        <w:t>To improve and revise articles relat</w:t>
      </w:r>
      <w:r w:rsidR="00AB62F5">
        <w:rPr>
          <w:lang w:val="en-ID" w:eastAsia="en-ID"/>
        </w:rPr>
        <w:t>ed</w:t>
      </w:r>
      <w:r w:rsidRPr="00E3614B">
        <w:rPr>
          <w:lang w:val="en-ID" w:eastAsia="en-ID"/>
        </w:rPr>
        <w:t xml:space="preserve"> to the spread of false information that can cause </w:t>
      </w:r>
      <w:r w:rsidR="000C3B30" w:rsidRPr="00E3614B">
        <w:rPr>
          <w:lang w:val="en-ID" w:eastAsia="en-ID"/>
        </w:rPr>
        <w:t>societ</w:t>
      </w:r>
      <w:r w:rsidR="000C3B30">
        <w:rPr>
          <w:lang w:val="en-ID" w:eastAsia="en-ID"/>
        </w:rPr>
        <w:t xml:space="preserve">al </w:t>
      </w:r>
      <w:r w:rsidRPr="00E3614B">
        <w:rPr>
          <w:lang w:val="en-ID" w:eastAsia="en-ID"/>
        </w:rPr>
        <w:t>unrest, as outlined in the example article above, a careful approach is needed to balance the need to combat disinformation and maintain freedom of opinion. Here are some suggestions for revision with comprehensive analysis:</w:t>
      </w:r>
      <w:r w:rsidR="00B14F9F">
        <w:rPr>
          <w:lang w:val="en-ID" w:eastAsia="en-ID"/>
        </w:rPr>
        <w:t xml:space="preserve"> </w:t>
      </w:r>
    </w:p>
    <w:p w14:paraId="6E8D9791" w14:textId="77777777" w:rsidR="00E3614B" w:rsidRDefault="00E3614B" w:rsidP="00E3614B">
      <w:pPr>
        <w:pStyle w:val="ListParagraph"/>
        <w:numPr>
          <w:ilvl w:val="0"/>
          <w:numId w:val="47"/>
        </w:numPr>
        <w:ind w:left="426"/>
        <w:rPr>
          <w:lang w:val="en-ID" w:eastAsia="en-ID"/>
        </w:rPr>
      </w:pPr>
      <w:r w:rsidRPr="00E3614B">
        <w:rPr>
          <w:lang w:val="en-ID" w:eastAsia="en-ID"/>
        </w:rPr>
        <w:t>Clearer and Specific Definition</w:t>
      </w:r>
    </w:p>
    <w:p w14:paraId="536F16FF" w14:textId="44E3E1D3" w:rsidR="00E3614B" w:rsidRPr="00E3614B" w:rsidRDefault="00C11D63" w:rsidP="00E3614B">
      <w:pPr>
        <w:pStyle w:val="ListParagraph"/>
        <w:ind w:left="426" w:firstLine="0"/>
        <w:rPr>
          <w:lang w:val="en-ID" w:eastAsia="en-ID"/>
        </w:rPr>
      </w:pPr>
      <w:r w:rsidRPr="00C11D63">
        <w:rPr>
          <w:lang w:val="en-ID" w:eastAsia="en-ID"/>
        </w:rPr>
        <w:t xml:space="preserve">Amendments to relevant clauses in </w:t>
      </w:r>
      <w:r w:rsidR="004B4E66">
        <w:rPr>
          <w:lang w:val="en-ID" w:eastAsia="en-ID"/>
        </w:rPr>
        <w:t>the laws and</w:t>
      </w:r>
      <w:r w:rsidR="004B4E66" w:rsidRPr="00C11D63">
        <w:rPr>
          <w:lang w:val="en-ID" w:eastAsia="en-ID"/>
        </w:rPr>
        <w:t xml:space="preserve"> </w:t>
      </w:r>
      <w:r w:rsidRPr="00C11D63">
        <w:rPr>
          <w:lang w:val="en-ID" w:eastAsia="en-ID"/>
        </w:rPr>
        <w:t xml:space="preserve">regulations should be conducted with caution and prudence to effectively tackle the issues arising from the spread of </w:t>
      </w:r>
      <w:r w:rsidR="00061581">
        <w:rPr>
          <w:lang w:val="en-ID" w:eastAsia="en-ID"/>
        </w:rPr>
        <w:t>false</w:t>
      </w:r>
      <w:r w:rsidR="00061581" w:rsidRPr="00C11D63">
        <w:rPr>
          <w:lang w:val="en-ID" w:eastAsia="en-ID"/>
        </w:rPr>
        <w:t xml:space="preserve"> </w:t>
      </w:r>
      <w:r w:rsidRPr="00C11D63">
        <w:rPr>
          <w:lang w:val="en-ID" w:eastAsia="en-ID"/>
        </w:rPr>
        <w:t xml:space="preserve">information that could potentially lead to civil unrest. An essential aspect of this transformation is the development of more accurate and comprehensible definitions for terminology such as "fake news," "uncertain," "exaggerations," and "incomplete." </w:t>
      </w:r>
      <w:r w:rsidR="00391BDB">
        <w:rPr>
          <w:lang w:val="en-ID" w:eastAsia="en-ID"/>
        </w:rPr>
        <w:t>T</w:t>
      </w:r>
      <w:r w:rsidRPr="00C11D63">
        <w:rPr>
          <w:lang w:val="en-ID" w:eastAsia="en-ID"/>
        </w:rPr>
        <w:t xml:space="preserve">o ensure that the interpretation of the law does not lead to any misuse that could endanger the right to free speech, it is imperative to create measurable and </w:t>
      </w:r>
      <w:r w:rsidR="00391BDB">
        <w:rPr>
          <w:lang w:val="en-ID" w:eastAsia="en-ID"/>
        </w:rPr>
        <w:t>objective</w:t>
      </w:r>
      <w:r w:rsidR="00391BDB" w:rsidRPr="00C11D63">
        <w:rPr>
          <w:lang w:val="en-ID" w:eastAsia="en-ID"/>
        </w:rPr>
        <w:t xml:space="preserve"> </w:t>
      </w:r>
      <w:r w:rsidRPr="00C11D63">
        <w:rPr>
          <w:lang w:val="en-ID" w:eastAsia="en-ID"/>
        </w:rPr>
        <w:t xml:space="preserve">criteria. </w:t>
      </w:r>
      <w:r w:rsidR="0048523E">
        <w:rPr>
          <w:lang w:val="en-ID" w:eastAsia="en-ID"/>
        </w:rPr>
        <w:t>Such</w:t>
      </w:r>
      <w:r w:rsidR="0048523E" w:rsidRPr="00C11D63">
        <w:rPr>
          <w:lang w:val="en-ID" w:eastAsia="en-ID"/>
        </w:rPr>
        <w:t xml:space="preserve"> </w:t>
      </w:r>
      <w:r w:rsidRPr="00C11D63">
        <w:rPr>
          <w:lang w:val="en-ID" w:eastAsia="en-ID"/>
        </w:rPr>
        <w:t>definition</w:t>
      </w:r>
      <w:r w:rsidR="00AE5FF5">
        <w:rPr>
          <w:lang w:val="en-ID" w:eastAsia="en-ID"/>
        </w:rPr>
        <w:t>s</w:t>
      </w:r>
      <w:r w:rsidRPr="00C11D63">
        <w:rPr>
          <w:lang w:val="en-ID" w:eastAsia="en-ID"/>
        </w:rPr>
        <w:t xml:space="preserve"> must differentiate between spread</w:t>
      </w:r>
      <w:r w:rsidR="0021431C">
        <w:rPr>
          <w:lang w:val="en-ID" w:eastAsia="en-ID"/>
        </w:rPr>
        <w:t>ing</w:t>
      </w:r>
      <w:r w:rsidRPr="00C11D63">
        <w:rPr>
          <w:lang w:val="en-ID" w:eastAsia="en-ID"/>
        </w:rPr>
        <w:t xml:space="preserve"> </w:t>
      </w:r>
      <w:r w:rsidR="0021431C">
        <w:rPr>
          <w:lang w:val="en-ID" w:eastAsia="en-ID"/>
        </w:rPr>
        <w:t>false</w:t>
      </w:r>
      <w:r w:rsidR="0021431C" w:rsidRPr="00C11D63">
        <w:rPr>
          <w:lang w:val="en-ID" w:eastAsia="en-ID"/>
        </w:rPr>
        <w:t xml:space="preserve"> </w:t>
      </w:r>
      <w:r w:rsidRPr="00C11D63">
        <w:rPr>
          <w:lang w:val="en-ID" w:eastAsia="en-ID"/>
        </w:rPr>
        <w:t xml:space="preserve">information </w:t>
      </w:r>
      <w:r w:rsidR="0021431C" w:rsidRPr="00C11D63">
        <w:rPr>
          <w:lang w:val="en-ID" w:eastAsia="en-ID"/>
        </w:rPr>
        <w:t xml:space="preserve">unintentionally </w:t>
      </w:r>
      <w:r w:rsidRPr="00C11D63">
        <w:rPr>
          <w:lang w:val="en-ID" w:eastAsia="en-ID"/>
        </w:rPr>
        <w:t xml:space="preserve">and deliberately </w:t>
      </w:r>
      <w:r w:rsidR="00D62EBC">
        <w:rPr>
          <w:lang w:val="en-ID" w:eastAsia="en-ID"/>
        </w:rPr>
        <w:t xml:space="preserve">disseminating </w:t>
      </w:r>
      <w:r w:rsidRPr="00C11D63">
        <w:rPr>
          <w:lang w:val="en-ID" w:eastAsia="en-ID"/>
        </w:rPr>
        <w:t xml:space="preserve">misleading </w:t>
      </w:r>
      <w:r w:rsidR="002D33ED">
        <w:rPr>
          <w:lang w:val="en-ID" w:eastAsia="en-ID"/>
        </w:rPr>
        <w:t>information</w:t>
      </w:r>
      <w:r w:rsidRPr="00C11D63">
        <w:rPr>
          <w:lang w:val="en-ID" w:eastAsia="en-ID"/>
        </w:rPr>
        <w:t xml:space="preserve"> aimed at deceiving the </w:t>
      </w:r>
      <w:r w:rsidR="006C6D53">
        <w:rPr>
          <w:lang w:val="en-ID" w:eastAsia="en-ID"/>
        </w:rPr>
        <w:t>public</w:t>
      </w:r>
      <w:r w:rsidRPr="00C11D63">
        <w:rPr>
          <w:lang w:val="en-ID" w:eastAsia="en-ID"/>
        </w:rPr>
        <w:t>. It is crucial to establish a clear definition of "fake news" as information that is intentionally created and spread with the purpose of deceiving, even when there is solid evidence that the information is false or incorrect. To effectively address the issue, it is crucial to focus on targeting only actions that have both malevolent purpose</w:t>
      </w:r>
      <w:r w:rsidR="002565A6">
        <w:rPr>
          <w:lang w:val="en-ID" w:eastAsia="en-ID"/>
        </w:rPr>
        <w:t>s</w:t>
      </w:r>
      <w:r w:rsidRPr="00C11D63">
        <w:rPr>
          <w:lang w:val="en-ID" w:eastAsia="en-ID"/>
        </w:rPr>
        <w:t xml:space="preserve"> and a significant influence on public order. This approach will not only assist in law enforcement efforts but also </w:t>
      </w:r>
      <w:r w:rsidR="0001409B">
        <w:rPr>
          <w:lang w:val="en-ID" w:eastAsia="en-ID"/>
        </w:rPr>
        <w:t>protect</w:t>
      </w:r>
      <w:r w:rsidR="0001409B" w:rsidRPr="00C11D63">
        <w:rPr>
          <w:lang w:val="en-ID" w:eastAsia="en-ID"/>
        </w:rPr>
        <w:t xml:space="preserve"> </w:t>
      </w:r>
      <w:r w:rsidRPr="00C11D63">
        <w:rPr>
          <w:lang w:val="en-ID" w:eastAsia="en-ID"/>
        </w:rPr>
        <w:t xml:space="preserve">the freedom of journalism and speech. Additionally, it is essential to present evidence of intent, or "mens rea," for the act of spreading false information to be classified as a criminal offense. This suggests that individuals can only be held accountable if it can be proven that they intentionally spread information that they were aware of or should have been aware of as being false, and that such dissemination could potentially lead to riots or other forms of societal </w:t>
      </w:r>
      <w:r w:rsidR="006B6D94">
        <w:rPr>
          <w:lang w:val="en-ID" w:eastAsia="en-ID"/>
        </w:rPr>
        <w:t>unrest</w:t>
      </w:r>
      <w:r w:rsidRPr="00C11D63">
        <w:rPr>
          <w:lang w:val="en-ID" w:eastAsia="en-ID"/>
        </w:rPr>
        <w:t xml:space="preserve">. The revised </w:t>
      </w:r>
      <w:r w:rsidR="007A7AE1">
        <w:rPr>
          <w:lang w:val="en-ID" w:eastAsia="en-ID"/>
        </w:rPr>
        <w:t>article</w:t>
      </w:r>
      <w:r w:rsidR="00166AA8">
        <w:rPr>
          <w:lang w:val="en-ID" w:eastAsia="en-ID"/>
        </w:rPr>
        <w:t>s</w:t>
      </w:r>
      <w:r w:rsidR="007A7AE1" w:rsidRPr="00C11D63">
        <w:rPr>
          <w:lang w:val="en-ID" w:eastAsia="en-ID"/>
        </w:rPr>
        <w:t xml:space="preserve"> </w:t>
      </w:r>
      <w:r w:rsidRPr="00C11D63">
        <w:rPr>
          <w:lang w:val="en-ID" w:eastAsia="en-ID"/>
        </w:rPr>
        <w:t xml:space="preserve">should explicitly state that evidence of malicious intent is required, in addition to establishing the inaccuracy of the content. Once a </w:t>
      </w:r>
      <w:r w:rsidR="00EE0BD1">
        <w:rPr>
          <w:lang w:val="en-ID" w:eastAsia="en-ID"/>
        </w:rPr>
        <w:t>precise</w:t>
      </w:r>
      <w:r w:rsidR="00EE0BD1" w:rsidRPr="00C11D63">
        <w:rPr>
          <w:lang w:val="en-ID" w:eastAsia="en-ID"/>
        </w:rPr>
        <w:t xml:space="preserve"> </w:t>
      </w:r>
      <w:r w:rsidRPr="00C11D63">
        <w:rPr>
          <w:lang w:val="en-ID" w:eastAsia="en-ID"/>
        </w:rPr>
        <w:t>and impartial description is established, it is essential to provide explicit guidelines for the verification process. This will enable the public and media to authenticate material</w:t>
      </w:r>
      <w:r w:rsidR="00CA1418">
        <w:rPr>
          <w:lang w:val="en-ID" w:eastAsia="en-ID"/>
        </w:rPr>
        <w:t>s</w:t>
      </w:r>
      <w:r w:rsidRPr="00C11D63">
        <w:rPr>
          <w:lang w:val="en-ID" w:eastAsia="en-ID"/>
        </w:rPr>
        <w:t xml:space="preserve"> and avoid any accusations of legal infringement. By utilizing this approach, the principles of fairness and equity will be maintained, preventing the unwarranted criminalization of journalistic activities and the expression of public opinion. Hence, it is imperative to find a middle ground between the need to protect society from the harmful consequences of false information and the importance of upholding the freedom of the press and expression while amending articles on the spread of wrong information. This meticulously planned </w:t>
      </w:r>
      <w:r w:rsidR="00D8414C">
        <w:rPr>
          <w:lang w:val="en-ID" w:eastAsia="en-ID"/>
        </w:rPr>
        <w:t>approach</w:t>
      </w:r>
      <w:r w:rsidR="00D8414C" w:rsidRPr="00C11D63">
        <w:rPr>
          <w:lang w:val="en-ID" w:eastAsia="en-ID"/>
        </w:rPr>
        <w:t xml:space="preserve"> </w:t>
      </w:r>
      <w:r w:rsidRPr="00C11D63">
        <w:rPr>
          <w:lang w:val="en-ID" w:eastAsia="en-ID"/>
        </w:rPr>
        <w:t xml:space="preserve">will ensure that the legislation </w:t>
      </w:r>
      <w:r w:rsidRPr="00C11D63">
        <w:rPr>
          <w:lang w:val="en-ID" w:eastAsia="en-ID"/>
        </w:rPr>
        <w:lastRenderedPageBreak/>
        <w:t xml:space="preserve">can efficiently counteract </w:t>
      </w:r>
      <w:r w:rsidR="005E63C7">
        <w:rPr>
          <w:lang w:val="en-ID" w:eastAsia="en-ID"/>
        </w:rPr>
        <w:t>false</w:t>
      </w:r>
      <w:r w:rsidR="005E63C7" w:rsidRPr="00C11D63">
        <w:rPr>
          <w:lang w:val="en-ID" w:eastAsia="en-ID"/>
        </w:rPr>
        <w:t xml:space="preserve"> </w:t>
      </w:r>
      <w:r w:rsidRPr="00C11D63">
        <w:rPr>
          <w:lang w:val="en-ID" w:eastAsia="en-ID"/>
        </w:rPr>
        <w:t>information without compromising democratic values or human rights</w:t>
      </w:r>
      <w:r w:rsidR="004E342A" w:rsidRPr="004E342A">
        <w:rPr>
          <w:lang w:val="en-ID" w:eastAsia="en-ID"/>
        </w:rPr>
        <w:t>.</w:t>
      </w:r>
    </w:p>
    <w:p w14:paraId="257B93ED" w14:textId="77777777" w:rsidR="00E3614B" w:rsidRPr="00E3614B" w:rsidRDefault="00E3614B" w:rsidP="00E3614B">
      <w:pPr>
        <w:pStyle w:val="ListParagraph"/>
        <w:numPr>
          <w:ilvl w:val="0"/>
          <w:numId w:val="47"/>
        </w:numPr>
        <w:ind w:left="426"/>
      </w:pPr>
      <w:r w:rsidRPr="00E3614B">
        <w:rPr>
          <w:lang w:val="en-ID" w:eastAsia="en-ID"/>
        </w:rPr>
        <w:t>Distinction between intention and negligence</w:t>
      </w:r>
    </w:p>
    <w:p w14:paraId="1292B9FF" w14:textId="43B4179D" w:rsidR="00E3614B" w:rsidRDefault="00C11D63" w:rsidP="00E3614B">
      <w:pPr>
        <w:pStyle w:val="ListParagraph"/>
        <w:ind w:left="426" w:firstLine="0"/>
        <w:rPr>
          <w:lang w:val="en-ID" w:eastAsia="en-ID"/>
        </w:rPr>
      </w:pPr>
      <w:r w:rsidRPr="00C11D63">
        <w:rPr>
          <w:lang w:val="en-ID" w:eastAsia="en-ID"/>
        </w:rPr>
        <w:t xml:space="preserve">It is crucial to differentiate between intentional conduct (mens rea) and negligence in order to improve the handling of the spread of </w:t>
      </w:r>
      <w:r w:rsidR="00283AC6">
        <w:rPr>
          <w:lang w:val="en-ID" w:eastAsia="en-ID"/>
        </w:rPr>
        <w:t>false</w:t>
      </w:r>
      <w:r w:rsidR="00283AC6" w:rsidRPr="00C11D63">
        <w:rPr>
          <w:lang w:val="en-ID" w:eastAsia="en-ID"/>
        </w:rPr>
        <w:t xml:space="preserve"> </w:t>
      </w:r>
      <w:r w:rsidRPr="00C11D63">
        <w:rPr>
          <w:lang w:val="en-ID" w:eastAsia="en-ID"/>
        </w:rPr>
        <w:t xml:space="preserve">information that could disrupt public order. This approach recognizes that not all false information is spread with malicious intent or a full understanding of the </w:t>
      </w:r>
      <w:r w:rsidR="00466DFF">
        <w:rPr>
          <w:lang w:val="en-ID" w:eastAsia="en-ID"/>
        </w:rPr>
        <w:t>falsehoff</w:t>
      </w:r>
      <w:r w:rsidRPr="00C11D63">
        <w:rPr>
          <w:lang w:val="en-ID" w:eastAsia="en-ID"/>
        </w:rPr>
        <w:t xml:space="preserve">. Therefore, it is important to make a mature </w:t>
      </w:r>
      <w:r w:rsidR="00B820D0">
        <w:rPr>
          <w:lang w:val="en-ID" w:eastAsia="en-ID"/>
        </w:rPr>
        <w:t>thorough</w:t>
      </w:r>
      <w:r w:rsidR="00B820D0" w:rsidRPr="00C11D63">
        <w:rPr>
          <w:lang w:val="en-ID" w:eastAsia="en-ID"/>
        </w:rPr>
        <w:t xml:space="preserve"> </w:t>
      </w:r>
      <w:r w:rsidRPr="00C11D63">
        <w:rPr>
          <w:lang w:val="en-ID" w:eastAsia="en-ID"/>
        </w:rPr>
        <w:t xml:space="preserve">of the offender's motivation and awareness in order to respond in a fair manner. Legally, </w:t>
      </w:r>
      <w:r w:rsidR="000924F1">
        <w:rPr>
          <w:lang w:val="en-ID" w:eastAsia="en-ID"/>
        </w:rPr>
        <w:t>deliberate</w:t>
      </w:r>
      <w:r w:rsidR="000924F1" w:rsidRPr="00C11D63">
        <w:rPr>
          <w:lang w:val="en-ID" w:eastAsia="en-ID"/>
        </w:rPr>
        <w:t xml:space="preserve"> </w:t>
      </w:r>
      <w:r w:rsidRPr="00C11D63">
        <w:rPr>
          <w:lang w:val="en-ID" w:eastAsia="en-ID"/>
        </w:rPr>
        <w:t xml:space="preserve">behavior refers to the actions of an offender who knowingly spreads false information and is aware of the potential for inciting riots or other forms of social unrest. This behavior demonstrates malevolence and a conscious understanding of the consequences of their actions, necessitating more stringent legal sanctions such as longer imprisonment or increased financial penalties. The purpose of this is to discourage individuals or groups who deliberately employ disinformation as a tool to disrupt public order or achieve objectives that are detrimental to society. Negligence, however, pertains to situations where someone spreads information without confirming it beforehand, lacking complete awareness of its </w:t>
      </w:r>
      <w:r w:rsidR="00B229D5">
        <w:rPr>
          <w:lang w:val="en-ID" w:eastAsia="en-ID"/>
        </w:rPr>
        <w:t>falsehood</w:t>
      </w:r>
      <w:r w:rsidRPr="00C11D63">
        <w:rPr>
          <w:lang w:val="en-ID" w:eastAsia="en-ID"/>
        </w:rPr>
        <w:t xml:space="preserve">, or without wanting to cause </w:t>
      </w:r>
      <w:r w:rsidR="00580140">
        <w:rPr>
          <w:lang w:val="en-ID" w:eastAsia="en-ID"/>
        </w:rPr>
        <w:t>any unrest</w:t>
      </w:r>
      <w:r w:rsidRPr="00C11D63">
        <w:rPr>
          <w:lang w:val="en-ID" w:eastAsia="en-ID"/>
        </w:rPr>
        <w:t xml:space="preserve">. These actions often arise from inadvertently disseminating unverified content or from a lack of understanding </w:t>
      </w:r>
      <w:r w:rsidR="00740B90">
        <w:rPr>
          <w:lang w:val="en-ID" w:eastAsia="en-ID"/>
        </w:rPr>
        <w:t xml:space="preserve">of </w:t>
      </w:r>
      <w:r w:rsidRPr="00C11D63">
        <w:rPr>
          <w:lang w:val="en-ID" w:eastAsia="en-ID"/>
        </w:rPr>
        <w:t xml:space="preserve">the importance of fact-checking. Consequently, a distinct strategy is necessary to address these </w:t>
      </w:r>
      <w:r w:rsidR="003A47B6">
        <w:rPr>
          <w:lang w:val="en-ID" w:eastAsia="en-ID"/>
        </w:rPr>
        <w:t>negligence</w:t>
      </w:r>
      <w:r w:rsidRPr="00C11D63">
        <w:rPr>
          <w:lang w:val="en-ID" w:eastAsia="en-ID"/>
        </w:rPr>
        <w:t xml:space="preserve">, one that prioritizes cautions and instruction to enhance awareness and the ability to verify information. In order to encourage more responsible conduct in the sharing of information, it may be more effective to implement remedial actions instead of harsh punishments, such as imposing smaller fines or other administrative </w:t>
      </w:r>
      <w:r w:rsidR="008916EB">
        <w:rPr>
          <w:lang w:val="en-ID" w:eastAsia="en-ID"/>
        </w:rPr>
        <w:t>sanctions</w:t>
      </w:r>
      <w:r w:rsidRPr="00C11D63">
        <w:rPr>
          <w:lang w:val="en-ID" w:eastAsia="en-ID"/>
        </w:rPr>
        <w:t xml:space="preserve">. Regulations can effectively address various situations involving the dissemination of </w:t>
      </w:r>
      <w:r w:rsidR="00A22A15">
        <w:rPr>
          <w:lang w:val="en-ID" w:eastAsia="en-ID"/>
        </w:rPr>
        <w:t>false</w:t>
      </w:r>
      <w:r w:rsidR="00A22A15" w:rsidRPr="00C11D63">
        <w:rPr>
          <w:lang w:val="en-ID" w:eastAsia="en-ID"/>
        </w:rPr>
        <w:t xml:space="preserve"> </w:t>
      </w:r>
      <w:r w:rsidRPr="00C11D63">
        <w:rPr>
          <w:lang w:val="en-ID" w:eastAsia="en-ID"/>
        </w:rPr>
        <w:t xml:space="preserve">information by distinguishing between intentional actions and negligence, while also considering nuanced variations in the knowledge and intentions of </w:t>
      </w:r>
      <w:r w:rsidR="000907B6">
        <w:rPr>
          <w:lang w:val="en-ID" w:eastAsia="en-ID"/>
        </w:rPr>
        <w:t>the perpetrators</w:t>
      </w:r>
      <w:r w:rsidRPr="00C11D63">
        <w:rPr>
          <w:lang w:val="en-ID" w:eastAsia="en-ID"/>
        </w:rPr>
        <w:t xml:space="preserve">. This </w:t>
      </w:r>
      <w:r w:rsidR="004A4DCF">
        <w:rPr>
          <w:lang w:val="en-ID" w:eastAsia="en-ID"/>
        </w:rPr>
        <w:t>approach</w:t>
      </w:r>
      <w:r w:rsidR="004A4DCF" w:rsidRPr="00C11D63">
        <w:rPr>
          <w:lang w:val="en-ID" w:eastAsia="en-ID"/>
        </w:rPr>
        <w:t xml:space="preserve"> </w:t>
      </w:r>
      <w:r w:rsidRPr="00C11D63">
        <w:rPr>
          <w:lang w:val="en-ID" w:eastAsia="en-ID"/>
        </w:rPr>
        <w:t>facilitates the development of preventative and educational programs aimed at fostering a society that is well-informed and critical of the information it consumes and disseminates. Furthermore, it ensures the enforcement of the law in cases of significant violations. Consequently, the law functions as a means for responsible public participation and for instructing and advocating democratic principles. Additionally, it functions as a means of retribution.</w:t>
      </w:r>
    </w:p>
    <w:p w14:paraId="750745A1" w14:textId="77777777" w:rsidR="00E3614B" w:rsidRPr="00E3614B" w:rsidRDefault="00E3614B" w:rsidP="00E3614B">
      <w:pPr>
        <w:pStyle w:val="ListParagraph"/>
        <w:numPr>
          <w:ilvl w:val="0"/>
          <w:numId w:val="47"/>
        </w:numPr>
        <w:ind w:left="426"/>
      </w:pPr>
      <w:r w:rsidRPr="00E3614B">
        <w:rPr>
          <w:lang w:val="en-ID" w:eastAsia="en-ID"/>
        </w:rPr>
        <w:t>Verification and Correction Mechanism</w:t>
      </w:r>
    </w:p>
    <w:p w14:paraId="78A34016" w14:textId="6AE723A3" w:rsidR="00E3614B" w:rsidRDefault="00C11D63" w:rsidP="00E3614B">
      <w:pPr>
        <w:pStyle w:val="ListParagraph"/>
        <w:ind w:left="426" w:firstLine="0"/>
        <w:rPr>
          <w:lang w:val="en-ID" w:eastAsia="en-ID"/>
        </w:rPr>
      </w:pPr>
      <w:r w:rsidRPr="00C11D63">
        <w:rPr>
          <w:lang w:val="en-ID" w:eastAsia="en-ID"/>
        </w:rPr>
        <w:t xml:space="preserve">Developing robust mechanisms for verifying and rectifying articles that regulate the spread of deceptive material is crucial for establishing a fair and responsive legal framework. This section aims to provide anyone accused of spreading deceptive information with an opportunity to verify the accuracy of the content and, if necessary, delete or modify it prior to suffering legal consequences. This </w:t>
      </w:r>
      <w:r w:rsidR="00591376">
        <w:rPr>
          <w:lang w:val="en-ID" w:eastAsia="en-ID"/>
        </w:rPr>
        <w:t>approach</w:t>
      </w:r>
      <w:r w:rsidR="00591376" w:rsidRPr="00C11D63">
        <w:rPr>
          <w:lang w:val="en-ID" w:eastAsia="en-ID"/>
        </w:rPr>
        <w:t xml:space="preserve"> </w:t>
      </w:r>
      <w:r w:rsidRPr="00C11D63">
        <w:rPr>
          <w:lang w:val="en-ID" w:eastAsia="en-ID"/>
        </w:rPr>
        <w:t xml:space="preserve">recognizes the potential for unintentional errors </w:t>
      </w:r>
      <w:r w:rsidR="00671A31">
        <w:rPr>
          <w:lang w:val="en-ID" w:eastAsia="en-ID"/>
        </w:rPr>
        <w:t xml:space="preserve">in </w:t>
      </w:r>
      <w:r w:rsidR="002B273A">
        <w:rPr>
          <w:lang w:val="en-ID" w:eastAsia="en-ID"/>
        </w:rPr>
        <w:t xml:space="preserve">the </w:t>
      </w:r>
      <w:r w:rsidR="00671A31">
        <w:rPr>
          <w:lang w:val="en-ID" w:eastAsia="en-ID"/>
        </w:rPr>
        <w:t xml:space="preserve">dissemination of information </w:t>
      </w:r>
      <w:r w:rsidRPr="00C11D63">
        <w:rPr>
          <w:lang w:val="en-ID" w:eastAsia="en-ID"/>
        </w:rPr>
        <w:t xml:space="preserve">to occur without any malicious intent, </w:t>
      </w:r>
      <w:r w:rsidR="00441AB5">
        <w:rPr>
          <w:lang w:val="en-ID" w:eastAsia="en-ID"/>
        </w:rPr>
        <w:t>while</w:t>
      </w:r>
      <w:r w:rsidRPr="00C11D63">
        <w:rPr>
          <w:lang w:val="en-ID" w:eastAsia="en-ID"/>
        </w:rPr>
        <w:t xml:space="preserve"> upholding the rules of procedural justice. Implementing verification and correction systems offers a multitude of substantial benefits. By providing the media and individuals with the opportunity to rectify mistakes in a proactive manner, it enhances the principles of press freedom and freedom of expression. In doing so, the media can mitigate the potential damage that </w:t>
      </w:r>
      <w:r w:rsidR="00FF167A">
        <w:rPr>
          <w:lang w:val="en-ID" w:eastAsia="en-ID"/>
        </w:rPr>
        <w:t>false</w:t>
      </w:r>
      <w:r w:rsidR="00FF167A" w:rsidRPr="00C11D63">
        <w:rPr>
          <w:lang w:val="en-ID" w:eastAsia="en-ID"/>
        </w:rPr>
        <w:t xml:space="preserve"> </w:t>
      </w:r>
      <w:r w:rsidRPr="00C11D63">
        <w:rPr>
          <w:lang w:val="en-ID" w:eastAsia="en-ID"/>
        </w:rPr>
        <w:t xml:space="preserve">information may cause while still preserving their reputation. Furthermore, this </w:t>
      </w:r>
      <w:r w:rsidR="00E23BFF">
        <w:rPr>
          <w:lang w:val="en-ID" w:eastAsia="en-ID"/>
        </w:rPr>
        <w:t>mechanism</w:t>
      </w:r>
      <w:r w:rsidR="00E23BFF" w:rsidRPr="00C11D63">
        <w:rPr>
          <w:lang w:val="en-ID" w:eastAsia="en-ID"/>
        </w:rPr>
        <w:t xml:space="preserve"> </w:t>
      </w:r>
      <w:r w:rsidRPr="00C11D63">
        <w:rPr>
          <w:lang w:val="en-ID" w:eastAsia="en-ID"/>
        </w:rPr>
        <w:t xml:space="preserve">promotes responsibility in the dissemination of information. The legislation promotes responsible journalism practices and encourages a more deliberate approach to using social media by requiring a verification process before distribution and providing options for information correction or retraction. </w:t>
      </w:r>
      <w:r w:rsidR="00665266">
        <w:rPr>
          <w:lang w:val="en-ID" w:eastAsia="en-ID"/>
        </w:rPr>
        <w:t>F</w:t>
      </w:r>
      <w:r w:rsidRPr="00C11D63">
        <w:rPr>
          <w:lang w:val="en-ID" w:eastAsia="en-ID"/>
        </w:rPr>
        <w:t xml:space="preserve">or verification and rectification processes to be successful, they </w:t>
      </w:r>
      <w:r w:rsidR="00B83359">
        <w:rPr>
          <w:lang w:val="en-ID" w:eastAsia="en-ID"/>
        </w:rPr>
        <w:t>must be</w:t>
      </w:r>
      <w:r w:rsidR="00B83359" w:rsidRPr="00C11D63">
        <w:rPr>
          <w:lang w:val="en-ID" w:eastAsia="en-ID"/>
        </w:rPr>
        <w:t xml:space="preserve"> </w:t>
      </w:r>
      <w:r w:rsidRPr="00C11D63">
        <w:rPr>
          <w:lang w:val="en-ID" w:eastAsia="en-ID"/>
        </w:rPr>
        <w:t>explicitly defined in the legislation. This encompasses a</w:t>
      </w:r>
      <w:r w:rsidR="00006C25">
        <w:rPr>
          <w:lang w:val="en-ID" w:eastAsia="en-ID"/>
        </w:rPr>
        <w:t>n</w:t>
      </w:r>
      <w:r w:rsidRPr="00C11D63">
        <w:rPr>
          <w:lang w:val="en-ID" w:eastAsia="en-ID"/>
        </w:rPr>
        <w:t xml:space="preserve"> </w:t>
      </w:r>
      <w:r w:rsidR="00006C25">
        <w:rPr>
          <w:lang w:val="en-ID" w:eastAsia="en-ID"/>
        </w:rPr>
        <w:t>explanation</w:t>
      </w:r>
      <w:r w:rsidR="00006C25" w:rsidRPr="00C11D63">
        <w:rPr>
          <w:lang w:val="en-ID" w:eastAsia="en-ID"/>
        </w:rPr>
        <w:t xml:space="preserve"> </w:t>
      </w:r>
      <w:r w:rsidRPr="00C11D63">
        <w:rPr>
          <w:lang w:val="en-ID" w:eastAsia="en-ID"/>
        </w:rPr>
        <w:t xml:space="preserve">of the appropriate methodology for carrying out the verification procedure, the individuals responsible for its execution, and the expeditiousness with which errors must be rectified or withdrawals must be made upon their detection. In addition, it is imperative to incorporate provisions that guarantee widespread accessibility of this system to all relevant parties, including small media outlets and </w:t>
      </w:r>
      <w:r w:rsidR="009E2F52">
        <w:rPr>
          <w:lang w:val="en-ID" w:eastAsia="en-ID"/>
        </w:rPr>
        <w:t>people</w:t>
      </w:r>
      <w:r w:rsidR="009E2F52" w:rsidRPr="00C11D63">
        <w:rPr>
          <w:lang w:val="en-ID" w:eastAsia="en-ID"/>
        </w:rPr>
        <w:t xml:space="preserve"> </w:t>
      </w:r>
      <w:r w:rsidRPr="00C11D63">
        <w:rPr>
          <w:lang w:val="en-ID" w:eastAsia="en-ID"/>
        </w:rPr>
        <w:t xml:space="preserve">with low resources. The articles should also stipulate the criteria for </w:t>
      </w:r>
      <w:r w:rsidR="00516B31">
        <w:rPr>
          <w:lang w:val="en-ID" w:eastAsia="en-ID"/>
        </w:rPr>
        <w:t>adjusting</w:t>
      </w:r>
      <w:r w:rsidR="00516B31" w:rsidRPr="00C11D63">
        <w:rPr>
          <w:lang w:val="en-ID" w:eastAsia="en-ID"/>
        </w:rPr>
        <w:t xml:space="preserve"> </w:t>
      </w:r>
      <w:r w:rsidRPr="00C11D63">
        <w:rPr>
          <w:lang w:val="en-ID" w:eastAsia="en-ID"/>
        </w:rPr>
        <w:t xml:space="preserve">or waiving punishments in the event that prompt and effective corrective action is implemented. This will ensure that the legislation is both informative and punitive, </w:t>
      </w:r>
      <w:r w:rsidRPr="00C11D63">
        <w:rPr>
          <w:lang w:val="en-ID" w:eastAsia="en-ID"/>
        </w:rPr>
        <w:lastRenderedPageBreak/>
        <w:t xml:space="preserve">fostering proactive enhancement rather than relying on punishment as a temporary solution. To achieve a better balance between </w:t>
      </w:r>
      <w:r w:rsidR="005879A2">
        <w:rPr>
          <w:lang w:val="en-ID" w:eastAsia="en-ID"/>
        </w:rPr>
        <w:t>protecting</w:t>
      </w:r>
      <w:r w:rsidR="005879A2" w:rsidRPr="00C11D63">
        <w:rPr>
          <w:lang w:val="en-ID" w:eastAsia="en-ID"/>
        </w:rPr>
        <w:t xml:space="preserve"> </w:t>
      </w:r>
      <w:r w:rsidRPr="00C11D63">
        <w:rPr>
          <w:lang w:val="en-ID" w:eastAsia="en-ID"/>
        </w:rPr>
        <w:t>society from the negative effects of false information and upholding the fundamental rights of freedom of expression and the press, the legal system can enhance its laws by incorporating effective verification and correction procedures. This promotes a culture that values and actively seeks accurate information while allowing for the correction of unintentional errors without facing excessive legal repercussions.</w:t>
      </w:r>
    </w:p>
    <w:p w14:paraId="5A152DA4" w14:textId="77777777" w:rsidR="00E3614B" w:rsidRPr="00E3614B" w:rsidRDefault="00E3614B" w:rsidP="00E3614B">
      <w:pPr>
        <w:pStyle w:val="ListParagraph"/>
        <w:numPr>
          <w:ilvl w:val="0"/>
          <w:numId w:val="47"/>
        </w:numPr>
        <w:ind w:left="426"/>
      </w:pPr>
      <w:r w:rsidRPr="00E3614B">
        <w:rPr>
          <w:lang w:val="en-ID" w:eastAsia="en-ID"/>
        </w:rPr>
        <w:t>Protection for Journalists and Media</w:t>
      </w:r>
    </w:p>
    <w:p w14:paraId="6A62740F" w14:textId="37ABD007" w:rsidR="00E3614B" w:rsidRDefault="00C11D63" w:rsidP="00E3614B">
      <w:pPr>
        <w:pStyle w:val="ListParagraph"/>
        <w:ind w:left="426" w:firstLine="0"/>
        <w:rPr>
          <w:lang w:val="en-ID" w:eastAsia="en-ID"/>
        </w:rPr>
      </w:pPr>
      <w:r w:rsidRPr="00C11D63">
        <w:rPr>
          <w:lang w:val="en-ID" w:eastAsia="en-ID"/>
        </w:rPr>
        <w:t xml:space="preserve">When designing legislation to prevent the spread of </w:t>
      </w:r>
      <w:r w:rsidR="00C66F0E">
        <w:rPr>
          <w:lang w:val="en-ID" w:eastAsia="en-ID"/>
        </w:rPr>
        <w:t>false</w:t>
      </w:r>
      <w:r w:rsidR="00C66F0E" w:rsidRPr="00C11D63">
        <w:rPr>
          <w:lang w:val="en-ID" w:eastAsia="en-ID"/>
        </w:rPr>
        <w:t xml:space="preserve"> </w:t>
      </w:r>
      <w:r w:rsidRPr="00C11D63">
        <w:rPr>
          <w:lang w:val="en-ID" w:eastAsia="en-ID"/>
        </w:rPr>
        <w:t xml:space="preserve">information, it is essential to incorporate provisions that explicitly protect journalists and the media in carrying out their journalistic duties. </w:t>
      </w:r>
      <w:r w:rsidR="00D8402B">
        <w:rPr>
          <w:lang w:val="en-ID" w:eastAsia="en-ID"/>
        </w:rPr>
        <w:t>T</w:t>
      </w:r>
      <w:r w:rsidRPr="00C11D63">
        <w:rPr>
          <w:lang w:val="en-ID" w:eastAsia="en-ID"/>
        </w:rPr>
        <w:t xml:space="preserve">o qualify for this protection, they need to comply with rigorous information verification requirements and operate within the parameters of a journalistic code of ethics. This measure is designed to ensure that the media </w:t>
      </w:r>
      <w:r w:rsidR="00C66550">
        <w:rPr>
          <w:lang w:val="en-ID" w:eastAsia="en-ID"/>
        </w:rPr>
        <w:t>can</w:t>
      </w:r>
      <w:r w:rsidR="00C66550" w:rsidRPr="00C11D63">
        <w:rPr>
          <w:lang w:val="en-ID" w:eastAsia="en-ID"/>
        </w:rPr>
        <w:t xml:space="preserve"> </w:t>
      </w:r>
      <w:r w:rsidRPr="00C11D63">
        <w:rPr>
          <w:lang w:val="en-ID" w:eastAsia="en-ID"/>
        </w:rPr>
        <w:t xml:space="preserve">fulfill its responsibility as a trustworthy source of information for the public and protector of democracy, without being at risk of facing criminal charges as a result of their reporting. Given the importance of the media in promoting transparency and holding individuals and institutions accountable, it is imperative to ensure their protection. When information has the potential to offend those in positions of power, those individuals often play a prominent role in revealing the truth and sharing important information with the public. Therefore, without guaranteed legal </w:t>
      </w:r>
      <w:r w:rsidR="001B7439">
        <w:rPr>
          <w:lang w:val="en-ID" w:eastAsia="en-ID"/>
        </w:rPr>
        <w:t>protection</w:t>
      </w:r>
      <w:r w:rsidRPr="00C11D63">
        <w:rPr>
          <w:lang w:val="en-ID" w:eastAsia="en-ID"/>
        </w:rPr>
        <w:t>, the media may be hesitant to address sensitive or controversial topics, potentially weakening democratic processes and diminishing the quality of public discussion. In order to ensure robust protection, it is imperative to establish unambiguous measures in the legislation that unequivocally safeguard journalists and the media from facing legal repercussions, as long as they</w:t>
      </w:r>
      <w:r w:rsidR="00AB0761">
        <w:rPr>
          <w:lang w:val="en-ID" w:eastAsia="en-ID"/>
        </w:rPr>
        <w:t xml:space="preserve"> are</w:t>
      </w:r>
      <w:r w:rsidRPr="00C11D63">
        <w:rPr>
          <w:lang w:val="en-ID" w:eastAsia="en-ID"/>
        </w:rPr>
        <w:t xml:space="preserve"> 1). Adhering to ethical and </w:t>
      </w:r>
      <w:r w:rsidR="00E74CCB">
        <w:rPr>
          <w:lang w:val="en-ID" w:eastAsia="en-ID"/>
        </w:rPr>
        <w:t>responsible</w:t>
      </w:r>
      <w:r w:rsidR="00E74CCB" w:rsidRPr="00C11D63">
        <w:rPr>
          <w:lang w:val="en-ID" w:eastAsia="en-ID"/>
        </w:rPr>
        <w:t xml:space="preserve"> </w:t>
      </w:r>
      <w:r w:rsidRPr="00C11D63">
        <w:rPr>
          <w:lang w:val="en-ID" w:eastAsia="en-ID"/>
        </w:rPr>
        <w:t xml:space="preserve">journalistic standards, such as rigorously fact-checking information before dissemination, 2). Striving to provide </w:t>
      </w:r>
      <w:r w:rsidR="00B25F28">
        <w:rPr>
          <w:lang w:val="en-ID" w:eastAsia="en-ID"/>
        </w:rPr>
        <w:t>accurate</w:t>
      </w:r>
      <w:r w:rsidR="00B25F28" w:rsidRPr="00C11D63">
        <w:rPr>
          <w:lang w:val="en-ID" w:eastAsia="en-ID"/>
        </w:rPr>
        <w:t xml:space="preserve"> </w:t>
      </w:r>
      <w:r w:rsidRPr="00C11D63">
        <w:rPr>
          <w:lang w:val="en-ID" w:eastAsia="en-ID"/>
        </w:rPr>
        <w:t xml:space="preserve">and significant information to the public with sincerity, 3). Relying on trustworthy sources and </w:t>
      </w:r>
      <w:r w:rsidR="000E6909">
        <w:rPr>
          <w:lang w:val="en-ID" w:eastAsia="en-ID"/>
        </w:rPr>
        <w:t>providing</w:t>
      </w:r>
      <w:r w:rsidR="000E6909" w:rsidRPr="00C11D63">
        <w:rPr>
          <w:lang w:val="en-ID" w:eastAsia="en-ID"/>
        </w:rPr>
        <w:t xml:space="preserve"> </w:t>
      </w:r>
      <w:r w:rsidRPr="00C11D63">
        <w:rPr>
          <w:lang w:val="en-ID" w:eastAsia="en-ID"/>
        </w:rPr>
        <w:t xml:space="preserve">sufficient context for the presented information. 4). </w:t>
      </w:r>
      <w:r w:rsidR="00D34F37">
        <w:rPr>
          <w:lang w:val="en-ID" w:eastAsia="en-ID"/>
        </w:rPr>
        <w:t>R</w:t>
      </w:r>
      <w:r w:rsidRPr="00C11D63">
        <w:rPr>
          <w:lang w:val="en-ID" w:eastAsia="en-ID"/>
        </w:rPr>
        <w:t xml:space="preserve">eady to promptly and transparently rectify or withdraw information that has been found to be inaccurate. Additionally, it is necessary to establish an autonomous entity, such as the Press Council or a comparable organization, which can serve as an intermediary in resolving conflicts related to reporting. Implementing this measure would provide an additional level of </w:t>
      </w:r>
      <w:r w:rsidR="00062E4D">
        <w:rPr>
          <w:lang w:val="en-ID" w:eastAsia="en-ID"/>
        </w:rPr>
        <w:t>protection</w:t>
      </w:r>
      <w:r w:rsidR="00062E4D" w:rsidRPr="00C11D63">
        <w:rPr>
          <w:lang w:val="en-ID" w:eastAsia="en-ID"/>
        </w:rPr>
        <w:t xml:space="preserve"> </w:t>
      </w:r>
      <w:r w:rsidRPr="00C11D63">
        <w:rPr>
          <w:lang w:val="en-ID" w:eastAsia="en-ID"/>
        </w:rPr>
        <w:t xml:space="preserve">for the media, as it would enable the institution to address concerns regarding journalistic standards and provide equitable resolutions without resorting to legal prosecution. </w:t>
      </w:r>
      <w:r w:rsidR="00C07347">
        <w:rPr>
          <w:lang w:val="en-ID" w:eastAsia="en-ID"/>
        </w:rPr>
        <w:t>A</w:t>
      </w:r>
      <w:r w:rsidR="00C07347" w:rsidRPr="00C11D63">
        <w:rPr>
          <w:lang w:val="en-ID" w:eastAsia="en-ID"/>
        </w:rPr>
        <w:t xml:space="preserve"> </w:t>
      </w:r>
      <w:r w:rsidRPr="00C11D63">
        <w:rPr>
          <w:lang w:val="en-ID" w:eastAsia="en-ID"/>
        </w:rPr>
        <w:t xml:space="preserve">country demonstrates its dedication to press freedom, a fundamental aspect of democracy, by offering </w:t>
      </w:r>
      <w:r w:rsidR="00406430">
        <w:rPr>
          <w:lang w:val="en-ID" w:eastAsia="en-ID"/>
        </w:rPr>
        <w:t>strong</w:t>
      </w:r>
      <w:r w:rsidR="00406430" w:rsidRPr="00C11D63">
        <w:rPr>
          <w:lang w:val="en-ID" w:eastAsia="en-ID"/>
        </w:rPr>
        <w:t xml:space="preserve"> </w:t>
      </w:r>
      <w:r w:rsidR="00B755BA">
        <w:rPr>
          <w:lang w:val="en-ID" w:eastAsia="en-ID"/>
        </w:rPr>
        <w:t>protection</w:t>
      </w:r>
      <w:r w:rsidR="00B755BA" w:rsidRPr="00C11D63">
        <w:rPr>
          <w:lang w:val="en-ID" w:eastAsia="en-ID"/>
        </w:rPr>
        <w:t xml:space="preserve"> </w:t>
      </w:r>
      <w:r w:rsidRPr="00C11D63">
        <w:rPr>
          <w:lang w:val="en-ID" w:eastAsia="en-ID"/>
        </w:rPr>
        <w:t>for journalists and the media. This enables the media to fulfill its responsibilities in educating society and promoting the growth of a robust democracy, all while maintaining the values of responsibility and honesty in journalism</w:t>
      </w:r>
      <w:r w:rsidR="00E3614B" w:rsidRPr="00E3614B">
        <w:rPr>
          <w:lang w:val="en-ID" w:eastAsia="en-ID"/>
        </w:rPr>
        <w:t>.</w:t>
      </w:r>
    </w:p>
    <w:p w14:paraId="29B9323A" w14:textId="77777777" w:rsidR="00E3614B" w:rsidRDefault="00E3614B" w:rsidP="00E3614B">
      <w:pPr>
        <w:pStyle w:val="ListParagraph"/>
        <w:numPr>
          <w:ilvl w:val="0"/>
          <w:numId w:val="47"/>
        </w:numPr>
        <w:ind w:left="426"/>
        <w:rPr>
          <w:lang w:val="en-ID" w:eastAsia="en-ID"/>
        </w:rPr>
      </w:pPr>
      <w:r w:rsidRPr="00E3614B">
        <w:rPr>
          <w:lang w:val="en-ID" w:eastAsia="en-ID"/>
        </w:rPr>
        <w:t>Affirmation of Media Literacy Education</w:t>
      </w:r>
    </w:p>
    <w:p w14:paraId="47CAC76E" w14:textId="42FA113E" w:rsidR="00E3614B" w:rsidRDefault="00C11D63" w:rsidP="00E3614B">
      <w:pPr>
        <w:pStyle w:val="ListParagraph"/>
        <w:ind w:left="426" w:firstLine="0"/>
        <w:rPr>
          <w:lang w:val="en-ID" w:eastAsia="en-ID"/>
        </w:rPr>
      </w:pPr>
      <w:r w:rsidRPr="00C11D63">
        <w:rPr>
          <w:lang w:val="en-ID" w:eastAsia="en-ID"/>
        </w:rPr>
        <w:t xml:space="preserve">In order to enhance society's ability to address disinformation, it is imperative to integrate media and information literacy education into articles that restrict the dissemination of </w:t>
      </w:r>
      <w:r w:rsidR="00352B99">
        <w:rPr>
          <w:lang w:val="en-ID" w:eastAsia="en-ID"/>
        </w:rPr>
        <w:t>false</w:t>
      </w:r>
      <w:r w:rsidR="00352B99" w:rsidRPr="00C11D63">
        <w:rPr>
          <w:lang w:val="en-ID" w:eastAsia="en-ID"/>
        </w:rPr>
        <w:t xml:space="preserve"> </w:t>
      </w:r>
      <w:r w:rsidRPr="00C11D63">
        <w:rPr>
          <w:lang w:val="en-ID" w:eastAsia="en-ID"/>
        </w:rPr>
        <w:t xml:space="preserve">information. The aim of this program is to equip individuals with the essential resources to assess the </w:t>
      </w:r>
      <w:r w:rsidR="00232C9B">
        <w:rPr>
          <w:lang w:val="en-ID" w:eastAsia="en-ID"/>
        </w:rPr>
        <w:t>accuracy</w:t>
      </w:r>
      <w:r w:rsidR="00232C9B" w:rsidRPr="00C11D63">
        <w:rPr>
          <w:lang w:val="en-ID" w:eastAsia="en-ID"/>
        </w:rPr>
        <w:t xml:space="preserve"> </w:t>
      </w:r>
      <w:r w:rsidRPr="00C11D63">
        <w:rPr>
          <w:lang w:val="en-ID" w:eastAsia="en-ID"/>
        </w:rPr>
        <w:t xml:space="preserve">of information, understand the procedures employed in the production and distribution of news, and recognize tactics employed in the manipulation of information. Participating in media literacy classes enables individuals to develop a more profound understanding of </w:t>
      </w:r>
      <w:r w:rsidR="00C23BAD">
        <w:rPr>
          <w:lang w:val="en-ID" w:eastAsia="en-ID"/>
        </w:rPr>
        <w:t>how the</w:t>
      </w:r>
      <w:r w:rsidRPr="00C11D63">
        <w:rPr>
          <w:lang w:val="en-ID" w:eastAsia="en-ID"/>
        </w:rPr>
        <w:t xml:space="preserve"> media</w:t>
      </w:r>
      <w:r w:rsidR="00C23BAD">
        <w:rPr>
          <w:lang w:val="en-ID" w:eastAsia="en-ID"/>
        </w:rPr>
        <w:t xml:space="preserve"> works</w:t>
      </w:r>
      <w:r w:rsidRPr="00C11D63">
        <w:rPr>
          <w:lang w:val="en-ID" w:eastAsia="en-ID"/>
        </w:rPr>
        <w:t xml:space="preserve">, including the impact of algorithms on information filtering and their influence on public opinion. To achieve this, </w:t>
      </w:r>
      <w:r w:rsidR="00C23BAD">
        <w:rPr>
          <w:lang w:val="en-ID" w:eastAsia="en-ID"/>
        </w:rPr>
        <w:t>the law</w:t>
      </w:r>
      <w:r w:rsidR="00C23BAD" w:rsidRPr="00C11D63">
        <w:rPr>
          <w:lang w:val="en-ID" w:eastAsia="en-ID"/>
        </w:rPr>
        <w:t xml:space="preserve"> </w:t>
      </w:r>
      <w:r w:rsidRPr="00C11D63">
        <w:rPr>
          <w:lang w:val="en-ID" w:eastAsia="en-ID"/>
        </w:rPr>
        <w:t xml:space="preserve">should promote the establishment of educational programs that have a positive impact on all segments of society, ranging from students in schools to adults residing in communities. Additionally, it should facilitate collaboration among the government, media, educational institutions, and civil society organizations. These skills will be </w:t>
      </w:r>
      <w:r w:rsidR="00C2791C">
        <w:rPr>
          <w:lang w:val="en-ID" w:eastAsia="en-ID"/>
        </w:rPr>
        <w:t>instilled</w:t>
      </w:r>
      <w:r w:rsidRPr="00C11D63">
        <w:rPr>
          <w:lang w:val="en-ID" w:eastAsia="en-ID"/>
        </w:rPr>
        <w:t xml:space="preserve"> in individuals from a young age by incorporating media literacy into educational curriculum and public awareness campaigns, resulting in a generation that is well-informed and resilient to disinformation. This comprehensive and interdisciplinary approach not only reduces vulnerability to false information but also promotes democratic participation based on careful, unbiased discussion and </w:t>
      </w:r>
      <w:r w:rsidR="00F7387B">
        <w:rPr>
          <w:lang w:val="en-ID" w:eastAsia="en-ID"/>
        </w:rPr>
        <w:t>opinion</w:t>
      </w:r>
      <w:r w:rsidRPr="00C11D63">
        <w:rPr>
          <w:lang w:val="en-ID" w:eastAsia="en-ID"/>
        </w:rPr>
        <w:t>.</w:t>
      </w:r>
    </w:p>
    <w:p w14:paraId="567674A5" w14:textId="77777777" w:rsidR="00E3614B" w:rsidRDefault="00E3614B" w:rsidP="00E3614B">
      <w:pPr>
        <w:pStyle w:val="ListParagraph"/>
        <w:numPr>
          <w:ilvl w:val="0"/>
          <w:numId w:val="47"/>
        </w:numPr>
        <w:ind w:left="426"/>
        <w:rPr>
          <w:lang w:val="en-ID" w:eastAsia="en-ID"/>
        </w:rPr>
      </w:pPr>
      <w:r w:rsidRPr="00E3614B">
        <w:rPr>
          <w:lang w:val="en-ID" w:eastAsia="en-ID"/>
        </w:rPr>
        <w:t>Establishment of an Independent Panel</w:t>
      </w:r>
    </w:p>
    <w:p w14:paraId="1056DB69" w14:textId="3B27443C" w:rsidR="004E342A" w:rsidRDefault="00C11D63" w:rsidP="00E3614B">
      <w:pPr>
        <w:pStyle w:val="ListParagraph"/>
        <w:ind w:left="426" w:firstLine="0"/>
        <w:rPr>
          <w:lang w:val="en-ID" w:eastAsia="en-ID"/>
        </w:rPr>
      </w:pPr>
      <w:r w:rsidRPr="00C11D63">
        <w:rPr>
          <w:lang w:val="en-ID" w:eastAsia="en-ID"/>
        </w:rPr>
        <w:t xml:space="preserve">An effective strategy for improving and revising articles on the spread of false information is to establish an </w:t>
      </w:r>
      <w:r w:rsidR="00350027">
        <w:rPr>
          <w:lang w:val="en-ID" w:eastAsia="en-ID"/>
        </w:rPr>
        <w:t>independent</w:t>
      </w:r>
      <w:r w:rsidR="00350027" w:rsidRPr="00C11D63">
        <w:rPr>
          <w:lang w:val="en-ID" w:eastAsia="en-ID"/>
        </w:rPr>
        <w:t xml:space="preserve"> </w:t>
      </w:r>
      <w:r w:rsidRPr="00C11D63">
        <w:rPr>
          <w:lang w:val="en-ID" w:eastAsia="en-ID"/>
        </w:rPr>
        <w:t xml:space="preserve">panel consisting of academics, media practitioners, and legal authorities. </w:t>
      </w:r>
      <w:r w:rsidRPr="00C11D63">
        <w:rPr>
          <w:lang w:val="en-ID" w:eastAsia="en-ID"/>
        </w:rPr>
        <w:lastRenderedPageBreak/>
        <w:t xml:space="preserve">This panel is crucial for analyzing cases concerning the alleged spread of </w:t>
      </w:r>
      <w:r w:rsidR="00D1517F">
        <w:rPr>
          <w:lang w:val="en-ID" w:eastAsia="en-ID"/>
        </w:rPr>
        <w:t>false</w:t>
      </w:r>
      <w:r w:rsidR="00D1517F" w:rsidRPr="00C11D63">
        <w:rPr>
          <w:lang w:val="en-ID" w:eastAsia="en-ID"/>
        </w:rPr>
        <w:t xml:space="preserve"> </w:t>
      </w:r>
      <w:r w:rsidRPr="00C11D63">
        <w:rPr>
          <w:lang w:val="en-ID" w:eastAsia="en-ID"/>
        </w:rPr>
        <w:t xml:space="preserve">information. It provides a comprehensive and evidence-based analysis that incorporates perspectives from the legal, journalistic, and academic fields. The primary objective of </w:t>
      </w:r>
      <w:r w:rsidR="00770F31">
        <w:rPr>
          <w:lang w:val="en-ID" w:eastAsia="en-ID"/>
        </w:rPr>
        <w:t>this</w:t>
      </w:r>
      <w:r w:rsidR="0074457C" w:rsidRPr="00C11D63">
        <w:rPr>
          <w:lang w:val="en-ID" w:eastAsia="en-ID"/>
        </w:rPr>
        <w:t xml:space="preserve"> </w:t>
      </w:r>
      <w:r w:rsidR="00350027">
        <w:rPr>
          <w:lang w:val="en-ID" w:eastAsia="en-ID"/>
        </w:rPr>
        <w:t>independent</w:t>
      </w:r>
      <w:r w:rsidR="00350027" w:rsidRPr="00C11D63">
        <w:rPr>
          <w:lang w:val="en-ID" w:eastAsia="en-ID"/>
        </w:rPr>
        <w:t xml:space="preserve"> </w:t>
      </w:r>
      <w:r w:rsidR="00BC507F">
        <w:rPr>
          <w:lang w:val="en-ID" w:eastAsia="en-ID"/>
        </w:rPr>
        <w:t>panel</w:t>
      </w:r>
      <w:r w:rsidR="00BC507F" w:rsidRPr="00C11D63">
        <w:rPr>
          <w:lang w:val="en-ID" w:eastAsia="en-ID"/>
        </w:rPr>
        <w:t xml:space="preserve"> </w:t>
      </w:r>
      <w:r w:rsidRPr="00C11D63">
        <w:rPr>
          <w:lang w:val="en-ID" w:eastAsia="en-ID"/>
        </w:rPr>
        <w:t xml:space="preserve">is to ensure </w:t>
      </w:r>
      <w:r w:rsidR="00DA18ED">
        <w:rPr>
          <w:lang w:val="en-ID" w:eastAsia="en-ID"/>
        </w:rPr>
        <w:t>fair</w:t>
      </w:r>
      <w:r w:rsidR="00DA18ED" w:rsidRPr="00C11D63">
        <w:rPr>
          <w:lang w:val="en-ID" w:eastAsia="en-ID"/>
        </w:rPr>
        <w:t xml:space="preserve"> </w:t>
      </w:r>
      <w:r w:rsidRPr="00C11D63">
        <w:rPr>
          <w:lang w:val="en-ID" w:eastAsia="en-ID"/>
        </w:rPr>
        <w:t xml:space="preserve">and impartial handling of every </w:t>
      </w:r>
      <w:r w:rsidR="00126249">
        <w:rPr>
          <w:lang w:val="en-ID" w:eastAsia="en-ID"/>
        </w:rPr>
        <w:t>case</w:t>
      </w:r>
      <w:r w:rsidRPr="00C11D63">
        <w:rPr>
          <w:lang w:val="en-ID" w:eastAsia="en-ID"/>
        </w:rPr>
        <w:t xml:space="preserve">, while considering the broader social, political, and technological context, as well as any potential impact on human rights and freedom of speech. </w:t>
      </w:r>
      <w:r w:rsidR="00021EF4">
        <w:rPr>
          <w:lang w:val="en-ID" w:eastAsia="en-ID"/>
        </w:rPr>
        <w:t>This</w:t>
      </w:r>
      <w:r w:rsidR="00021EF4" w:rsidRPr="00C11D63">
        <w:rPr>
          <w:lang w:val="en-ID" w:eastAsia="en-ID"/>
        </w:rPr>
        <w:t xml:space="preserve"> </w:t>
      </w:r>
      <w:r w:rsidRPr="00C11D63">
        <w:rPr>
          <w:lang w:val="en-ID" w:eastAsia="en-ID"/>
        </w:rPr>
        <w:t xml:space="preserve">panel can serve as </w:t>
      </w:r>
      <w:r w:rsidR="00021EF4">
        <w:rPr>
          <w:lang w:val="en-ID" w:eastAsia="en-ID"/>
        </w:rPr>
        <w:t xml:space="preserve">a </w:t>
      </w:r>
      <w:r w:rsidRPr="00C11D63">
        <w:rPr>
          <w:lang w:val="en-ID" w:eastAsia="en-ID"/>
        </w:rPr>
        <w:t>consultative bod</w:t>
      </w:r>
      <w:r w:rsidR="00021EF4">
        <w:rPr>
          <w:lang w:val="en-ID" w:eastAsia="en-ID"/>
        </w:rPr>
        <w:t>y</w:t>
      </w:r>
      <w:r w:rsidRPr="00C11D63">
        <w:rPr>
          <w:lang w:val="en-ID" w:eastAsia="en-ID"/>
        </w:rPr>
        <w:t xml:space="preserve"> for government institutions, providing knowledgeable recommendations on how to address issues involving misinformation. These </w:t>
      </w:r>
      <w:r w:rsidR="00F045CA" w:rsidRPr="00C11D63">
        <w:rPr>
          <w:lang w:val="en-ID" w:eastAsia="en-ID"/>
        </w:rPr>
        <w:t xml:space="preserve">recommendations </w:t>
      </w:r>
      <w:r w:rsidRPr="00C11D63">
        <w:rPr>
          <w:lang w:val="en-ID" w:eastAsia="en-ID"/>
        </w:rPr>
        <w:t xml:space="preserve">may pertain to the </w:t>
      </w:r>
      <w:r w:rsidR="00F72888">
        <w:rPr>
          <w:lang w:val="en-ID" w:eastAsia="en-ID"/>
        </w:rPr>
        <w:t>need for</w:t>
      </w:r>
      <w:r w:rsidRPr="00C11D63">
        <w:rPr>
          <w:lang w:val="en-ID" w:eastAsia="en-ID"/>
        </w:rPr>
        <w:t xml:space="preserve"> pursuing legal recourse, the right forms of punishment, or other remedies such as mediation or a public awareness campaign. Through this action, the panel enhances public consciousness regarding the problem of disinformation and promotes solutions that will improve the accountability and transparency of the legal system. The establishment of an impartial panel in response to the spread of </w:t>
      </w:r>
      <w:r w:rsidR="00E1033D">
        <w:rPr>
          <w:lang w:val="en-ID" w:eastAsia="en-ID"/>
        </w:rPr>
        <w:t>false</w:t>
      </w:r>
      <w:r w:rsidR="00E1033D" w:rsidRPr="00C11D63">
        <w:rPr>
          <w:lang w:val="en-ID" w:eastAsia="en-ID"/>
        </w:rPr>
        <w:t xml:space="preserve"> </w:t>
      </w:r>
      <w:r w:rsidRPr="00C11D63">
        <w:rPr>
          <w:lang w:val="en-ID" w:eastAsia="en-ID"/>
        </w:rPr>
        <w:t xml:space="preserve">information showcases a commitment to the principles of fairness and balance. This enables the ability to counter misinformation in a more advanced and flexible manner that can distinguish between deliberate malicious activities and unintentional mistakes. Moreover, the existence of an </w:t>
      </w:r>
      <w:r w:rsidR="004304C3">
        <w:rPr>
          <w:lang w:val="en-ID" w:eastAsia="en-ID"/>
        </w:rPr>
        <w:t>independent</w:t>
      </w:r>
      <w:r w:rsidR="004304C3" w:rsidRPr="00C11D63">
        <w:rPr>
          <w:lang w:val="en-ID" w:eastAsia="en-ID"/>
        </w:rPr>
        <w:t xml:space="preserve"> </w:t>
      </w:r>
      <w:r w:rsidR="008A0745">
        <w:rPr>
          <w:lang w:val="en-ID" w:eastAsia="en-ID"/>
        </w:rPr>
        <w:t>panel</w:t>
      </w:r>
      <w:r w:rsidR="008A0745" w:rsidRPr="00C11D63">
        <w:rPr>
          <w:lang w:val="en-ID" w:eastAsia="en-ID"/>
        </w:rPr>
        <w:t xml:space="preserve"> </w:t>
      </w:r>
      <w:r w:rsidRPr="00C11D63">
        <w:rPr>
          <w:lang w:val="en-ID" w:eastAsia="en-ID"/>
        </w:rPr>
        <w:t xml:space="preserve">highlights the importance of both press freedom and freedom of expression, emphasizing that combating misinformation should not compromise essential democratic values. Therefore, establishing an impartial </w:t>
      </w:r>
      <w:r w:rsidR="00D91698">
        <w:rPr>
          <w:lang w:val="en-ID" w:eastAsia="en-ID"/>
        </w:rPr>
        <w:t>panel</w:t>
      </w:r>
      <w:r w:rsidR="00D91698" w:rsidRPr="00C11D63">
        <w:rPr>
          <w:lang w:val="en-ID" w:eastAsia="en-ID"/>
        </w:rPr>
        <w:t xml:space="preserve"> </w:t>
      </w:r>
      <w:r w:rsidRPr="00C11D63">
        <w:rPr>
          <w:lang w:val="en-ID" w:eastAsia="en-ID"/>
        </w:rPr>
        <w:t xml:space="preserve">offers a method for effectively combining the </w:t>
      </w:r>
      <w:r w:rsidR="008E6224">
        <w:rPr>
          <w:lang w:val="en-ID" w:eastAsia="en-ID"/>
        </w:rPr>
        <w:t>protection</w:t>
      </w:r>
      <w:r w:rsidR="008E6224" w:rsidRPr="00C11D63">
        <w:rPr>
          <w:lang w:val="en-ID" w:eastAsia="en-ID"/>
        </w:rPr>
        <w:t xml:space="preserve"> </w:t>
      </w:r>
      <w:r w:rsidRPr="00C11D63">
        <w:rPr>
          <w:lang w:val="en-ID" w:eastAsia="en-ID"/>
        </w:rPr>
        <w:t xml:space="preserve">of </w:t>
      </w:r>
      <w:r w:rsidR="007A09A4">
        <w:rPr>
          <w:lang w:val="en-ID" w:eastAsia="en-ID"/>
        </w:rPr>
        <w:t>people</w:t>
      </w:r>
      <w:r w:rsidR="007A09A4" w:rsidRPr="00C11D63">
        <w:rPr>
          <w:lang w:val="en-ID" w:eastAsia="en-ID"/>
        </w:rPr>
        <w:t xml:space="preserve"> </w:t>
      </w:r>
      <w:r w:rsidR="001C5B25">
        <w:rPr>
          <w:lang w:val="en-ID" w:eastAsia="en-ID"/>
        </w:rPr>
        <w:t>from</w:t>
      </w:r>
      <w:r w:rsidR="001C5B25" w:rsidRPr="00C11D63">
        <w:rPr>
          <w:lang w:val="en-ID" w:eastAsia="en-ID"/>
        </w:rPr>
        <w:t xml:space="preserve"> </w:t>
      </w:r>
      <w:r w:rsidRPr="00C11D63">
        <w:rPr>
          <w:lang w:val="en-ID" w:eastAsia="en-ID"/>
        </w:rPr>
        <w:t>misleading content with the preservation of their freedom of expression and human rights. This fosters chances for increased public discourse and engagement in addressing the issue of disinformation, while ensuring that decisions are taken after carefully considering a variety of perspectives.</w:t>
      </w:r>
    </w:p>
    <w:p w14:paraId="639ED849" w14:textId="77777777" w:rsidR="00C11D63" w:rsidRPr="00E3614B" w:rsidRDefault="00C11D63" w:rsidP="00E3614B">
      <w:pPr>
        <w:pStyle w:val="ListParagraph"/>
        <w:ind w:left="426" w:firstLine="0"/>
        <w:rPr>
          <w:lang w:val="en-ID" w:eastAsia="en-ID"/>
        </w:rPr>
      </w:pPr>
    </w:p>
    <w:p w14:paraId="6B25A054" w14:textId="77777777" w:rsidR="00864FF8" w:rsidRDefault="00000000" w:rsidP="005303F5">
      <w:pPr>
        <w:pStyle w:val="Heading1"/>
        <w:ind w:left="426"/>
      </w:pPr>
      <w:r w:rsidRPr="00530E28">
        <w:t>Conclusion</w:t>
      </w:r>
    </w:p>
    <w:p w14:paraId="6B1B3836" w14:textId="6B87E921" w:rsidR="00D832BD" w:rsidRDefault="00C11D63" w:rsidP="00C11D63">
      <w:pPr>
        <w:ind w:firstLine="426"/>
        <w:rPr>
          <w:lang w:val="en-ID"/>
        </w:rPr>
      </w:pPr>
      <w:r w:rsidRPr="00C11D63">
        <w:rPr>
          <w:lang w:val="en-ID"/>
        </w:rPr>
        <w:t xml:space="preserve">The implementation of </w:t>
      </w:r>
      <w:r w:rsidR="00BF2EE5" w:rsidRPr="00C11D63">
        <w:rPr>
          <w:lang w:val="en-ID"/>
        </w:rPr>
        <w:t>articles 263 and 264</w:t>
      </w:r>
      <w:r w:rsidR="00BF2EE5">
        <w:rPr>
          <w:lang w:val="en-ID"/>
        </w:rPr>
        <w:t xml:space="preserve"> of </w:t>
      </w:r>
      <w:r w:rsidRPr="00C11D63">
        <w:rPr>
          <w:lang w:val="en-ID"/>
        </w:rPr>
        <w:t xml:space="preserve">the new Criminal Code (KUHP) in Indonesia, designed to curb the spread of </w:t>
      </w:r>
      <w:r w:rsidR="00F1735B">
        <w:rPr>
          <w:lang w:val="en-ID"/>
        </w:rPr>
        <w:t>false</w:t>
      </w:r>
      <w:r w:rsidR="00F1735B" w:rsidRPr="00C11D63">
        <w:rPr>
          <w:lang w:val="en-ID"/>
        </w:rPr>
        <w:t xml:space="preserve"> </w:t>
      </w:r>
      <w:r w:rsidRPr="00C11D63">
        <w:rPr>
          <w:lang w:val="en-ID"/>
        </w:rPr>
        <w:t xml:space="preserve">or deceptive information, poses important </w:t>
      </w:r>
      <w:r w:rsidR="00423E27">
        <w:rPr>
          <w:lang w:val="en-ID"/>
        </w:rPr>
        <w:t>questions</w:t>
      </w:r>
      <w:r w:rsidR="00423E27" w:rsidRPr="00C11D63">
        <w:rPr>
          <w:lang w:val="en-ID"/>
        </w:rPr>
        <w:t xml:space="preserve"> </w:t>
      </w:r>
      <w:r w:rsidRPr="00C11D63">
        <w:rPr>
          <w:lang w:val="en-ID"/>
        </w:rPr>
        <w:t xml:space="preserve">about finding a harmonious equilibrium between maintaining societal stability and </w:t>
      </w:r>
      <w:r w:rsidR="00AC577D">
        <w:rPr>
          <w:lang w:val="en-ID"/>
        </w:rPr>
        <w:t>protecting</w:t>
      </w:r>
      <w:r w:rsidR="00AC577D" w:rsidRPr="00C11D63">
        <w:rPr>
          <w:lang w:val="en-ID"/>
        </w:rPr>
        <w:t xml:space="preserve"> </w:t>
      </w:r>
      <w:r w:rsidRPr="00C11D63">
        <w:rPr>
          <w:lang w:val="en-ID"/>
        </w:rPr>
        <w:t xml:space="preserve">the freedom of expression. The </w:t>
      </w:r>
      <w:r w:rsidR="00207725">
        <w:rPr>
          <w:lang w:val="en-ID"/>
        </w:rPr>
        <w:t>application</w:t>
      </w:r>
      <w:r w:rsidR="00207725" w:rsidRPr="00C11D63">
        <w:rPr>
          <w:lang w:val="en-ID"/>
        </w:rPr>
        <w:t xml:space="preserve"> </w:t>
      </w:r>
      <w:r w:rsidRPr="00C11D63">
        <w:rPr>
          <w:lang w:val="en-ID"/>
        </w:rPr>
        <w:t xml:space="preserve">of these articles gives rise to significant </w:t>
      </w:r>
      <w:r w:rsidR="00573C1B">
        <w:rPr>
          <w:lang w:val="en-ID"/>
        </w:rPr>
        <w:t>concerns</w:t>
      </w:r>
      <w:r w:rsidR="00573C1B" w:rsidRPr="00C11D63">
        <w:rPr>
          <w:lang w:val="en-ID"/>
        </w:rPr>
        <w:t xml:space="preserve"> </w:t>
      </w:r>
      <w:r w:rsidRPr="00C11D63">
        <w:rPr>
          <w:lang w:val="en-ID"/>
        </w:rPr>
        <w:t xml:space="preserve">due to the </w:t>
      </w:r>
      <w:r w:rsidR="00A4488F">
        <w:rPr>
          <w:lang w:val="en-ID"/>
        </w:rPr>
        <w:t>lack of clarity</w:t>
      </w:r>
      <w:r w:rsidRPr="00C11D63">
        <w:rPr>
          <w:lang w:val="en-ID"/>
        </w:rPr>
        <w:t xml:space="preserve"> in the editorial and the potential for abuse that could stifle dissenting voices and manipulate the public discourse, despite the commendable legislative objective of tackling the issue of false information dissemination and its disruptive impact on society. This controversial characteristic underscores the necessity for more exact and </w:t>
      </w:r>
      <w:r w:rsidR="00112CBD">
        <w:rPr>
          <w:lang w:val="en-ID"/>
        </w:rPr>
        <w:t>clear</w:t>
      </w:r>
      <w:r w:rsidR="00112CBD" w:rsidRPr="00C11D63">
        <w:rPr>
          <w:lang w:val="en-ID"/>
        </w:rPr>
        <w:t xml:space="preserve"> </w:t>
      </w:r>
      <w:r w:rsidR="00D16928">
        <w:rPr>
          <w:lang w:val="en-ID"/>
        </w:rPr>
        <w:t>definitions</w:t>
      </w:r>
      <w:r w:rsidR="00D16928" w:rsidRPr="00C11D63">
        <w:rPr>
          <w:lang w:val="en-ID"/>
        </w:rPr>
        <w:t xml:space="preserve"> </w:t>
      </w:r>
      <w:r w:rsidRPr="00C11D63">
        <w:rPr>
          <w:lang w:val="en-ID"/>
        </w:rPr>
        <w:t xml:space="preserve">of "fake news" and "social unrest" to avert erroneous legal interpretations and exploitation. Furthermore, the presence of the Press Law and Press Council is increasingly vital to ensure that the inclusion of Articles 263 and 264 in the Criminal Code does not blur the distinction between criminal offenses and breaches of press ethics. This is important because it could potentially endanger press freedom and the independence of the media. The Press Law and Press Council should establish a precise and comprehensive framework for addressing matters pertaining to the press. Legislative amendments are necessary to provide clear definitions, differentiate between intentional and negligent conduct, and protect journalists and the media to reduce disputes and enhance the effectiveness of these laws. To mitigate the spread of false information, it is crucial to enhance media literacy and education through educational programs that focus on equipping individuals with the skills to identify deceptive content. Collaboration among the public, government, media, and digital platforms is vital to identify and halt the spread of </w:t>
      </w:r>
      <w:r w:rsidR="009B23F4">
        <w:rPr>
          <w:lang w:val="en-ID"/>
        </w:rPr>
        <w:t>false</w:t>
      </w:r>
      <w:r w:rsidR="009B23F4" w:rsidRPr="00C11D63">
        <w:rPr>
          <w:lang w:val="en-ID"/>
        </w:rPr>
        <w:t xml:space="preserve"> </w:t>
      </w:r>
      <w:r w:rsidRPr="00C11D63">
        <w:rPr>
          <w:lang w:val="en-ID"/>
        </w:rPr>
        <w:t xml:space="preserve">information. Therefore, despite the </w:t>
      </w:r>
      <w:r w:rsidR="00C24CE9">
        <w:rPr>
          <w:lang w:val="en-ID"/>
        </w:rPr>
        <w:t>noble</w:t>
      </w:r>
      <w:r w:rsidR="00C24CE9" w:rsidRPr="00C11D63">
        <w:rPr>
          <w:lang w:val="en-ID"/>
        </w:rPr>
        <w:t xml:space="preserve"> </w:t>
      </w:r>
      <w:r w:rsidRPr="00C11D63">
        <w:rPr>
          <w:lang w:val="en-ID"/>
        </w:rPr>
        <w:t xml:space="preserve">objectives of Articles 263 and 264, it would be prudent to implement them with more clarity and fairness. Additional essential steps to ensure that </w:t>
      </w:r>
      <w:r w:rsidR="00AC4315">
        <w:rPr>
          <w:lang w:val="en-ID"/>
        </w:rPr>
        <w:t>efforts</w:t>
      </w:r>
      <w:r w:rsidR="00AC4315" w:rsidRPr="00C11D63">
        <w:rPr>
          <w:lang w:val="en-ID"/>
        </w:rPr>
        <w:t xml:space="preserve"> </w:t>
      </w:r>
      <w:r w:rsidRPr="00C11D63">
        <w:rPr>
          <w:lang w:val="en-ID"/>
        </w:rPr>
        <w:t>to combat misinformation do not undermine democratic values and human rights involve enhancing media literacy and promoting collaboration within the sector.</w:t>
      </w:r>
    </w:p>
    <w:p w14:paraId="0D3583B3" w14:textId="77777777" w:rsidR="00C11D63" w:rsidRPr="00D832BD" w:rsidRDefault="00C11D63" w:rsidP="00C11D63">
      <w:pPr>
        <w:ind w:firstLine="426"/>
        <w:rPr>
          <w:lang w:val="en-ID"/>
        </w:rPr>
      </w:pPr>
    </w:p>
    <w:p w14:paraId="3CBF8F1A" w14:textId="77777777" w:rsidR="00CE507B" w:rsidRDefault="00000000" w:rsidP="00CE507B">
      <w:pPr>
        <w:ind w:firstLine="0"/>
        <w:rPr>
          <w:b/>
          <w:bCs/>
          <w:lang w:val="en-ID" w:eastAsia="en-ID"/>
        </w:rPr>
      </w:pPr>
      <w:r>
        <w:rPr>
          <w:b/>
          <w:bCs/>
          <w:lang w:val="en-ID" w:eastAsia="en-ID"/>
        </w:rPr>
        <w:t>REFERENCES</w:t>
      </w:r>
    </w:p>
    <w:p w14:paraId="443628A8" w14:textId="6901FA0E" w:rsidR="00E43809" w:rsidRPr="00E43809" w:rsidRDefault="004E3BBC" w:rsidP="00E43809">
      <w:pPr>
        <w:widowControl w:val="0"/>
        <w:autoSpaceDE w:val="0"/>
        <w:autoSpaceDN w:val="0"/>
        <w:adjustRightInd w:val="0"/>
        <w:ind w:left="480" w:hanging="480"/>
        <w:rPr>
          <w:noProof/>
          <w:szCs w:val="24"/>
        </w:rPr>
      </w:pPr>
      <w:r>
        <w:rPr>
          <w:b/>
          <w:bCs/>
          <w:lang w:val="en-ID" w:eastAsia="en-ID"/>
        </w:rPr>
        <w:fldChar w:fldCharType="begin" w:fldLock="1"/>
      </w:r>
      <w:r>
        <w:rPr>
          <w:b/>
          <w:bCs/>
          <w:lang w:val="en-ID" w:eastAsia="en-ID"/>
        </w:rPr>
        <w:instrText xml:space="preserve">ADDIN Mendeley Bibliography CSL_BIBLIOGRAPHY </w:instrText>
      </w:r>
      <w:r>
        <w:rPr>
          <w:b/>
          <w:bCs/>
          <w:lang w:val="en-ID" w:eastAsia="en-ID"/>
        </w:rPr>
        <w:fldChar w:fldCharType="separate"/>
      </w:r>
      <w:r w:rsidR="00E43809" w:rsidRPr="00E43809">
        <w:rPr>
          <w:noProof/>
          <w:szCs w:val="24"/>
        </w:rPr>
        <w:t xml:space="preserve">Butt, Simon. “Indonesia’s New Criminal Code: Indigenising and Democratising Indonesian Criminal Law?” </w:t>
      </w:r>
      <w:r w:rsidR="00E43809" w:rsidRPr="00E43809">
        <w:rPr>
          <w:i/>
          <w:iCs/>
          <w:noProof/>
          <w:szCs w:val="24"/>
        </w:rPr>
        <w:t>Griffith Law Review</w:t>
      </w:r>
      <w:r w:rsidR="00E43809" w:rsidRPr="00E43809">
        <w:rPr>
          <w:noProof/>
          <w:szCs w:val="24"/>
        </w:rPr>
        <w:t xml:space="preserve"> 32, no. 2 (2023): 190–214. https://doi.org/10.1080/10383441.2023.2243772.</w:t>
      </w:r>
    </w:p>
    <w:p w14:paraId="6CC2826E"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Echikson, William, and Olivia Knodt. “Germany’s NetzDG: A Key Test for Combatting Online Hate.” </w:t>
      </w:r>
      <w:r w:rsidRPr="00E43809">
        <w:rPr>
          <w:i/>
          <w:iCs/>
          <w:noProof/>
          <w:szCs w:val="24"/>
        </w:rPr>
        <w:t>Computer Und Recht</w:t>
      </w:r>
      <w:r w:rsidRPr="00E43809">
        <w:rPr>
          <w:noProof/>
          <w:szCs w:val="24"/>
        </w:rPr>
        <w:t xml:space="preserve"> 33, no. 5 (November 22, 2018): 310–33. https://doi.org/10.9785/CR-2017-</w:t>
      </w:r>
      <w:r w:rsidRPr="00E43809">
        <w:rPr>
          <w:noProof/>
          <w:szCs w:val="24"/>
        </w:rPr>
        <w:lastRenderedPageBreak/>
        <w:t>0506.</w:t>
      </w:r>
    </w:p>
    <w:p w14:paraId="7D12A826"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Ekaningsih, Journal Of Law &amp; Legal Reform Volume ; Cited As. “Press Roles in Democracy Society.” </w:t>
      </w:r>
      <w:r w:rsidRPr="00E43809">
        <w:rPr>
          <w:i/>
          <w:iCs/>
          <w:noProof/>
          <w:szCs w:val="24"/>
        </w:rPr>
        <w:t>Journal of Law and Legal Reform</w:t>
      </w:r>
      <w:r w:rsidRPr="00E43809">
        <w:rPr>
          <w:noProof/>
          <w:szCs w:val="24"/>
        </w:rPr>
        <w:t xml:space="preserve"> 1, no. 3 (April 30, 2020): 539–48. https://doi.org/10.15294/JLLR.V1I3.38510.</w:t>
      </w:r>
    </w:p>
    <w:p w14:paraId="4FC9B31D"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Eltayeb, Mohamed Saeed M. “The Quest for Permissible Limitations on Freedom of Expression: Public Order and Public Morality Exceptions.” </w:t>
      </w:r>
      <w:r w:rsidRPr="00E43809">
        <w:rPr>
          <w:i/>
          <w:iCs/>
          <w:noProof/>
          <w:szCs w:val="24"/>
        </w:rPr>
        <w:t>The Review of Faith &amp; International Affairs</w:t>
      </w:r>
      <w:r w:rsidRPr="00E43809">
        <w:rPr>
          <w:noProof/>
          <w:szCs w:val="24"/>
        </w:rPr>
        <w:t xml:space="preserve"> 13, no. 1 (January 2, 2015): 69–74. https://doi.org/10.1080/15570274.2015.1005914.</w:t>
      </w:r>
    </w:p>
    <w:p w14:paraId="07E93C60"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Fernando, Zico Junius, Sri Wulandari, and Panca Sarjana Putra. “Potential Overcriminalization in Religious Offenses : A Critical Analysis of The Formulation of The New National Criminal Code (Law 1 Number 2023).” </w:t>
      </w:r>
      <w:r w:rsidRPr="00E43809">
        <w:rPr>
          <w:i/>
          <w:iCs/>
          <w:noProof/>
          <w:szCs w:val="24"/>
        </w:rPr>
        <w:t>Jurnal HAM</w:t>
      </w:r>
      <w:r w:rsidRPr="00E43809">
        <w:rPr>
          <w:noProof/>
          <w:szCs w:val="24"/>
        </w:rPr>
        <w:t xml:space="preserve"> 14, no. 3 (2023): 205–16. https://doi.org/http://dx.doi.org/10.30641/ham.2023.14.3.</w:t>
      </w:r>
    </w:p>
    <w:p w14:paraId="19BDE460"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Friesem, Yonty. “Teaching Truth, Lies, and Accuracy in the Digital Age: Media Literacy as Project-Based Learning.” </w:t>
      </w:r>
      <w:r w:rsidRPr="00E43809">
        <w:rPr>
          <w:i/>
          <w:iCs/>
          <w:noProof/>
          <w:szCs w:val="24"/>
        </w:rPr>
        <w:t>Journalism &amp; Mass Communication Educator</w:t>
      </w:r>
      <w:r w:rsidRPr="00E43809">
        <w:rPr>
          <w:noProof/>
          <w:szCs w:val="24"/>
        </w:rPr>
        <w:t xml:space="preserve"> 74, no. 2 (February 22, 2019): 185–98. https://doi.org/10.1177/1077695819829962.</w:t>
      </w:r>
    </w:p>
    <w:p w14:paraId="24EF04E1"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Howie, Emily. “Protecting the Human Right to Freedom of Expression in International Law.” </w:t>
      </w:r>
      <w:r w:rsidRPr="00E43809">
        <w:rPr>
          <w:i/>
          <w:iCs/>
          <w:noProof/>
          <w:szCs w:val="24"/>
        </w:rPr>
        <w:t>International Journal of Speech-Language Pathology</w:t>
      </w:r>
      <w:r w:rsidRPr="00E43809">
        <w:rPr>
          <w:noProof/>
          <w:szCs w:val="24"/>
        </w:rPr>
        <w:t xml:space="preserve"> 20, no. 1 (January 2, 2018): 12–15. https://doi.org/10.1080/17549507.2018.1392612.</w:t>
      </w:r>
    </w:p>
    <w:p w14:paraId="009AE297"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Issan Harruma. “Sejarah KUHP Dan Perjalanan Menuju KUHP Baru.” Nasional.kompas.com, 2022. https://nasional.kompas.com/read/2022/07/05/01500051/sejarah-kuhp-dan-perjalanan-menuju-kuhp-baru.</w:t>
      </w:r>
    </w:p>
    <w:p w14:paraId="50F36CD5"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Jayakumar, Shashi, Benjamin Ang, and Nur Diyanah Anwar. “Fake News and Disinformation: Singapore Perspectives.” </w:t>
      </w:r>
      <w:r w:rsidRPr="00E43809">
        <w:rPr>
          <w:i/>
          <w:iCs/>
          <w:noProof/>
          <w:szCs w:val="24"/>
        </w:rPr>
        <w:t>Disinformation and Fake News</w:t>
      </w:r>
      <w:r w:rsidRPr="00E43809">
        <w:rPr>
          <w:noProof/>
          <w:szCs w:val="24"/>
        </w:rPr>
        <w:t>, January 1, 2020, 137–58. https://doi.org/10.1007/978-981-15-5876-4_11/COVER.</w:t>
      </w:r>
    </w:p>
    <w:p w14:paraId="25A30724"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Khan, Sadia. “Negotiating (Dis)Trust to Advance Democracy through Media and Information Literacy.” </w:t>
      </w:r>
      <w:r w:rsidRPr="00E43809">
        <w:rPr>
          <w:i/>
          <w:iCs/>
          <w:noProof/>
          <w:szCs w:val="24"/>
        </w:rPr>
        <w:t>Postdigital Science and Education</w:t>
      </w:r>
      <w:r w:rsidRPr="00E43809">
        <w:rPr>
          <w:noProof/>
          <w:szCs w:val="24"/>
        </w:rPr>
        <w:t xml:space="preserve"> 2, no. 1 (2020): 170–83. https://doi.org/10.1007/s42438-019-00072-9.</w:t>
      </w:r>
    </w:p>
    <w:p w14:paraId="7A55B442"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M, Deddy Satria, and Hairunnisa. “The Phenomenon of Fake News (Hoax) in Mass Communication: Causes, Impacts, and Solutions.” </w:t>
      </w:r>
      <w:r w:rsidRPr="00E43809">
        <w:rPr>
          <w:i/>
          <w:iCs/>
          <w:noProof/>
          <w:szCs w:val="24"/>
        </w:rPr>
        <w:t>Open Access Indonesia Journal of Social Sciences</w:t>
      </w:r>
      <w:r w:rsidRPr="00E43809">
        <w:rPr>
          <w:noProof/>
          <w:szCs w:val="24"/>
        </w:rPr>
        <w:t xml:space="preserve"> 6, no. 3 (May 25, 2023): 980–88. https://doi.org/10.37275/OAIJSS.V6I3.161.</w:t>
      </w:r>
    </w:p>
    <w:p w14:paraId="44F1536B"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McCormick, Douglas. “Freedom of Expression?” </w:t>
      </w:r>
      <w:r w:rsidRPr="00E43809">
        <w:rPr>
          <w:i/>
          <w:iCs/>
          <w:noProof/>
          <w:szCs w:val="24"/>
        </w:rPr>
        <w:t>BioTechniques</w:t>
      </w:r>
      <w:r w:rsidRPr="00E43809">
        <w:rPr>
          <w:noProof/>
          <w:szCs w:val="24"/>
        </w:rPr>
        <w:t xml:space="preserve"> 43, no. 3 (May 16, 2018): 251. https://doi.org/10.2144/000112539.</w:t>
      </w:r>
    </w:p>
    <w:p w14:paraId="791A0B0E"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Niemi, Pia Maria, Saija Benjamin, Arniika Kuusisto, and Liam Gearon. “How and Why Education Counters Ideological Extremism in Finland.” </w:t>
      </w:r>
      <w:r w:rsidRPr="00E43809">
        <w:rPr>
          <w:i/>
          <w:iCs/>
          <w:noProof/>
          <w:szCs w:val="24"/>
        </w:rPr>
        <w:t>Religions 2018, Vol. 9, Page 420</w:t>
      </w:r>
      <w:r w:rsidRPr="00E43809">
        <w:rPr>
          <w:noProof/>
          <w:szCs w:val="24"/>
        </w:rPr>
        <w:t xml:space="preserve"> 9, no. 12 (December 18, 2018): 1–16. https://doi.org/10.3390/REL9120420.</w:t>
      </w:r>
    </w:p>
    <w:p w14:paraId="77271A75"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Piccolo, Lara S.G., Diotima Bertel, Tracie Farrell, and Pinelopi Troullinou. “Opinions, Intentions, Freedom of Expression, ... , and Other Human Aspects of Misinformation Online.” In </w:t>
      </w:r>
      <w:r w:rsidRPr="00E43809">
        <w:rPr>
          <w:i/>
          <w:iCs/>
          <w:noProof/>
          <w:szCs w:val="24"/>
        </w:rPr>
        <w:t>Conference on Human Factors in Computing Systems - Proceedings</w:t>
      </w:r>
      <w:r w:rsidRPr="00E43809">
        <w:rPr>
          <w:noProof/>
          <w:szCs w:val="24"/>
        </w:rPr>
        <w:t>, 1–5. Association for Computing Machinery, 2021. https://doi.org/10.1145/3411763.3441345.</w:t>
      </w:r>
    </w:p>
    <w:p w14:paraId="322EFCCE"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Prahassacitta, Vidya, and Harkristuti Harkrisnowo. “Criminal Disinformation in Relation to the Freedom of Expression in Indonesia: A Critical Study.” </w:t>
      </w:r>
      <w:r w:rsidRPr="00E43809">
        <w:rPr>
          <w:i/>
          <w:iCs/>
          <w:noProof/>
          <w:szCs w:val="24"/>
        </w:rPr>
        <w:t>Comparative Law Review</w:t>
      </w:r>
      <w:r w:rsidRPr="00E43809">
        <w:rPr>
          <w:noProof/>
          <w:szCs w:val="24"/>
        </w:rPr>
        <w:t xml:space="preserve"> 27 (December 22, 2021): 135–65. https://doi.org/10.12775/CLR.2021.005.</w:t>
      </w:r>
    </w:p>
    <w:p w14:paraId="4FA53FE1"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Putra, Panca Sarjana, Zico Junius Fernando, Bhanu Prakash Nunna, and Rizaldy Anggriawan. “Judicial Transformation: Integration of AI Judges in Innovating Indonesia’s Criminal Justice System.” </w:t>
      </w:r>
      <w:r w:rsidRPr="00E43809">
        <w:rPr>
          <w:i/>
          <w:iCs/>
          <w:noProof/>
          <w:szCs w:val="24"/>
        </w:rPr>
        <w:t>Kosmik Hukum</w:t>
      </w:r>
      <w:r w:rsidRPr="00E43809">
        <w:rPr>
          <w:noProof/>
          <w:szCs w:val="24"/>
        </w:rPr>
        <w:t xml:space="preserve"> 23, no. 3 (2023): 233–47. https://doi.org/10.30595/kosmikhukum.v23i3.18711.</w:t>
      </w:r>
    </w:p>
    <w:p w14:paraId="11907ACD"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Putsanra, Dipna Videlia. “Apa Isi RKUHP, Kenapa Ditolak, Dan Daftar Pasal Kontroversial.” tirto.id, 2022. https://tirto.id/apa-isi-rkuhp-kenapa-ditolak-dan-daftar-pasal-kontroversial-gzt6.</w:t>
      </w:r>
    </w:p>
    <w:p w14:paraId="6EC3B8B3"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Rana, D P, I Agarwal, and A More. “A Review of Techniques to Combat The Peril of Fake News.” In </w:t>
      </w:r>
      <w:r w:rsidRPr="00E43809">
        <w:rPr>
          <w:i/>
          <w:iCs/>
          <w:noProof/>
          <w:szCs w:val="24"/>
        </w:rPr>
        <w:t>2018 4th International Conference on Computing Communication and Automation (ICCCA)</w:t>
      </w:r>
      <w:r w:rsidRPr="00E43809">
        <w:rPr>
          <w:noProof/>
          <w:szCs w:val="24"/>
        </w:rPr>
        <w:t>, 1–7, 2018. https://doi.org/10.1109/CCAA.2018.8777676.</w:t>
      </w:r>
    </w:p>
    <w:p w14:paraId="6591AE00"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Ray, Andrew. “Disinformation, Deepfakes and Democracies: The Need for Legislative Reform.” </w:t>
      </w:r>
      <w:r w:rsidRPr="00E43809">
        <w:rPr>
          <w:i/>
          <w:iCs/>
          <w:noProof/>
          <w:szCs w:val="24"/>
        </w:rPr>
        <w:t>University of New South Wales Law Journal</w:t>
      </w:r>
      <w:r w:rsidRPr="00E43809">
        <w:rPr>
          <w:noProof/>
          <w:szCs w:val="24"/>
        </w:rPr>
        <w:t xml:space="preserve"> 44, no. 3 (September 1, 2021): 983–1013. https://doi.org/10.53637/DELS2700.</w:t>
      </w:r>
    </w:p>
    <w:p w14:paraId="20CD2353"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Sander, Barrie. “Freedom of Expression in the Age of Online Platforms: The Promise and Pitfalls of a </w:t>
      </w:r>
      <w:r w:rsidRPr="00E43809">
        <w:rPr>
          <w:noProof/>
          <w:szCs w:val="24"/>
        </w:rPr>
        <w:lastRenderedPageBreak/>
        <w:t xml:space="preserve">Human Rights-Based Approach to Content Moderation.” </w:t>
      </w:r>
      <w:r w:rsidRPr="00E43809">
        <w:rPr>
          <w:i/>
          <w:iCs/>
          <w:noProof/>
          <w:szCs w:val="24"/>
        </w:rPr>
        <w:t>SSRN Electronic Journal</w:t>
      </w:r>
      <w:r w:rsidRPr="00E43809">
        <w:rPr>
          <w:noProof/>
          <w:szCs w:val="24"/>
        </w:rPr>
        <w:t>, May 23, 2020, 1–68. https://doi.org/10.2139/SSRN.3434972.</w:t>
      </w:r>
    </w:p>
    <w:p w14:paraId="78D0DB26"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Schimmel, Noam. “The UN Human Rights Council’s Universal Periodic Review As a Rhetorical Battlefield of Nations: Useful Tool or Futile Performance?” </w:t>
      </w:r>
      <w:r w:rsidRPr="00E43809">
        <w:rPr>
          <w:i/>
          <w:iCs/>
          <w:noProof/>
          <w:szCs w:val="24"/>
        </w:rPr>
        <w:t>World Affairs</w:t>
      </w:r>
      <w:r w:rsidRPr="00E43809">
        <w:rPr>
          <w:noProof/>
          <w:szCs w:val="24"/>
        </w:rPr>
        <w:t xml:space="preserve"> 186, no. 1 (November 7, 2022): 10–45. https://doi.org/10.1177/00438200221121523.</w:t>
      </w:r>
    </w:p>
    <w:p w14:paraId="7F744340"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Schmidt, Mogens. “Limits to the Restrictions to Freedom of Expression—Criteria and Application.” </w:t>
      </w:r>
      <w:r w:rsidRPr="00E43809">
        <w:rPr>
          <w:i/>
          <w:iCs/>
          <w:noProof/>
          <w:szCs w:val="24"/>
        </w:rPr>
        <w:t>Religion &amp; Human Rights</w:t>
      </w:r>
      <w:r w:rsidRPr="00E43809">
        <w:rPr>
          <w:noProof/>
          <w:szCs w:val="24"/>
        </w:rPr>
        <w:t xml:space="preserve"> 5, no. 2–3 (January 1, 2010): 147–51. https://doi.org/10.1163/187103210X528165.</w:t>
      </w:r>
    </w:p>
    <w:p w14:paraId="2A44F798"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Simiyu, Marystella Auma. “Freedom of Expression and African Elections: Mitigating the Insidious Effect of Emerging Approaches to Addressing the False News Threat.” </w:t>
      </w:r>
      <w:r w:rsidRPr="00E43809">
        <w:rPr>
          <w:i/>
          <w:iCs/>
          <w:noProof/>
          <w:szCs w:val="24"/>
        </w:rPr>
        <w:t>African Human Rights Law Journal</w:t>
      </w:r>
      <w:r w:rsidRPr="00E43809">
        <w:rPr>
          <w:noProof/>
          <w:szCs w:val="24"/>
        </w:rPr>
        <w:t xml:space="preserve"> 22, no. 1 (2022): 76–107. https://doi.org/10.17159/1996-2096/2022/v22n1a4.</w:t>
      </w:r>
    </w:p>
    <w:p w14:paraId="32DB5A1C"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Syifa Arrahman. “5 Pasal Kontroversial Yang Paling Disorot Dalam KUHP Baru.” Nu.or.id/nasional, 2022. https://nu.or.id/nasional/5-pasal-kontroversial-yang-paling-disorot-dalam-kuhp-baru-kGJyp.</w:t>
      </w:r>
    </w:p>
    <w:p w14:paraId="241CC07C"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Vese, Donato. “Governing Fake News: The Regulation of Social Media and the Right to Freedom of Expression in the Era of Emergency.” </w:t>
      </w:r>
      <w:r w:rsidRPr="00E43809">
        <w:rPr>
          <w:i/>
          <w:iCs/>
          <w:noProof/>
          <w:szCs w:val="24"/>
        </w:rPr>
        <w:t>European Journal of Risk Regulation</w:t>
      </w:r>
      <w:r w:rsidRPr="00E43809">
        <w:rPr>
          <w:noProof/>
          <w:szCs w:val="24"/>
        </w:rPr>
        <w:t xml:space="preserve"> 13, no. 3 (2022): 477–513. https://doi.org/DOI: 10.1017/err.2021.48.</w:t>
      </w:r>
    </w:p>
    <w:p w14:paraId="7E11267E"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Voorhoof, Dirk, and Hannes Cannie. “Freedom of Expression and Information in a Democratic Society.” </w:t>
      </w:r>
      <w:r w:rsidRPr="00E43809">
        <w:rPr>
          <w:i/>
          <w:iCs/>
          <w:noProof/>
          <w:szCs w:val="24"/>
        </w:rPr>
        <w:t>International Communication Gazette</w:t>
      </w:r>
      <w:r w:rsidRPr="00E43809">
        <w:rPr>
          <w:noProof/>
          <w:szCs w:val="24"/>
        </w:rPr>
        <w:t xml:space="preserve"> 72, no. 4–5 (May 18, 2010): 407–23. https://doi.org/10.1177/1748048510362711.</w:t>
      </w:r>
    </w:p>
    <w:p w14:paraId="72FE9A9E"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Willa Wahyuni. “Melihat Kembali Sederet Pasal Kontroversial KUHP Baru.” Hukumonline.com, 2023. https://www.hukumonline.com/berita/a/melihat-kembali-sederet-pasal-kontroversial-kuhp-baru-lt63ca672b7dc8d/.</w:t>
      </w:r>
    </w:p>
    <w:p w14:paraId="2C7EA080" w14:textId="77777777" w:rsidR="00E43809" w:rsidRPr="00E43809" w:rsidRDefault="00E43809" w:rsidP="00E43809">
      <w:pPr>
        <w:widowControl w:val="0"/>
        <w:autoSpaceDE w:val="0"/>
        <w:autoSpaceDN w:val="0"/>
        <w:adjustRightInd w:val="0"/>
        <w:ind w:left="480" w:hanging="480"/>
        <w:rPr>
          <w:noProof/>
          <w:szCs w:val="24"/>
        </w:rPr>
      </w:pPr>
      <w:r w:rsidRPr="00E43809">
        <w:rPr>
          <w:noProof/>
          <w:szCs w:val="24"/>
        </w:rPr>
        <w:t xml:space="preserve">Zannettou, Savvas, Michael Sirivianos, Jeremy Blackburn, and Nicolas Kourtellis. “The Web of False Information.” </w:t>
      </w:r>
      <w:r w:rsidRPr="00E43809">
        <w:rPr>
          <w:i/>
          <w:iCs/>
          <w:noProof/>
          <w:szCs w:val="24"/>
        </w:rPr>
        <w:t>Journal of Data and Information Quality (JDIQ)</w:t>
      </w:r>
      <w:r w:rsidRPr="00E43809">
        <w:rPr>
          <w:noProof/>
          <w:szCs w:val="24"/>
        </w:rPr>
        <w:t xml:space="preserve"> 11, no. 3 (May 7, 2019): 1–37. https://doi.org/10.1145/3309699.</w:t>
      </w:r>
    </w:p>
    <w:p w14:paraId="10E02725" w14:textId="77777777" w:rsidR="00E43809" w:rsidRPr="00E43809" w:rsidRDefault="00E43809" w:rsidP="00E43809">
      <w:pPr>
        <w:widowControl w:val="0"/>
        <w:autoSpaceDE w:val="0"/>
        <w:autoSpaceDN w:val="0"/>
        <w:adjustRightInd w:val="0"/>
        <w:ind w:left="480" w:hanging="480"/>
        <w:rPr>
          <w:noProof/>
        </w:rPr>
      </w:pPr>
      <w:r w:rsidRPr="00E43809">
        <w:rPr>
          <w:noProof/>
          <w:szCs w:val="24"/>
        </w:rPr>
        <w:t xml:space="preserve">Zhang, Tingting. “The Criminal Law Regulation of the Behavior of Fabricating and Deliberately Disseminating False Information of Epidemic.” </w:t>
      </w:r>
      <w:r w:rsidRPr="00E43809">
        <w:rPr>
          <w:i/>
          <w:iCs/>
          <w:noProof/>
          <w:szCs w:val="24"/>
        </w:rPr>
        <w:t>Ukrainian Policymaker</w:t>
      </w:r>
      <w:r w:rsidRPr="00E43809">
        <w:rPr>
          <w:noProof/>
          <w:szCs w:val="24"/>
        </w:rPr>
        <w:t xml:space="preserve"> 6 (2020): 104–13. https://doi.org/10.29202/up/6/10.</w:t>
      </w:r>
    </w:p>
    <w:p w14:paraId="6EAB8E35" w14:textId="42E44712" w:rsidR="00CE507B" w:rsidRPr="00CE507B" w:rsidRDefault="004E3BBC" w:rsidP="00CE507B">
      <w:pPr>
        <w:ind w:firstLine="0"/>
        <w:rPr>
          <w:b/>
          <w:bCs/>
          <w:lang w:val="en-ID" w:eastAsia="en-ID"/>
        </w:rPr>
      </w:pPr>
      <w:r>
        <w:rPr>
          <w:b/>
          <w:bCs/>
          <w:lang w:val="en-ID" w:eastAsia="en-ID"/>
        </w:rPr>
        <w:fldChar w:fldCharType="end"/>
      </w:r>
    </w:p>
    <w:sectPr w:rsidR="00CE507B" w:rsidRPr="00CE507B" w:rsidSect="00BC0BB0">
      <w:footnotePr>
        <w:numRestart w:val="eachSect"/>
      </w:footnotePr>
      <w:type w:val="continuous"/>
      <w:pgSz w:w="11906" w:h="16838"/>
      <w:pgMar w:top="1985" w:right="1418"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4F4911" w14:textId="77777777" w:rsidR="00BC0BB0" w:rsidRDefault="00BC0BB0">
      <w:pPr>
        <w:spacing w:after="0"/>
      </w:pPr>
      <w:r>
        <w:separator/>
      </w:r>
    </w:p>
  </w:endnote>
  <w:endnote w:type="continuationSeparator" w:id="0">
    <w:p w14:paraId="127BA3CB" w14:textId="77777777" w:rsidR="00BC0BB0" w:rsidRDefault="00BC0B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D22E1A" w14:textId="77777777" w:rsidR="00BC0BB0" w:rsidRDefault="00BC0BB0">
      <w:pPr>
        <w:rPr>
          <w:sz w:val="12"/>
        </w:rPr>
      </w:pPr>
      <w:r>
        <w:separator/>
      </w:r>
    </w:p>
  </w:footnote>
  <w:footnote w:type="continuationSeparator" w:id="0">
    <w:p w14:paraId="07CED962" w14:textId="77777777" w:rsidR="00BC0BB0" w:rsidRDefault="00BC0BB0">
      <w:pPr>
        <w:rPr>
          <w:sz w:val="12"/>
        </w:rPr>
      </w:pPr>
      <w:r>
        <w:continuationSeparator/>
      </w:r>
    </w:p>
  </w:footnote>
  <w:footnote w:id="1">
    <w:p w14:paraId="537B84DC" w14:textId="5433A769" w:rsidR="00E43809" w:rsidRDefault="00E43809">
      <w:pPr>
        <w:pStyle w:val="FootnoteText"/>
      </w:pPr>
      <w:r>
        <w:rPr>
          <w:rStyle w:val="FootnoteReference"/>
        </w:rPr>
        <w:footnoteRef/>
      </w:r>
      <w:r>
        <w:t xml:space="preserve"> </w:t>
      </w:r>
      <w:r>
        <w:fldChar w:fldCharType="begin" w:fldLock="1"/>
      </w:r>
      <w:r>
        <w:instrText>ADDIN CSL_CITATION {"citationItems":[{"id":"ITEM-1","itemData":{"DOI":"http://dx.doi.org/10.30641/ham.2023.14.3","author":[{"dropping-particle":"","family":"Fernando","given":"Zico Junius","non-dropping-particle":"","parse-names":false,"suffix":""},{"dropping-particle":"","family":"Wulandari","given":"Sri","non-dropping-particle":"","parse-names":false,"suffix":""},{"dropping-particle":"","family":"Putra","given":"Panca Sarjana","non-dropping-particle":"","parse-names":false,"suffix":""}],"container-title":"Jurnal HAM","id":"ITEM-1","issue":"3","issued":{"date-parts":[["2023"]]},"page":"205-216","title":"Potential Overcriminalization in Religious Offenses : A Critical Analysis of The Formulation of The New National Criminal Code (Law 1 Number 2023)","type":"article-journal","volume":"14"},"uris":["http://www.mendeley.com/documents/?uuid=8bf79675-4d34-4782-91d8-89ff7fe7310f"]}],"mendeley":{"formattedCitation":"Zico Junius Fernando, Sri Wulandari, and Panca Sarjana Putra, “Potential Overcriminalization in Religious Offenses : A Critical Analysis of The Formulation of The New National Criminal Code (Law 1 Number 2023),” &lt;i&gt;Jurnal HAM&lt;/i&gt; 14, no. 3 (2023): 205–16, https://doi.org/http://dx.doi.org/10.30641/ham.2023.14.3.","plainTextFormattedCitation":"Zico Junius Fernando, Sri Wulandari, and Panca Sarjana Putra, “Potential Overcriminalization in Religious Offenses : A Critical Analysis of The Formulation of The New National Criminal Code (Law 1 Number 2023),” Jurnal HAM 14, no. 3 (2023): 205–16, https://doi.org/http://dx.doi.org/10.30641/ham.2023.14.3.","previouslyFormattedCitation":"(Fernando et al., 2023)"},"properties":{"noteIndex":1},"schema":"https://github.com/citation-style-language/schema/raw/master/csl-citation.json"}</w:instrText>
      </w:r>
      <w:r>
        <w:fldChar w:fldCharType="separate"/>
      </w:r>
      <w:r w:rsidRPr="00E43809">
        <w:rPr>
          <w:noProof/>
        </w:rPr>
        <w:t xml:space="preserve">Zico Junius Fernando, Sri Wulandari, and Panca Sarjana Putra, “Potential Overcriminalization in Religious Offenses : A Critical Analysis of The Formulation of The New National Criminal Code (Law 1 Number 2023),” </w:t>
      </w:r>
      <w:r w:rsidRPr="00E43809">
        <w:rPr>
          <w:i/>
          <w:noProof/>
        </w:rPr>
        <w:t>Jurnal HAM</w:t>
      </w:r>
      <w:r w:rsidRPr="00E43809">
        <w:rPr>
          <w:noProof/>
        </w:rPr>
        <w:t xml:space="preserve"> 14, no. 3 (2023): 205–16, https://doi.org/http://dx.doi.org/10.30641/ham.2023.14.3.</w:t>
      </w:r>
      <w:r>
        <w:fldChar w:fldCharType="end"/>
      </w:r>
    </w:p>
  </w:footnote>
  <w:footnote w:id="2">
    <w:p w14:paraId="7996E2D2" w14:textId="77231BE3" w:rsidR="00E43809" w:rsidRDefault="00E43809">
      <w:pPr>
        <w:pStyle w:val="FootnoteText"/>
      </w:pPr>
      <w:r>
        <w:rPr>
          <w:rStyle w:val="FootnoteReference"/>
        </w:rPr>
        <w:footnoteRef/>
      </w:r>
      <w:r>
        <w:t xml:space="preserve"> </w:t>
      </w:r>
      <w:r>
        <w:fldChar w:fldCharType="begin" w:fldLock="1"/>
      </w:r>
      <w:r>
        <w:instrText>ADDIN CSL_CITATION {"citationItems":[{"id":"ITEM-1","itemData":{"URL":"https://nasional.kompas.com/read/2022/07/05/01500051/sejarah-kuhp-dan-perjalanan-menuju-kuhp-baru","accessed":{"date-parts":[["2023","1","20"]]},"author":[{"dropping-particle":"","family":"Issan Harruma","given":"","non-dropping-particle":"","parse-names":false,"suffix":""}],"container-title":"Nasional.kompas.com","id":"ITEM-1","issued":{"date-parts":[["2022"]]},"title":"Sejarah KUHP dan Perjalanan Menuju KUHP Baru","type":"webpage"},"uris":["http://www.mendeley.com/documents/?uuid=252cfbae-2a16-3242-8217-c8e11e575390"]}],"mendeley":{"formattedCitation":"Issan Harruma, “Sejarah KUHP Dan Perjalanan Menuju KUHP Baru,” Nasional.kompas.com, 2022, https://nasional.kompas.com/read/2022/07/05/01500051/sejarah-kuhp-dan-perjalanan-menuju-kuhp-baru.","plainTextFormattedCitation":"Issan Harruma, “Sejarah KUHP Dan Perjalanan Menuju KUHP Baru,” Nasional.kompas.com, 2022, https://nasional.kompas.com/read/2022/07/05/01500051/sejarah-kuhp-dan-perjalanan-menuju-kuhp-baru.","previouslyFormattedCitation":"(Issan Harruma, 2022)"},"properties":{"noteIndex":2},"schema":"https://github.com/citation-style-language/schema/raw/master/csl-citation.json"}</w:instrText>
      </w:r>
      <w:r>
        <w:fldChar w:fldCharType="separate"/>
      </w:r>
      <w:r w:rsidRPr="00E43809">
        <w:rPr>
          <w:noProof/>
        </w:rPr>
        <w:t>Issan Harruma, “Sejarah KUHP Dan Perjalanan Menuju KUHP Baru,” Nasional.kompas.com, 2022, https://nasional.kompas.com/read/2022/07/05/01500051/sejarah-kuhp-dan-perjalanan-menuju-kuhp-baru.</w:t>
      </w:r>
      <w:r>
        <w:fldChar w:fldCharType="end"/>
      </w:r>
    </w:p>
  </w:footnote>
  <w:footnote w:id="3">
    <w:p w14:paraId="6E940241" w14:textId="0B7D0989" w:rsidR="00E43809" w:rsidRDefault="00E43809">
      <w:pPr>
        <w:pStyle w:val="FootnoteText"/>
      </w:pPr>
      <w:r>
        <w:rPr>
          <w:rStyle w:val="FootnoteReference"/>
        </w:rPr>
        <w:footnoteRef/>
      </w:r>
      <w:r>
        <w:t xml:space="preserve"> </w:t>
      </w:r>
      <w:r>
        <w:fldChar w:fldCharType="begin" w:fldLock="1"/>
      </w:r>
      <w:r>
        <w:instrText>ADDIN CSL_CITATION {"citationItems":[{"id":"ITEM-1","itemData":{"DOI":"10.1080/10383441.2023.2243772","ISSN":"18394205","abstract":"In late 2022, Indonesia’s national parliament enacted a new Criminal Code, which replaced a 1918 Code introduced during Dutch colonial rule. Some provisions–such as those covering the death penalty, corporate liability and criminal settlements–have been relatively well received by reformists. But many other provisions have been widely and strongly criticised. While the Code claims to democratise, decolonise and consolidate Indonesian criminal law, this article demonstrates that it has achieved the opposite. It undermines democracy by seriously hampering free speech, including legitimate criticism of government officeholders and institutions. It reinstates offences imposed during the Dutch colonial era that were used against Indonesian nationalists pushing for independence, including Indonesia’s first president, Soekarno. And, far from bringing together Indonesia’s disparate regulatory sources of criminal law, the Code adds another layer of law to existing sui generis criminal statutes, which largely remain in effect. Worse, the new Code imposes conservative religious-based values allowing the state to interfere in citizens’ private sexual lives. The Code also appears to encourage subnational lawmakers to give effect to localised customary norms of criminal law, which might reflect even more conservative values and result in the prohibition of various expressions of sexuality, including homosexuality.","author":[{"dropping-particle":"","family":"Butt","given":"Simon","non-dropping-particle":"","parse-names":false,"suffix":""}],"container-title":"Griffith Law Review","id":"ITEM-1","issue":"2","issued":{"date-parts":[["2023"]]},"page":"190-214","title":"Indonesia’s New Criminal Code: Indigenising and Democratising Indonesian Criminal Law?","type":"article-journal","volume":"32"},"uris":["http://www.mendeley.com/documents/?uuid=3717b967-f662-4322-9774-20392a9a3210"]}],"mendeley":{"formattedCitation":"Simon Butt, “Indonesia’s New Criminal Code: Indigenising and Democratising Indonesian Criminal Law?,” &lt;i&gt;Griffith Law Review&lt;/i&gt; 32, no. 2 (2023): 190–214, https://doi.org/10.1080/10383441.2023.2243772.","plainTextFormattedCitation":"Simon Butt, “Indonesia’s New Criminal Code: Indigenising and Democratising Indonesian Criminal Law?,” Griffith Law Review 32, no. 2 (2023): 190–214, https://doi.org/10.1080/10383441.2023.2243772.","previouslyFormattedCitation":"(Butt, 2023)"},"properties":{"noteIndex":3},"schema":"https://github.com/citation-style-language/schema/raw/master/csl-citation.json"}</w:instrText>
      </w:r>
      <w:r>
        <w:fldChar w:fldCharType="separate"/>
      </w:r>
      <w:r w:rsidRPr="00E43809">
        <w:rPr>
          <w:noProof/>
        </w:rPr>
        <w:t xml:space="preserve">Simon Butt, “Indonesia’s New Criminal Code: Indigenising and Democratising Indonesian Criminal Law?,” </w:t>
      </w:r>
      <w:r w:rsidRPr="00E43809">
        <w:rPr>
          <w:i/>
          <w:noProof/>
        </w:rPr>
        <w:t>Griffith Law Review</w:t>
      </w:r>
      <w:r w:rsidRPr="00E43809">
        <w:rPr>
          <w:noProof/>
        </w:rPr>
        <w:t xml:space="preserve"> 32, no. 2 (2023): 190–214, https://doi.org/10.1080/10383441.2023.2243772.</w:t>
      </w:r>
      <w:r>
        <w:fldChar w:fldCharType="end"/>
      </w:r>
    </w:p>
  </w:footnote>
  <w:footnote w:id="4">
    <w:p w14:paraId="4E64A54F" w14:textId="04DCBD7F" w:rsidR="00E43809" w:rsidRDefault="00E43809">
      <w:pPr>
        <w:pStyle w:val="FootnoteText"/>
      </w:pPr>
      <w:r>
        <w:rPr>
          <w:rStyle w:val="FootnoteReference"/>
        </w:rPr>
        <w:footnoteRef/>
      </w:r>
      <w:r>
        <w:t xml:space="preserve"> </w:t>
      </w:r>
      <w:r>
        <w:fldChar w:fldCharType="begin" w:fldLock="1"/>
      </w:r>
      <w:r>
        <w:instrText>ADDIN CSL_CITATION {"citationItems":[{"id":"ITEM-1","itemData":{"URL":"https://tirto.id/apa-isi-rkuhp-kenapa-ditolak-dan-daftar-pasal-kontroversial-gzt6","accessed":{"date-parts":[["2024","2","13"]]},"author":[{"dropping-particle":"","family":"Putsanra","given":"Dipna Videlia","non-dropping-particle":"","parse-names":false,"suffix":""}],"container-title":"tirto.id","id":"ITEM-1","issued":{"date-parts":[["2022"]]},"title":"Apa Isi RKUHP, Kenapa Ditolak, dan Daftar Pasal Kontroversial","type":"webpage"},"uris":["http://www.mendeley.com/documents/?uuid=036042bc-d71c-3c05-98e8-5696fdde9433"]}],"mendeley":{"formattedCitation":"Dipna Videlia Putsanra, “Apa Isi RKUHP, Kenapa Ditolak, Dan Daftar Pasal Kontroversial,” tirto.id, 2022, https://tirto.id/apa-isi-rkuhp-kenapa-ditolak-dan-daftar-pasal-kontroversial-gzt6.","plainTextFormattedCitation":"Dipna Videlia Putsanra, “Apa Isi RKUHP, Kenapa Ditolak, Dan Daftar Pasal Kontroversial,” tirto.id, 2022, https://tirto.id/apa-isi-rkuhp-kenapa-ditolak-dan-daftar-pasal-kontroversial-gzt6.","previouslyFormattedCitation":"(Putsanra, 2022)"},"properties":{"noteIndex":4},"schema":"https://github.com/citation-style-language/schema/raw/master/csl-citation.json"}</w:instrText>
      </w:r>
      <w:r>
        <w:fldChar w:fldCharType="separate"/>
      </w:r>
      <w:r w:rsidRPr="00E43809">
        <w:rPr>
          <w:noProof/>
        </w:rPr>
        <w:t>Dipna Videlia Putsanra, “Apa Isi RKUHP, Kenapa Ditolak, Dan Daftar Pasal Kontroversial,” tirto.id, 2022, https://tirto.id/apa-isi-rkuhp-kenapa-ditolak-dan-daftar-pasal-kontroversial-gzt6.</w:t>
      </w:r>
      <w:r>
        <w:fldChar w:fldCharType="end"/>
      </w:r>
    </w:p>
  </w:footnote>
  <w:footnote w:id="5">
    <w:p w14:paraId="487BC5EC" w14:textId="51AF6DAA" w:rsidR="00E43809" w:rsidRDefault="00E43809">
      <w:pPr>
        <w:pStyle w:val="FootnoteText"/>
      </w:pPr>
      <w:r>
        <w:rPr>
          <w:rStyle w:val="FootnoteReference"/>
        </w:rPr>
        <w:footnoteRef/>
      </w:r>
      <w:r>
        <w:t xml:space="preserve"> </w:t>
      </w:r>
      <w:r>
        <w:fldChar w:fldCharType="begin" w:fldLock="1"/>
      </w:r>
      <w:r>
        <w:instrText>ADDIN CSL_CITATION {"citationItems":[{"id":"ITEM-1","itemData":{"URL":"https://www.hukumonline.com/berita/a/melihat-kembali-sederet-pasal-kontroversial-kuhp-baru-lt63ca672b7dc8d/","accessed":{"date-parts":[["2024","2","7"]]},"author":[{"dropping-particle":"","family":"Willa Wahyuni","given":"","non-dropping-particle":"","parse-names":false,"suffix":""}],"container-title":"Hukumonline.com","id":"ITEM-1","issued":{"date-parts":[["2023"]]},"title":"Melihat Kembali Sederet Pasal Kontroversial KUHP Baru","type":"webpage"},"uris":["http://www.mendeley.com/documents/?uuid=f1239716-e0a7-31a6-a268-a9df193d5abf"]}],"mendeley":{"formattedCitation":"Willa Wahyuni, “Melihat Kembali Sederet Pasal Kontroversial KUHP Baru,” Hukumonline.com, 2023, https://www.hukumonline.com/berita/a/melihat-kembali-sederet-pasal-kontroversial-kuhp-baru-lt63ca672b7dc8d/.","plainTextFormattedCitation":"Willa Wahyuni, “Melihat Kembali Sederet Pasal Kontroversial KUHP Baru,” Hukumonline.com, 2023, https://www.hukumonline.com/berita/a/melihat-kembali-sederet-pasal-kontroversial-kuhp-baru-lt63ca672b7dc8d/.","previouslyFormattedCitation":"(Willa Wahyuni, 2023)"},"properties":{"noteIndex":5},"schema":"https://github.com/citation-style-language/schema/raw/master/csl-citation.json"}</w:instrText>
      </w:r>
      <w:r>
        <w:fldChar w:fldCharType="separate"/>
      </w:r>
      <w:r w:rsidRPr="00E43809">
        <w:rPr>
          <w:noProof/>
        </w:rPr>
        <w:t>Willa Wahyuni, “Melihat Kembali Sederet Pasal Kontroversial KUHP Baru,” Hukumonline.com, 2023, https://www.hukumonline.com/berita/a/melihat-kembali-sederet-pasal-kontroversial-kuhp-baru-lt63ca672b7dc8d/.</w:t>
      </w:r>
      <w:r>
        <w:fldChar w:fldCharType="end"/>
      </w:r>
    </w:p>
  </w:footnote>
  <w:footnote w:id="6">
    <w:p w14:paraId="384F8080" w14:textId="665AD4E4" w:rsidR="00E43809" w:rsidRDefault="00E43809">
      <w:pPr>
        <w:pStyle w:val="FootnoteText"/>
      </w:pPr>
      <w:r>
        <w:rPr>
          <w:rStyle w:val="FootnoteReference"/>
        </w:rPr>
        <w:footnoteRef/>
      </w:r>
      <w:r>
        <w:t xml:space="preserve"> </w:t>
      </w:r>
      <w:r>
        <w:fldChar w:fldCharType="begin" w:fldLock="1"/>
      </w:r>
      <w:r>
        <w:instrText>ADDIN CSL_CITATION {"citationItems":[{"id":"ITEM-1","itemData":{"DOI":"10.1109/CCAA.2018.8777676","ISBN":"2642-7354 VO  -","author":[{"dropping-particle":"","family":"Rana","given":"D P","non-dropping-particle":"","parse-names":false,"suffix":""},{"dropping-particle":"","family":"Agarwal","given":"I","non-dropping-particle":"","parse-names":false,"suffix":""},{"dropping-particle":"","family":"More","given":"A","non-dropping-particle":"","parse-names":false,"suffix":""}],"container-title":"2018 4th International Conference on Computing Communication and Automation (ICCCA)","id":"ITEM-1","issued":{"date-parts":[["2018"]]},"page":"1-7","title":"A Review of Techniques to Combat The Peril of Fake News","type":"paper-conference"},"uris":["http://www.mendeley.com/documents/?uuid=fcf8722d-6312-46d6-8122-0bf7a81d384c"]}],"mendeley":{"formattedCitation":"D P Rana, I Agarwal, and A More, “A Review of Techniques to Combat The Peril of Fake News,” in &lt;i&gt;2018 4th International Conference on Computing Communication and Automation (ICCCA)&lt;/i&gt;, 2018, 1–7, https://doi.org/10.1109/CCAA.2018.8777676.","plainTextFormattedCitation":"D P Rana, I Agarwal, and A More, “A Review of Techniques to Combat The Peril of Fake News,” in 2018 4th International Conference on Computing Communication and Automation (ICCCA), 2018, 1–7, https://doi.org/10.1109/CCAA.2018.8777676.","previouslyFormattedCitation":"(Rana et al., 2018)"},"properties":{"noteIndex":6},"schema":"https://github.com/citation-style-language/schema/raw/master/csl-citation.json"}</w:instrText>
      </w:r>
      <w:r>
        <w:fldChar w:fldCharType="separate"/>
      </w:r>
      <w:r w:rsidRPr="00E43809">
        <w:rPr>
          <w:noProof/>
        </w:rPr>
        <w:t xml:space="preserve">D P Rana, I Agarwal, and A More, “A Review of Techniques to Combat The Peril of Fake News,” in </w:t>
      </w:r>
      <w:r w:rsidRPr="00E43809">
        <w:rPr>
          <w:i/>
          <w:noProof/>
        </w:rPr>
        <w:t>2018 4th International Conference on Computing Communication and Automation (ICCCA)</w:t>
      </w:r>
      <w:r w:rsidRPr="00E43809">
        <w:rPr>
          <w:noProof/>
        </w:rPr>
        <w:t>, 2018, 1–7, https://doi.org/10.1109/CCAA.2018.8777676.</w:t>
      </w:r>
      <w:r>
        <w:fldChar w:fldCharType="end"/>
      </w:r>
    </w:p>
  </w:footnote>
  <w:footnote w:id="7">
    <w:p w14:paraId="7C9935C2" w14:textId="57B86B3D" w:rsidR="00E43809" w:rsidRDefault="00E43809">
      <w:pPr>
        <w:pStyle w:val="FootnoteText"/>
      </w:pPr>
      <w:r>
        <w:rPr>
          <w:rStyle w:val="FootnoteReference"/>
        </w:rPr>
        <w:footnoteRef/>
      </w:r>
      <w:r>
        <w:t xml:space="preserve"> </w:t>
      </w:r>
      <w:r>
        <w:fldChar w:fldCharType="begin" w:fldLock="1"/>
      </w:r>
      <w:r>
        <w:instrText>ADDIN CSL_CITATION {"citationItems":[{"id":"ITEM-1","itemData":{"DOI":"10.37275/OAIJSS.V6I3.161","ISSN":"2722-4252","abstract":"challenge faced in the digital era. The spread of fake news can have detrimental effects, such as disrupting public opinion, influencing democratic processes, creating social chaos, and damaging the reputation of individuals or organizations. The main causes for the emergence of fake news include technological factors, political motivation, economic gain, ignorance or lack of media literacy, and psychological factors such as the need for validation or sensation. Advances in technology and social media have accelerated the spread of fake news and complicated efforts to contain it. It is important to tackle the fake news phenomenon with a holistic approach. This involves the active role of individuals, news organizations, journalists, social media platforms, government agencies, and society as a whole. Increasing media literacy, accurate verification of facts, ethical journalism, cooperation with social media platforms, proper regulation, and prompt response to fake news are important steps in dealing with this phenomenon. The impact of fake news is very detrimental and can disrupt social stability, public trust, and information integrity. Therefore, collective efforts and awareness of the importance of fighting fake news are very important in building a healthy and trustworthy mass communication environment.","author":[{"dropping-particle":"","family":"M","given":"Deddy Satria","non-dropping-particle":"","parse-names":false,"suffix":""},{"dropping-particle":"","family":"Hairunnisa","given":"","non-dropping-particle":"","parse-names":false,"suffix":""}],"container-title":"Open Access Indonesia Journal of Social Sciences","id":"ITEM-1","issue":"3","issued":{"date-parts":[["2023","5","25"]]},"page":"980-988","publisher":"HM Publisher","title":"The Phenomenon of Fake News (Hoax) in Mass Communication: Causes, Impacts, and Solutions","type":"article-journal","volume":"6"},"uris":["http://www.mendeley.com/documents/?uuid=654167ae-8605-301a-b7cd-7bc3dac89ee7"]}],"mendeley":{"formattedCitation":"Deddy Satria M and Hairunnisa, “The Phenomenon of Fake News (Hoax) in Mass Communication: Causes, Impacts, and Solutions,” &lt;i&gt;Open Access Indonesia Journal of Social Sciences&lt;/i&gt; 6, no. 3 (May 25, 2023): 980–88, https://doi.org/10.37275/OAIJSS.V6I3.161.","plainTextFormattedCitation":"Deddy Satria M and Hairunnisa, “The Phenomenon of Fake News (Hoax) in Mass Communication: Causes, Impacts, and Solutions,” Open Access Indonesia Journal of Social Sciences 6, no. 3 (May 25, 2023): 980–88, https://doi.org/10.37275/OAIJSS.V6I3.161.","previouslyFormattedCitation":"(M &amp; Hairunnisa, 2023)"},"properties":{"noteIndex":7},"schema":"https://github.com/citation-style-language/schema/raw/master/csl-citation.json"}</w:instrText>
      </w:r>
      <w:r>
        <w:fldChar w:fldCharType="separate"/>
      </w:r>
      <w:r w:rsidRPr="00E43809">
        <w:rPr>
          <w:noProof/>
        </w:rPr>
        <w:t xml:space="preserve">Deddy Satria M and Hairunnisa, “The Phenomenon of Fake News (Hoax) in Mass Communication: Causes, Impacts, and Solutions,” </w:t>
      </w:r>
      <w:r w:rsidRPr="00E43809">
        <w:rPr>
          <w:i/>
          <w:noProof/>
        </w:rPr>
        <w:t>Open Access Indonesia Journal of Social Sciences</w:t>
      </w:r>
      <w:r w:rsidRPr="00E43809">
        <w:rPr>
          <w:noProof/>
        </w:rPr>
        <w:t xml:space="preserve"> 6, no. 3 (May 25, 2023): 980–88, https://doi.org/10.37275/OAIJSS.V6I3.161.</w:t>
      </w:r>
      <w:r>
        <w:fldChar w:fldCharType="end"/>
      </w:r>
    </w:p>
  </w:footnote>
  <w:footnote w:id="8">
    <w:p w14:paraId="407A9609" w14:textId="65DA6D8C" w:rsidR="00E43809" w:rsidRDefault="00E43809">
      <w:pPr>
        <w:pStyle w:val="FootnoteText"/>
      </w:pPr>
      <w:r>
        <w:rPr>
          <w:rStyle w:val="FootnoteReference"/>
        </w:rPr>
        <w:footnoteRef/>
      </w:r>
      <w:r>
        <w:t xml:space="preserve"> </w:t>
      </w:r>
      <w:r>
        <w:fldChar w:fldCharType="begin" w:fldLock="1"/>
      </w:r>
      <w:r>
        <w:instrText>ADDIN CSL_CITATION {"citationItems":[{"id":"ITEM-1","itemData":{"DOI":"10.1145/3309699","ISSN":"19361963","abstract":"A new era of Information Warfare has arrived. Various actors, including state-sponsored ones, are weaponizing information on Online Social Networks to run false-information campaigns with targeted ...","author":[{"dropping-particle":"","family":"Zannettou","given":"Savvas","non-dropping-particle":"","parse-names":false,"suffix":""},{"dropping-particle":"","family":"Sirivianos","given":"Michael","non-dropping-particle":"","parse-names":false,"suffix":""},{"dropping-particle":"","family":"Blackburn","given":"Jeremy","non-dropping-particle":"","parse-names":false,"suffix":""},{"dropping-particle":"","family":"Kourtellis","given":"Nicolas","non-dropping-particle":"","parse-names":false,"suffix":""}],"container-title":"Journal of Data and Information Quality (JDIQ)","id":"ITEM-1","issue":"3","issued":{"date-parts":[["2019","5","7"]]},"page":"1-37","publisher":"ACM PUB27 New York, NY, USA","title":"The Web of False Information","type":"article-journal","volume":"11"},"uris":["http://www.mendeley.com/documents/?uuid=41a67cc6-9fed-325a-9796-624a8d9ab251"]}],"mendeley":{"formattedCitation":"Savvas Zannettou et al., “The Web of False Information,” &lt;i&gt;Journal of Data and Information Quality (JDIQ)&lt;/i&gt; 11, no. 3 (May 7, 2019): 1–37, https://doi.org/10.1145/3309699.","plainTextFormattedCitation":"Savvas Zannettou et al., “The Web of False Information,” Journal of Data and Information Quality (JDIQ) 11, no. 3 (May 7, 2019): 1–37, https://doi.org/10.1145/3309699.","previouslyFormattedCitation":"(Zannettou et al., 2019)"},"properties":{"noteIndex":8},"schema":"https://github.com/citation-style-language/schema/raw/master/csl-citation.json"}</w:instrText>
      </w:r>
      <w:r>
        <w:fldChar w:fldCharType="separate"/>
      </w:r>
      <w:r w:rsidRPr="00E43809">
        <w:rPr>
          <w:noProof/>
        </w:rPr>
        <w:t xml:space="preserve">Savvas Zannettou et al., “The Web of False Information,” </w:t>
      </w:r>
      <w:r w:rsidRPr="00E43809">
        <w:rPr>
          <w:i/>
          <w:noProof/>
        </w:rPr>
        <w:t>Journal of Data and Information Quality (JDIQ)</w:t>
      </w:r>
      <w:r w:rsidRPr="00E43809">
        <w:rPr>
          <w:noProof/>
        </w:rPr>
        <w:t xml:space="preserve"> 11, no. 3 (May 7, 2019): 1–37, https://doi.org/10.1145/3309699.</w:t>
      </w:r>
      <w:r>
        <w:fldChar w:fldCharType="end"/>
      </w:r>
    </w:p>
  </w:footnote>
  <w:footnote w:id="9">
    <w:p w14:paraId="0997B00B" w14:textId="424A24D3" w:rsidR="00E43809" w:rsidRDefault="00E43809">
      <w:pPr>
        <w:pStyle w:val="FootnoteText"/>
      </w:pPr>
      <w:r>
        <w:rPr>
          <w:rStyle w:val="FootnoteReference"/>
        </w:rPr>
        <w:footnoteRef/>
      </w:r>
      <w:r>
        <w:t xml:space="preserve"> </w:t>
      </w:r>
      <w:r>
        <w:fldChar w:fldCharType="begin" w:fldLock="1"/>
      </w:r>
      <w:r>
        <w:instrText>ADDIN CSL_CITATION {"citationItems":[{"id":"ITEM-1","itemData":{"DOI":"10.1007/s42438-019-00072-9","ISSN":"2524-4868","abstract":"The new media environment, through multitudinous entanglements with processes of digitization and commodification, has contributed to the formation of extreme distrust in media and institutions in advanced democracies, and fluctuations in trust relations worldwide, according to Pew Research and Gallup polling. Resulting from threats of fake news, the overabundance of information, and intentional misguidance by bad actors, individuals find it increasingly difficult to evaluate information and make informed decisions. Ideally, in democracies, institutions help foster trust between citizens and information sources by encouraging trustworthy institutions that are responsible to citizens, since trust is so fundamental to a functional democracy. This paper draws a link between trust, which is crucial to democracy, and media and information literacy (MIL), which empowers democratic principles, to suggest how the implicit reciprocity and negotiability of trust relations can be seized to advance democratization through a media and information literacy policy framework. Using the UNESCO Media and Information Literacy Policy and Strategy Guideline as a reference, this paper builds an approach to show how, through the negotiability of trust, MIL and the democratizing principle of civic agency might be concurrently advanced and mutually reinforcing by educating a citizenry more literate about media and information systems and generating democratic institutional change concurrent with greater trust between actors.","author":[{"dropping-particle":"","family":"Khan","given":"Sadia","non-dropping-particle":"","parse-names":false,"suffix":""}],"container-title":"Postdigital Science and Education","id":"ITEM-1","issue":"1","issued":{"date-parts":[["2020"]]},"page":"170-183","title":"Negotiating (dis)Trust to Advance Democracy through Media and Information Literacy","type":"article-journal","volume":"2"},"uris":["http://www.mendeley.com/documents/?uuid=3bb655f6-fe6f-4a61-9429-efe4af466fd1"]}],"mendeley":{"formattedCitation":"Sadia Khan, “Negotiating (Dis)Trust to Advance Democracy through Media and Information Literacy,” &lt;i&gt;Postdigital Science and Education&lt;/i&gt; 2, no. 1 (2020): 170–83, https://doi.org/10.1007/s42438-019-00072-9.","plainTextFormattedCitation":"Sadia Khan, “Negotiating (Dis)Trust to Advance Democracy through Media and Information Literacy,” Postdigital Science and Education 2, no. 1 (2020): 170–83, https://doi.org/10.1007/s42438-019-00072-9.","previouslyFormattedCitation":"(Khan, 2020)"},"properties":{"noteIndex":9},"schema":"https://github.com/citation-style-language/schema/raw/master/csl-citation.json"}</w:instrText>
      </w:r>
      <w:r>
        <w:fldChar w:fldCharType="separate"/>
      </w:r>
      <w:r w:rsidRPr="00E43809">
        <w:rPr>
          <w:noProof/>
        </w:rPr>
        <w:t xml:space="preserve">Sadia Khan, “Negotiating (Dis)Trust to Advance Democracy through Media and Information Literacy,” </w:t>
      </w:r>
      <w:r w:rsidRPr="00E43809">
        <w:rPr>
          <w:i/>
          <w:noProof/>
        </w:rPr>
        <w:t>Postdigital Science and Education</w:t>
      </w:r>
      <w:r w:rsidRPr="00E43809">
        <w:rPr>
          <w:noProof/>
        </w:rPr>
        <w:t xml:space="preserve"> 2, no. 1 (2020): 170–83, https://doi.org/10.1007/s42438-019-00072-9.</w:t>
      </w:r>
      <w:r>
        <w:fldChar w:fldCharType="end"/>
      </w:r>
    </w:p>
  </w:footnote>
  <w:footnote w:id="10">
    <w:p w14:paraId="6E5F6A4C" w14:textId="603E07E5" w:rsidR="00E43809" w:rsidRDefault="00E43809">
      <w:pPr>
        <w:pStyle w:val="FootnoteText"/>
      </w:pPr>
      <w:r>
        <w:rPr>
          <w:rStyle w:val="FootnoteReference"/>
        </w:rPr>
        <w:footnoteRef/>
      </w:r>
      <w:r>
        <w:t xml:space="preserve"> </w:t>
      </w:r>
      <w:r>
        <w:fldChar w:fldCharType="begin" w:fldLock="1"/>
      </w:r>
      <w:r>
        <w:instrText>ADDIN CSL_CITATION {"citationItems":[{"id":"ITEM-1","itemData":{"DOI":"10.12775/CLR.2021.005","ISSN":"0866-9449","abstract":"In a democratic society, the criminalisation of spreading disinformation is deemed a violation of freedom of expression. The development of information and communication technology, specifically the Internet, has changed people's perceptions of both disinformation and freedom of expression. This research critically analyses criminal law intervention against disinformation and freedom of expression in Indonesia. The research is document research using a comparative approach that analyses laws and regulations on disinformation in Indonesia, Germany, and Singapore. For Indonesian law, this research focuses on the provision of Articles 14 and 15 of Law No. 1/1946, which criminalises disinformation in the public sphere. This research shows that Indonesia needs a new approach regarding the criminal prohibition of spreading disinformation. It recommends that criminal law intervention is limited only to disinformation that is spread on a massive scale and causes significant harm.","author":[{"dropping-particle":"","family":"Prahassacitta","given":"Vidya","non-dropping-particle":"","parse-names":false,"suffix":""},{"dropping-particle":"","family":"Harkrisnowo","given":"Harkristuti","non-dropping-particle":"","parse-names":false,"suffix":""}],"container-title":"Comparative Law Review","id":"ITEM-1","issued":{"date-parts":[["2021","12","22"]]},"page":"135-165","publisher":"Nicolaus Copernicus University","title":"Criminal Disinformation in Relation to the Freedom of Expression in Indonesia: A Critical Study","type":"article-journal","volume":"27"},"uris":["http://www.mendeley.com/documents/?uuid=70a5613b-eafd-3a6d-87e5-2fc9513ebd34"]}],"mendeley":{"formattedCitation":"Vidya Prahassacitta and Harkristuti Harkrisnowo, “Criminal Disinformation in Relation to the Freedom of Expression in Indonesia: A Critical Study,” &lt;i&gt;Comparative Law Review&lt;/i&gt; 27 (December 22, 2021): 135–65, https://doi.org/10.12775/CLR.2021.005.","plainTextFormattedCitation":"Vidya Prahassacitta and Harkristuti Harkrisnowo, “Criminal Disinformation in Relation to the Freedom of Expression in Indonesia: A Critical Study,” Comparative Law Review 27 (December 22, 2021): 135–65, https://doi.org/10.12775/CLR.2021.005.","previouslyFormattedCitation":"(Prahassacitta &amp; Harkrisnowo, 2021)"},"properties":{"noteIndex":10},"schema":"https://github.com/citation-style-language/schema/raw/master/csl-citation.json"}</w:instrText>
      </w:r>
      <w:r>
        <w:fldChar w:fldCharType="separate"/>
      </w:r>
      <w:r w:rsidRPr="00E43809">
        <w:rPr>
          <w:noProof/>
        </w:rPr>
        <w:t xml:space="preserve">Vidya Prahassacitta and Harkristuti Harkrisnowo, “Criminal Disinformation in Relation to the Freedom of Expression in Indonesia: A Critical Study,” </w:t>
      </w:r>
      <w:r w:rsidRPr="00E43809">
        <w:rPr>
          <w:i/>
          <w:noProof/>
        </w:rPr>
        <w:t>Comparative Law Review</w:t>
      </w:r>
      <w:r w:rsidRPr="00E43809">
        <w:rPr>
          <w:noProof/>
        </w:rPr>
        <w:t xml:space="preserve"> 27 (December 22, 2021): 135–65, https://doi.org/10.12775/CLR.2021.005.</w:t>
      </w:r>
      <w:r>
        <w:fldChar w:fldCharType="end"/>
      </w:r>
    </w:p>
  </w:footnote>
  <w:footnote w:id="11">
    <w:p w14:paraId="0C4DD922" w14:textId="1D87DA25" w:rsidR="00E43809" w:rsidRDefault="00E43809">
      <w:pPr>
        <w:pStyle w:val="FootnoteText"/>
      </w:pPr>
      <w:r>
        <w:rPr>
          <w:rStyle w:val="FootnoteReference"/>
        </w:rPr>
        <w:footnoteRef/>
      </w:r>
      <w:r>
        <w:t xml:space="preserve"> </w:t>
      </w:r>
      <w:r>
        <w:fldChar w:fldCharType="begin" w:fldLock="1"/>
      </w:r>
      <w:r>
        <w:instrText>ADDIN CSL_CITATION {"citationItems":[{"id":"ITEM-1","itemData":{"DOI":"10.1145/3411763.3441345","ISBN":"9781450380959","abstract":"As a wicked problem, limiting the harm caused by misinformation requires merging multiple perspectives to the design of digital interventions, including an understanding of human behaviour and motivations in judging and promoting false information, as well as strategies to detect and stop its propagation without unduly infringing on rights or freedoms of expression. Tools and online services are continuously being developed to support different stakeholders in this battle, such as social media users, journalists, and policymakers. As our studies have demonstrated, the expected impact of online solutions is hampered by limitations associated with lack of explainability, complex user interface, limited datasets, restricted accessibility, biased algorithms, among others factors that can confuse, overwhelm, or mislead users in their own ways. These ethical implications are typically neglected when new digital solutions to tackle misinformation are conceived. This hands-on workshop proposes to unpack the state-of-the-art on social, societal and political studies and socio-technical solutions to stop mis-information, challenging the participants to first critically reflect upon limitations of existing approaches, to then co-create a future with integrating perspectives focusing on ethical aspects and societal impact.","author":[{"dropping-particle":"","family":"Piccolo","given":"Lara S.G.","non-dropping-particle":"","parse-names":false,"suffix":""},{"dropping-particle":"","family":"Bertel","given":"Diotima","non-dropping-particle":"","parse-names":false,"suffix":""},{"dropping-particle":"","family":"Farrell","given":"Tracie","non-dropping-particle":"","parse-names":false,"suffix":""},{"dropping-particle":"","family":"Troullinou","given":"Pinelopi","non-dropping-particle":"","parse-names":false,"suffix":""}],"container-title":"Conference on Human Factors in Computing Systems - Proceedings","id":"ITEM-1","issued":{"date-parts":[["2021","5","8"]]},"page":"1-5","publisher":"Association for Computing Machinery","title":"Opinions, Intentions, Freedom of Expression, ... , and Other Human Aspects of Misinformation Online","type":"paper-conference"},"uris":["http://www.mendeley.com/documents/?uuid=66c0b53e-1986-37f7-885b-d9f114a0cd29"]}],"mendeley":{"formattedCitation":"Lara S.G. Piccolo et al., “Opinions, Intentions, Freedom of Expression, ... , and Other Human Aspects of Misinformation Online,” in &lt;i&gt;Conference on Human Factors in Computing Systems - Proceedings&lt;/i&gt; (Association for Computing Machinery, 2021), 1–5, https://doi.org/10.1145/3411763.3441345.","plainTextFormattedCitation":"Lara S.G. Piccolo et al., “Opinions, Intentions, Freedom of Expression, ... , and Other Human Aspects of Misinformation Online,” in Conference on Human Factors in Computing Systems - Proceedings (Association for Computing Machinery, 2021), 1–5, https://doi.org/10.1145/3411763.3441345.","previouslyFormattedCitation":"(Piccolo et al., 2021)"},"properties":{"noteIndex":11},"schema":"https://github.com/citation-style-language/schema/raw/master/csl-citation.json"}</w:instrText>
      </w:r>
      <w:r>
        <w:fldChar w:fldCharType="separate"/>
      </w:r>
      <w:r w:rsidRPr="00E43809">
        <w:rPr>
          <w:noProof/>
        </w:rPr>
        <w:t xml:space="preserve">Lara S.G. Piccolo et al., “Opinions, Intentions, Freedom of Expression, ... , and Other Human Aspects of Misinformation Online,” in </w:t>
      </w:r>
      <w:r w:rsidRPr="00E43809">
        <w:rPr>
          <w:i/>
          <w:noProof/>
        </w:rPr>
        <w:t>Conference on Human Factors in Computing Systems - Proceedings</w:t>
      </w:r>
      <w:r w:rsidRPr="00E43809">
        <w:rPr>
          <w:noProof/>
        </w:rPr>
        <w:t xml:space="preserve"> (Association for Computing Machinery, 2021), 1–5, https://doi.org/10.1145/3411763.3441345.</w:t>
      </w:r>
      <w:r>
        <w:fldChar w:fldCharType="end"/>
      </w:r>
    </w:p>
  </w:footnote>
  <w:footnote w:id="12">
    <w:p w14:paraId="584571CF" w14:textId="14E0B4ED" w:rsidR="00E43809" w:rsidRDefault="00E43809">
      <w:pPr>
        <w:pStyle w:val="FootnoteText"/>
      </w:pPr>
      <w:r>
        <w:rPr>
          <w:rStyle w:val="FootnoteReference"/>
        </w:rPr>
        <w:footnoteRef/>
      </w:r>
      <w:r>
        <w:t xml:space="preserve"> </w:t>
      </w:r>
      <w:r>
        <w:fldChar w:fldCharType="begin" w:fldLock="1"/>
      </w:r>
      <w:r>
        <w:instrText>ADDIN CSL_CITATION {"citationItems":[{"id":"ITEM-1","itemData":{"DOI":"10.53637/DELS2700","ISSN":"18392881","abstract":"Rapid technological advancement is changing the way that political parties, voters, and media platforms engage with each other. This along with cultural change has led to an emerging era of disinformation and misinformation driven by both domestic and foreign actors. Political deepfakes, videos created through the use of artificial intelligence, allow individuals to rapidly create fake videos indistinguishable from true content. These videos have the capacity to undermine voter trust and could alter electoral outcomes. Regulating disinformation however raises significant free speech concerns, as well as questions about where liability should fall. In particular, holding large technology and media platforms accountable for content could lead to unintended chilling effects around freedom of expression, harming rather than protecting democratic institutions. Proposed regulations should therefore be carefully analysed through the framework of the implied freedom of political communication, ensuring that any new laws are proportionate and tailored to the threat they seek to prevent. This article analyses how current Australian law interacts with political deepfakes and proposes two targeted amendments to our federal electoral regulations to reduce the threat they pose to elections.","author":[{"dropping-particle":"","family":"Ray","given":"Andrew","non-dropping-particle":"","parse-names":false,"suffix":""}],"container-title":"University of New South Wales Law Journal","id":"ITEM-1","issue":"3","issued":{"date-parts":[["2021","9","1"]]},"page":"983-1013","publisher":"University of New South Wales Law Journal","title":"Disinformation, Deepfakes and Democracies: The Need for Legislative Reform","type":"article-journal","volume":"44"},"uris":["http://www.mendeley.com/documents/?uuid=85dbb48f-4c7c-3129-b867-51d43a7d267a"]}],"mendeley":{"formattedCitation":"Andrew Ray, “Disinformation, Deepfakes and Democracies: The Need for Legislative Reform,” &lt;i&gt;University of New South Wales Law Journal&lt;/i&gt; 44, no. 3 (September 1, 2021): 983–1013, https://doi.org/10.53637/DELS2700.","plainTextFormattedCitation":"Andrew Ray, “Disinformation, Deepfakes and Democracies: The Need for Legislative Reform,” University of New South Wales Law Journal 44, no. 3 (September 1, 2021): 983–1013, https://doi.org/10.53637/DELS2700.","previouslyFormattedCitation":"(Ray, 2021)"},"properties":{"noteIndex":12},"schema":"https://github.com/citation-style-language/schema/raw/master/csl-citation.json"}</w:instrText>
      </w:r>
      <w:r>
        <w:fldChar w:fldCharType="separate"/>
      </w:r>
      <w:r w:rsidRPr="00E43809">
        <w:rPr>
          <w:noProof/>
        </w:rPr>
        <w:t xml:space="preserve">Andrew Ray, “Disinformation, Deepfakes and Democracies: The Need for Legislative Reform,” </w:t>
      </w:r>
      <w:r w:rsidRPr="00E43809">
        <w:rPr>
          <w:i/>
          <w:noProof/>
        </w:rPr>
        <w:t>University of New South Wales Law Journal</w:t>
      </w:r>
      <w:r w:rsidRPr="00E43809">
        <w:rPr>
          <w:noProof/>
        </w:rPr>
        <w:t xml:space="preserve"> 44, no. 3 (September 1, 2021): 983–1013, https://doi.org/10.53637/DELS2700.</w:t>
      </w:r>
      <w:r>
        <w:fldChar w:fldCharType="end"/>
      </w:r>
    </w:p>
  </w:footnote>
  <w:footnote w:id="13">
    <w:p w14:paraId="0E426BFA" w14:textId="1C986F91" w:rsidR="00E43809" w:rsidRDefault="00E43809">
      <w:pPr>
        <w:pStyle w:val="FootnoteText"/>
      </w:pPr>
      <w:r>
        <w:rPr>
          <w:rStyle w:val="FootnoteReference"/>
        </w:rPr>
        <w:footnoteRef/>
      </w:r>
      <w:r>
        <w:t xml:space="preserve"> </w:t>
      </w:r>
      <w:r>
        <w:fldChar w:fldCharType="begin" w:fldLock="1"/>
      </w:r>
      <w:r>
        <w:instrText>ADDIN CSL_CITATION {"citationItems":[{"id":"ITEM-1","itemData":{"URL":"https://nu.or.id/nasional/5-pasal-kontroversial-yang-paling-disorot-dalam-kuhp-baru-kGJyp","accessed":{"date-parts":[["2024","2","13"]]},"author":[{"dropping-particle":"","family":"Syifa Arrahman","given":"","non-dropping-particle":"","parse-names":false,"suffix":""}],"container-title":"Nu.or.id/nasional","id":"ITEM-1","issued":{"date-parts":[["2022"]]},"title":"5 Pasal Kontroversial yang Paling Disorot dalam KUHP Baru","type":"webpage"},"uris":["http://www.mendeley.com/documents/?uuid=54a7db62-1deb-36c9-9e5c-f18898bff45d"]}],"mendeley":{"formattedCitation":"Syifa Arrahman, “5 Pasal Kontroversial Yang Paling Disorot Dalam KUHP Baru,” Nu.or.id/nasional, 2022, https://nu.or.id/nasional/5-pasal-kontroversial-yang-paling-disorot-dalam-kuhp-baru-kGJyp.","plainTextFormattedCitation":"Syifa Arrahman, “5 Pasal Kontroversial Yang Paling Disorot Dalam KUHP Baru,” Nu.or.id/nasional, 2022, https://nu.or.id/nasional/5-pasal-kontroversial-yang-paling-disorot-dalam-kuhp-baru-kGJyp.","previouslyFormattedCitation":"(Syifa Arrahman, 2022)"},"properties":{"noteIndex":13},"schema":"https://github.com/citation-style-language/schema/raw/master/csl-citation.json"}</w:instrText>
      </w:r>
      <w:r>
        <w:fldChar w:fldCharType="separate"/>
      </w:r>
      <w:r w:rsidRPr="00E43809">
        <w:rPr>
          <w:noProof/>
        </w:rPr>
        <w:t>Syifa Arrahman, “5 Pasal Kontroversial Yang Paling Disorot Dalam KUHP Baru,” Nu.or.id/nasional, 2022, https://nu.or.id/nasional/5-pasal-kontroversial-yang-paling-disorot-dalam-kuhp-baru-kGJyp.</w:t>
      </w:r>
      <w:r>
        <w:fldChar w:fldCharType="end"/>
      </w:r>
    </w:p>
  </w:footnote>
  <w:footnote w:id="14">
    <w:p w14:paraId="0CADB36B" w14:textId="0A13E0B1" w:rsidR="00E43809" w:rsidRDefault="00E43809">
      <w:pPr>
        <w:pStyle w:val="FootnoteText"/>
      </w:pPr>
      <w:r>
        <w:rPr>
          <w:rStyle w:val="FootnoteReference"/>
        </w:rPr>
        <w:footnoteRef/>
      </w:r>
      <w:r>
        <w:t xml:space="preserve"> </w:t>
      </w:r>
      <w:r>
        <w:fldChar w:fldCharType="begin" w:fldLock="1"/>
      </w:r>
      <w:r>
        <w:instrText>ADDIN CSL_CITATION {"citationItems":[{"id":"ITEM-1","itemData":{"DOI":"DOI: 10.1017/err.2021.48","ISSN":"1867-299X","abstract":"Governments around the world are strictly regulating information on social media in the interests of addressing fake news. There is, however, a risk that the uncontrolled spread of information could increase the adverse effects of the COVID-19 health emergency through the influence of false and misleading news. Yet governments may well use health emergency regulation as a pretext for implementing draconian restrictions on the right to freedom of expression, as well as increasing social media censorship (ie chilling effects). This article seeks to challenge the stringent legislative and administrative measures governments have recently put in place in order to analyse their negative implications for the right to freedom of expression and to suggest different regulatory approaches in the context of public law. These controversial government policies are discussed in order to clarify why freedom of expression cannot be allowed to be jeopardised in the process of trying to manage fake news. Firstly, an analysis of the legal definition of fake news in academia is presented in order to establish the essential characteristics of the phenomenon (Section ). Secondly, the legislative and administrative measures implemented by governments at both international (Section ) and European Union (EU) levels (Section ) are assessed, showing how they may undermine a core human right by curtailing freedom of expression. Then, starting from the premise of social media as a “watchdog” of democracy and moving on to the contention that fake news is a phenomenon of “mature” democracy, the article argues that public law already protects freedom of expression and ensures its effectiveness at the international and EU levels through some fundamental rules (Section ). There follows a discussion of the key regulatory approaches, and, as alternatives to government intervention, self-regulation and especially empowering users are proposed as strategies to effectively manage fake news by mitigating the risks of undue interference by regulators in the right to freedom of expression (Section ). The article concludes by offering some remarks on the proposed solution and in particular by recommending the implementation of reliability ratings on social media platforms (Section ).","author":[{"dropping-particle":"","family":"Vese","given":"Donato","non-dropping-particle":"","parse-names":false,"suffix":""}],"container-title":"European Journal of Risk Regulation","edition":"2021/10/11","id":"ITEM-1","issue":"3","issued":{"date-parts":[["2022"]]},"page":"477-513","publisher":"Cambridge University Press","title":"Governing Fake News: The Regulation of Social Media and the Right to Freedom of Expression in the Era of Emergency","type":"article-journal","volume":"13"},"uris":["http://www.mendeley.com/documents/?uuid=b7882e7e-21e8-4877-9eec-1ef80d382504"]}],"mendeley":{"formattedCitation":"Donato Vese, “Governing Fake News: The Regulation of Social Media and the Right to Freedom of Expression in the Era of Emergency,” &lt;i&gt;European Journal of Risk Regulation&lt;/i&gt; 13, no. 3 (2022): 477–513, https://doi.org/DOI: 10.1017/err.2021.48.","plainTextFormattedCitation":"Donato Vese, “Governing Fake News: The Regulation of Social Media and the Right to Freedom of Expression in the Era of Emergency,” European Journal of Risk Regulation 13, no. 3 (2022): 477–513, https://doi.org/DOI: 10.1017/err.2021.48.","previouslyFormattedCitation":"(Vese, 2022)"},"properties":{"noteIndex":14},"schema":"https://github.com/citation-style-language/schema/raw/master/csl-citation.json"}</w:instrText>
      </w:r>
      <w:r>
        <w:fldChar w:fldCharType="separate"/>
      </w:r>
      <w:r w:rsidRPr="00E43809">
        <w:rPr>
          <w:noProof/>
        </w:rPr>
        <w:t xml:space="preserve">Donato Vese, “Governing Fake News: The Regulation of Social Media and the Right to Freedom of Expression in the Era of Emergency,” </w:t>
      </w:r>
      <w:r w:rsidRPr="00E43809">
        <w:rPr>
          <w:i/>
          <w:noProof/>
        </w:rPr>
        <w:t>European Journal of Risk Regulation</w:t>
      </w:r>
      <w:r w:rsidRPr="00E43809">
        <w:rPr>
          <w:noProof/>
        </w:rPr>
        <w:t xml:space="preserve"> 13, no. 3 (2022): 477–513, https://doi.org/DOI: 10.1017/err.2021.48.</w:t>
      </w:r>
      <w:r>
        <w:fldChar w:fldCharType="end"/>
      </w:r>
    </w:p>
  </w:footnote>
  <w:footnote w:id="15">
    <w:p w14:paraId="4AF13E41" w14:textId="71868F5C" w:rsidR="00E43809" w:rsidRDefault="00E43809">
      <w:pPr>
        <w:pStyle w:val="FootnoteText"/>
      </w:pPr>
      <w:r>
        <w:rPr>
          <w:rStyle w:val="FootnoteReference"/>
        </w:rPr>
        <w:footnoteRef/>
      </w:r>
      <w:r>
        <w:t xml:space="preserve"> </w:t>
      </w:r>
      <w:r>
        <w:fldChar w:fldCharType="begin" w:fldLock="1"/>
      </w:r>
      <w:r>
        <w:instrText>ADDIN CSL_CITATION {"citationItems":[{"id":"ITEM-1","itemData":{"DOI":"10.15294/JLLR.V1I3.38510","ISSN":"2715-0968","abstract":"Citizens can express their opinions through printed and electronic masses, one of them through mass media press. The free and responsible press is indispensable to support the formation of democracy society. Here the press role is crucial in the democracy community. The research method used in this research is normative. The data source used is a secondary data source, i.e. data obtained from literature material. The data collection techniques in this legal study use Documenter studies. The results of these studies and discussions are of the numerous press roles, which explicitly relate to the democratic community is the role of enforcing the fundamental values of democracy. The press is required to open up to the wishes of the community in participating or supervising the public agenda. Advice from the results of the discussion, the press should provide opportunities for citizens to criticize, submit claims, commit rejection of government policies that do not apply and fight for justice and truth through the independent press.","author":[{"dropping-particle":"","family":"Ekaningsih","given":"Journal Of Law &amp; Legal Reform Volume ; Cited As","non-dropping-particle":"","parse-names":false,"suffix":""}],"container-title":"Journal of Law and Legal Reform","id":"ITEM-1","issue":"3","issued":{"date-parts":[["2020","4","30"]]},"page":"539-548","publisher":"Universitas Negeri Semarang","title":"Press Roles in Democracy Society","type":"article-journal","volume":"1"},"uris":["http://www.mendeley.com/documents/?uuid=f9a032de-adbd-3f94-8548-ce8a55a86f8a"]}],"mendeley":{"formattedCitation":"Journal Of Law &amp; Legal Reform Volume ; Cited As Ekaningsih, “Press Roles in Democracy Society,” &lt;i&gt;Journal of Law and Legal Reform&lt;/i&gt; 1, no. 3 (April 30, 2020): 539–48, https://doi.org/10.15294/JLLR.V1I3.38510.","plainTextFormattedCitation":"Journal Of Law &amp; Legal Reform Volume ; Cited As Ekaningsih, “Press Roles in Democracy Society,” Journal of Law and Legal Reform 1, no. 3 (April 30, 2020): 539–48, https://doi.org/10.15294/JLLR.V1I3.38510.","previouslyFormattedCitation":"(Ekaningsih, 2020)"},"properties":{"noteIndex":15},"schema":"https://github.com/citation-style-language/schema/raw/master/csl-citation.json"}</w:instrText>
      </w:r>
      <w:r>
        <w:fldChar w:fldCharType="separate"/>
      </w:r>
      <w:r w:rsidRPr="00E43809">
        <w:rPr>
          <w:noProof/>
        </w:rPr>
        <w:t xml:space="preserve">Journal Of Law &amp; Legal Reform Volume ; Cited As Ekaningsih, “Press Roles in Democracy Society,” </w:t>
      </w:r>
      <w:r w:rsidRPr="00E43809">
        <w:rPr>
          <w:i/>
          <w:noProof/>
        </w:rPr>
        <w:t>Journal of Law and Legal Reform</w:t>
      </w:r>
      <w:r w:rsidRPr="00E43809">
        <w:rPr>
          <w:noProof/>
        </w:rPr>
        <w:t xml:space="preserve"> 1, no. 3 (April 30, 2020): 539–48, https://doi.org/10.15294/JLLR.V1I3.38510.</w:t>
      </w:r>
      <w:r>
        <w:fldChar w:fldCharType="end"/>
      </w:r>
    </w:p>
  </w:footnote>
  <w:footnote w:id="16">
    <w:p w14:paraId="4DDD0043" w14:textId="3B0661D9" w:rsidR="00E43809" w:rsidRDefault="00E43809">
      <w:pPr>
        <w:pStyle w:val="FootnoteText"/>
      </w:pPr>
      <w:r>
        <w:rPr>
          <w:rStyle w:val="FootnoteReference"/>
        </w:rPr>
        <w:footnoteRef/>
      </w:r>
      <w:r>
        <w:t xml:space="preserve"> </w:t>
      </w:r>
      <w:r>
        <w:fldChar w:fldCharType="begin" w:fldLock="1"/>
      </w:r>
      <w:r>
        <w:instrText>ADDIN CSL_CITATION {"citationItems":[{"id":"ITEM-1","itemData":{"DOI":"10.30595/kosmikhukum.v23i3.18711","author":[{"dropping-particle":"","family":"Putra","given":"Panca Sarjana","non-dropping-particle":"","parse-names":false,"suffix":""},{"dropping-particle":"","family":"Fernando","given":"Zico Junius","non-dropping-particle":"","parse-names":false,"suffix":""},{"dropping-particle":"","family":"Nunna","given":"Bhanu Prakash","non-dropping-particle":"","parse-names":false,"suffix":""},{"dropping-particle":"","family":"Anggriawan","given":"Rizaldy","non-dropping-particle":"","parse-names":false,"suffix":""}],"container-title":"Kosmik Hukum","id":"ITEM-1","issue":"3","issued":{"date-parts":[["2023"]]},"page":"233-247","title":"Judicial Transformation: Integration of AI Judges in Innovating Indonesia's Criminal Justice System","type":"article-journal","volume":"23"},"uris":["http://www.mendeley.com/documents/?uuid=e5406e2a-ac1c-4037-a026-51cbfb7b2ff4"]}],"mendeley":{"formattedCitation":"Panca Sarjana Putra et al., “Judicial Transformation: Integration of AI Judges in Innovating Indonesia’s Criminal Justice System,” &lt;i&gt;Kosmik Hukum&lt;/i&gt; 23, no. 3 (2023): 233–47, https://doi.org/10.30595/kosmikhukum.v23i3.18711.","plainTextFormattedCitation":"Panca Sarjana Putra et al., “Judicial Transformation: Integration of AI Judges in Innovating Indonesia’s Criminal Justice System,” Kosmik Hukum 23, no. 3 (2023): 233–47, https://doi.org/10.30595/kosmikhukum.v23i3.18711.","previouslyFormattedCitation":"(Putra et al., 2023)"},"properties":{"noteIndex":16},"schema":"https://github.com/citation-style-language/schema/raw/master/csl-citation.json"}</w:instrText>
      </w:r>
      <w:r>
        <w:fldChar w:fldCharType="separate"/>
      </w:r>
      <w:r w:rsidRPr="00E43809">
        <w:rPr>
          <w:noProof/>
        </w:rPr>
        <w:t xml:space="preserve">Panca Sarjana Putra et al., “Judicial Transformation: Integration of AI Judges in Innovating Indonesia’s Criminal Justice System,” </w:t>
      </w:r>
      <w:r w:rsidRPr="00E43809">
        <w:rPr>
          <w:i/>
          <w:noProof/>
        </w:rPr>
        <w:t>Kosmik Hukum</w:t>
      </w:r>
      <w:r w:rsidRPr="00E43809">
        <w:rPr>
          <w:noProof/>
        </w:rPr>
        <w:t xml:space="preserve"> 23, no. 3 (2023): 233–47, https://doi.org/10.30595/kosmikhukum.v23i3.18711.</w:t>
      </w:r>
      <w:r>
        <w:fldChar w:fldCharType="end"/>
      </w:r>
    </w:p>
  </w:footnote>
  <w:footnote w:id="17">
    <w:p w14:paraId="6EBF0D98" w14:textId="55E259AC" w:rsidR="00E43809" w:rsidRDefault="00E43809">
      <w:pPr>
        <w:pStyle w:val="FootnoteText"/>
      </w:pPr>
      <w:r>
        <w:rPr>
          <w:rStyle w:val="FootnoteReference"/>
        </w:rPr>
        <w:footnoteRef/>
      </w:r>
      <w:r>
        <w:t xml:space="preserve"> </w:t>
      </w:r>
      <w:r>
        <w:fldChar w:fldCharType="begin" w:fldLock="1"/>
      </w:r>
      <w:r>
        <w:instrText>ADDIN CSL_CITATION {"citationItems":[{"id":"ITEM-1","itemData":{"DOI":"10.1080/17549507.2018.1392612","ISSN":"1754-9507","author":[{"dropping-particle":"","family":"Howie","given":"Emily","non-dropping-particle":"","parse-names":false,"suffix":""}],"container-title":"International Journal of Speech-Language Pathology","id":"ITEM-1","issue":"1","issued":{"date-parts":[["2018","1","2"]]},"note":"doi: 10.1080/17549507.2018.1392612","page":"12-15","publisher":"Taylor &amp; Francis","title":"Protecting the Human Right to Freedom of Expression in International Law","type":"article-journal","volume":"20"},"uris":["http://www.mendeley.com/documents/?uuid=eb4356a8-66d6-4461-9fcc-e3a14ef01180"]}],"mendeley":{"formattedCitation":"Emily Howie, “Protecting the Human Right to Freedom of Expression in International Law,” &lt;i&gt;International Journal of Speech-Language Pathology&lt;/i&gt; 20, no. 1 (January 2, 2018): 12–15, https://doi.org/10.1080/17549507.2018.1392612.","plainTextFormattedCitation":"Emily Howie, “Protecting the Human Right to Freedom of Expression in International Law,” International Journal of Speech-Language Pathology 20, no. 1 (January 2, 2018): 12–15, https://doi.org/10.1080/17549507.2018.1392612.","previouslyFormattedCitation":"(Howie, 2018)"},"properties":{"noteIndex":17},"schema":"https://github.com/citation-style-language/schema/raw/master/csl-citation.json"}</w:instrText>
      </w:r>
      <w:r>
        <w:fldChar w:fldCharType="separate"/>
      </w:r>
      <w:r w:rsidRPr="00E43809">
        <w:rPr>
          <w:noProof/>
        </w:rPr>
        <w:t xml:space="preserve">Emily Howie, “Protecting the Human Right to Freedom of Expression in International Law,” </w:t>
      </w:r>
      <w:r w:rsidRPr="00E43809">
        <w:rPr>
          <w:i/>
          <w:noProof/>
        </w:rPr>
        <w:t>International Journal of Speech-Language Pathology</w:t>
      </w:r>
      <w:r w:rsidRPr="00E43809">
        <w:rPr>
          <w:noProof/>
        </w:rPr>
        <w:t xml:space="preserve"> 20, no. 1 (January 2, 2018): 12–15, https://doi.org/10.1080/17549507.2018.1392612.</w:t>
      </w:r>
      <w:r>
        <w:fldChar w:fldCharType="end"/>
      </w:r>
    </w:p>
  </w:footnote>
  <w:footnote w:id="18">
    <w:p w14:paraId="7CF8009C" w14:textId="05EFDEBD" w:rsidR="00E43809" w:rsidRDefault="00E43809">
      <w:pPr>
        <w:pStyle w:val="FootnoteText"/>
      </w:pPr>
      <w:r>
        <w:rPr>
          <w:rStyle w:val="FootnoteReference"/>
        </w:rPr>
        <w:footnoteRef/>
      </w:r>
      <w:r>
        <w:t xml:space="preserve"> </w:t>
      </w:r>
      <w:r>
        <w:fldChar w:fldCharType="begin" w:fldLock="1"/>
      </w:r>
      <w:r>
        <w:instrText>ADDIN CSL_CITATION {"citationItems":[{"id":"ITEM-1","itemData":{"DOI":"10.2144/000112539","ISSN":"07366205","PMID":"17907568","author":[{"dropping-particle":"","family":"McCormick","given":"Douglas","non-dropping-particle":"","parse-names":false,"suffix":""}],"container-title":"BioTechniques","id":"ITEM-1","issue":"3","issued":{"date-parts":[["2018","5","16"]]},"page":"251","publisher":"Future Science Ltd London, UK","title":"Freedom of Expression?","type":"article-journal","volume":"43"},"uris":["http://www.mendeley.com/documents/?uuid=3d24b92b-adc1-3567-a961-3cdafbb8a19c"]}],"mendeley":{"formattedCitation":"Douglas McCormick, “Freedom of Expression?,” &lt;i&gt;BioTechniques&lt;/i&gt; 43, no. 3 (May 16, 2018): 251, https://doi.org/10.2144/000112539.","plainTextFormattedCitation":"Douglas McCormick, “Freedom of Expression?,” BioTechniques 43, no. 3 (May 16, 2018): 251, https://doi.org/10.2144/000112539.","previouslyFormattedCitation":"(McCormick, 2018)"},"properties":{"noteIndex":18},"schema":"https://github.com/citation-style-language/schema/raw/master/csl-citation.json"}</w:instrText>
      </w:r>
      <w:r>
        <w:fldChar w:fldCharType="separate"/>
      </w:r>
      <w:r w:rsidRPr="00E43809">
        <w:rPr>
          <w:noProof/>
        </w:rPr>
        <w:t xml:space="preserve">Douglas McCormick, “Freedom of Expression?,” </w:t>
      </w:r>
      <w:r w:rsidRPr="00E43809">
        <w:rPr>
          <w:i/>
          <w:noProof/>
        </w:rPr>
        <w:t>BioTechniques</w:t>
      </w:r>
      <w:r w:rsidRPr="00E43809">
        <w:rPr>
          <w:noProof/>
        </w:rPr>
        <w:t xml:space="preserve"> 43, no. 3 (May 16, 2018): 251, https://doi.org/10.2144/000112539.</w:t>
      </w:r>
      <w:r>
        <w:fldChar w:fldCharType="end"/>
      </w:r>
    </w:p>
  </w:footnote>
  <w:footnote w:id="19">
    <w:p w14:paraId="3B7CC1FE" w14:textId="7FEDCE6C" w:rsidR="00E43809" w:rsidRDefault="00E43809">
      <w:pPr>
        <w:pStyle w:val="FootnoteText"/>
      </w:pPr>
      <w:r>
        <w:rPr>
          <w:rStyle w:val="FootnoteReference"/>
        </w:rPr>
        <w:footnoteRef/>
      </w:r>
      <w:r>
        <w:t xml:space="preserve"> </w:t>
      </w:r>
      <w:r>
        <w:fldChar w:fldCharType="begin" w:fldLock="1"/>
      </w:r>
      <w:r>
        <w:instrText>ADDIN CSL_CITATION {"citationItems":[{"id":"ITEM-1","itemData":{"DOI":"10.1163/187103210X528165","ISSN":"1871-031X","abstract":"The freedoms of opinion and of expression constitute the cornerstone of any democratic society and form a solid and fundamental basis for development. Without an open space for the marketplace of ideas to flourish, societies fail to progress by any measure on the human, social, and economic development scale. Given the paramount importance of this fundamental right, restrictions on freedom of expression, in order to be permissible, must be narrowly defined and will have to be derived from the relevant international legal standards. In this context it is equally important to note that there is no a priori hierarchy of rights. © Koninklijke Brill NV, Leiden, 2010.","author":[{"dropping-particle":"","family":"Schmidt","given":"Mogens","non-dropping-particle":"","parse-names":false,"suffix":""}],"container-title":"Religion &amp; Human Rights","id":"ITEM-1","issue":"2-3","issued":{"date-parts":[["2010","1","1"]]},"page":"147-151","publisher":"Brill","title":"Limits to the Restrictions to Freedom of Expression—Criteria and Application","type":"article-journal","volume":"5"},"uris":["http://www.mendeley.com/documents/?uuid=345ee512-b0ca-3d4a-bb6c-2413abc66622"]}],"mendeley":{"formattedCitation":"Mogens Schmidt, “Limits to the Restrictions to Freedom of Expression—Criteria and Application,” &lt;i&gt;Religion &amp; Human Rights&lt;/i&gt; 5, no. 2–3 (January 1, 2010): 147–51, https://doi.org/10.1163/187103210X528165.","plainTextFormattedCitation":"Mogens Schmidt, “Limits to the Restrictions to Freedom of Expression—Criteria and Application,” Religion &amp; Human Rights 5, no. 2–3 (January 1, 2010): 147–51, https://doi.org/10.1163/187103210X528165.","previouslyFormattedCitation":"(Schmidt, 2010)"},"properties":{"noteIndex":19},"schema":"https://github.com/citation-style-language/schema/raw/master/csl-citation.json"}</w:instrText>
      </w:r>
      <w:r>
        <w:fldChar w:fldCharType="separate"/>
      </w:r>
      <w:r w:rsidRPr="00E43809">
        <w:rPr>
          <w:noProof/>
        </w:rPr>
        <w:t xml:space="preserve">Mogens Schmidt, “Limits to the Restrictions to Freedom of Expression—Criteria and Application,” </w:t>
      </w:r>
      <w:r w:rsidRPr="00E43809">
        <w:rPr>
          <w:i/>
          <w:noProof/>
        </w:rPr>
        <w:t>Religion &amp; Human Rights</w:t>
      </w:r>
      <w:r w:rsidRPr="00E43809">
        <w:rPr>
          <w:noProof/>
        </w:rPr>
        <w:t xml:space="preserve"> 5, no. 2–3 (January 1, 2010): 147–51, https://doi.org/10.1163/187103210X528165.</w:t>
      </w:r>
      <w:r>
        <w:fldChar w:fldCharType="end"/>
      </w:r>
    </w:p>
  </w:footnote>
  <w:footnote w:id="20">
    <w:p w14:paraId="158743D3" w14:textId="420594A8" w:rsidR="00E43809" w:rsidRDefault="00E43809">
      <w:pPr>
        <w:pStyle w:val="FootnoteText"/>
      </w:pPr>
      <w:r>
        <w:rPr>
          <w:rStyle w:val="FootnoteReference"/>
        </w:rPr>
        <w:footnoteRef/>
      </w:r>
      <w:r>
        <w:t xml:space="preserve"> </w:t>
      </w:r>
      <w:r>
        <w:fldChar w:fldCharType="begin" w:fldLock="1"/>
      </w:r>
      <w:r>
        <w:instrText>ADDIN CSL_CITATION {"citationItems":[{"id":"ITEM-1","itemData":{"DOI":"10.1080/15570274.2015.1005914","ISSN":"1557-0274","author":[{"dropping-particle":"","family":"Eltayeb","given":"Mohamed Saeed M","non-dropping-particle":"","parse-names":false,"suffix":""}],"container-title":"The Review of Faith &amp; International Affairs","id":"ITEM-1","issue":"1","issued":{"date-parts":[["2015","1","2"]]},"note":"doi: 10.1080/15570274.2015.1005914","page":"69-74","publisher":"Routledge","title":"The Quest for Permissible Limitations on Freedom of Expression: Public Order and Public Morality Exceptions","type":"article-journal","volume":"13"},"uris":["http://www.mendeley.com/documents/?uuid=bfe307a3-cdd1-4db8-9c0c-d7d2ec5a20cb"]}],"mendeley":{"formattedCitation":"Mohamed Saeed M Eltayeb, “The Quest for Permissible Limitations on Freedom of Expression: Public Order and Public Morality Exceptions,” &lt;i&gt;The Review of Faith &amp; International Affairs&lt;/i&gt; 13, no. 1 (January 2, 2015): 69–74, https://doi.org/10.1080/15570274.2015.1005914.","plainTextFormattedCitation":"Mohamed Saeed M Eltayeb, “The Quest for Permissible Limitations on Freedom of Expression: Public Order and Public Morality Exceptions,” The Review of Faith &amp; International Affairs 13, no. 1 (January 2, 2015): 69–74, https://doi.org/10.1080/15570274.2015.1005914.","previouslyFormattedCitation":"(Eltayeb, 2015)"},"properties":{"noteIndex":20},"schema":"https://github.com/citation-style-language/schema/raw/master/csl-citation.json"}</w:instrText>
      </w:r>
      <w:r>
        <w:fldChar w:fldCharType="separate"/>
      </w:r>
      <w:r w:rsidRPr="00E43809">
        <w:rPr>
          <w:noProof/>
        </w:rPr>
        <w:t xml:space="preserve">Mohamed Saeed M Eltayeb, “The Quest for Permissible Limitations on Freedom of Expression: Public Order and Public Morality Exceptions,” </w:t>
      </w:r>
      <w:r w:rsidRPr="00E43809">
        <w:rPr>
          <w:i/>
          <w:noProof/>
        </w:rPr>
        <w:t>The Review of Faith &amp; International Affairs</w:t>
      </w:r>
      <w:r w:rsidRPr="00E43809">
        <w:rPr>
          <w:noProof/>
        </w:rPr>
        <w:t xml:space="preserve"> 13, no. 1 (January 2, 2015): 69–74, https://doi.org/10.1080/15570274.2015.1005914.</w:t>
      </w:r>
      <w:r>
        <w:fldChar w:fldCharType="end"/>
      </w:r>
    </w:p>
  </w:footnote>
  <w:footnote w:id="21">
    <w:p w14:paraId="60AFE40E" w14:textId="48C5CA6B" w:rsidR="00E43809" w:rsidRDefault="00E43809">
      <w:pPr>
        <w:pStyle w:val="FootnoteText"/>
      </w:pPr>
      <w:r>
        <w:rPr>
          <w:rStyle w:val="FootnoteReference"/>
        </w:rPr>
        <w:footnoteRef/>
      </w:r>
      <w:r>
        <w:t xml:space="preserve"> </w:t>
      </w:r>
      <w:r>
        <w:fldChar w:fldCharType="begin" w:fldLock="1"/>
      </w:r>
      <w:r>
        <w:instrText>ADDIN CSL_CITATION {"citationItems":[{"id":"ITEM-1","itemData":{"DOI":"10.1177/1748048510362711","ISSN":"1748-0485","abstract":"The right to freedom of expression and information is guaranteed by Article (10) of the European Convention for the Protection of Human Rights and Fundamental Freedoms (ECHR) in all 47 member states of the Council of Europe. The jurisprudence of the European Court of Human Rights (ECrtHR) applying Article (10) is to be considered an authoritative international standard regarding the protection of this human right, including the right to express, impart and receive opinions and information without interference by public authorities. The Court?s case law has manifestly helped to create an added value for the effective protection of freedom of expression, journalistic freedom, freedom of the media, the right to receive information and public debate in the Convention?s member states. However, some recent restrictive trends in the Court?s approach have raised serious concerns regarding the (future) level of protection of freedom of speech and press freedom in Europe. This article focuses on the most important characteristics of the right to freedom of expression and information under the European human rights system and discusses some challenges for the future.","author":[{"dropping-particle":"","family":"Voorhoof","given":"Dirk","non-dropping-particle":"","parse-names":false,"suffix":""},{"dropping-particle":"","family":"Cannie","given":"Hannes","non-dropping-particle":"","parse-names":false,"suffix":""}],"container-title":"International Communication Gazette","id":"ITEM-1","issue":"4-5","issued":{"date-parts":[["2010","5","18"]]},"note":"doi: 10.1177/1748048510362711","page":"407-423","publisher":"SAGE Publications Ltd","title":"Freedom of Expression and Information in a Democratic Society","type":"article-journal","volume":"72"},"uris":["http://www.mendeley.com/documents/?uuid=d20297f1-57ca-44f5-ae61-8fc4cecd0aac"]}],"mendeley":{"formattedCitation":"Dirk Voorhoof and Hannes Cannie, “Freedom of Expression and Information in a Democratic Society,” &lt;i&gt;International Communication Gazette&lt;/i&gt; 72, no. 4–5 (May 18, 2010): 407–23, https://doi.org/10.1177/1748048510362711.","plainTextFormattedCitation":"Dirk Voorhoof and Hannes Cannie, “Freedom of Expression and Information in a Democratic Society,” International Communication Gazette 72, no. 4–5 (May 18, 2010): 407–23, https://doi.org/10.1177/1748048510362711.","previouslyFormattedCitation":"(Voorhoof &amp; Cannie, 2010)"},"properties":{"noteIndex":21},"schema":"https://github.com/citation-style-language/schema/raw/master/csl-citation.json"}</w:instrText>
      </w:r>
      <w:r>
        <w:fldChar w:fldCharType="separate"/>
      </w:r>
      <w:r w:rsidRPr="00E43809">
        <w:rPr>
          <w:noProof/>
        </w:rPr>
        <w:t xml:space="preserve">Dirk Voorhoof and Hannes Cannie, “Freedom of Expression and Information in a Democratic Society,” </w:t>
      </w:r>
      <w:r w:rsidRPr="00E43809">
        <w:rPr>
          <w:i/>
          <w:noProof/>
        </w:rPr>
        <w:t>International Communication Gazette</w:t>
      </w:r>
      <w:r w:rsidRPr="00E43809">
        <w:rPr>
          <w:noProof/>
        </w:rPr>
        <w:t xml:space="preserve"> 72, no. 4–5 (May 18, 2010): 407–23, https://doi.org/10.1177/1748048510362711.</w:t>
      </w:r>
      <w:r>
        <w:fldChar w:fldCharType="end"/>
      </w:r>
    </w:p>
  </w:footnote>
  <w:footnote w:id="22">
    <w:p w14:paraId="2FEDBF12" w14:textId="20077161" w:rsidR="00E43809" w:rsidRDefault="00E43809">
      <w:pPr>
        <w:pStyle w:val="FootnoteText"/>
      </w:pPr>
      <w:r>
        <w:rPr>
          <w:rStyle w:val="FootnoteReference"/>
        </w:rPr>
        <w:footnoteRef/>
      </w:r>
      <w:r>
        <w:t xml:space="preserve"> </w:t>
      </w:r>
      <w:r>
        <w:fldChar w:fldCharType="begin" w:fldLock="1"/>
      </w:r>
      <w:r>
        <w:instrText>ADDIN CSL_CITATION {"citationItems":[{"id":"ITEM-1","itemData":{"DOI":"10.2139/SSRN.3434972","abstract":"In today's digital public sphere, individuals have little choice but to participate on online platforms, whose design choices shape what is possible, content policies influence what is permissible, and personalisation algorithms determine what is visible. Ensuring that online content moderation is aligned with the public interest has emerged as one of the most pressing challenges for freedom of expression in the twenty-first century. Taking this challenge as its focus, this paper examines the promise and pitfalls of a human rights-based approach to content moderation-with a specific focus on the choices and challenges that online platforms are likely to confront in adhering to their corporate responsibility to respect human rights in this context. The paper examines three dimensions of a human rights-based approach to platform moderation in particular: a substantive dimension, encompassing the alignment of content moderation rules with international human rights law; a process dimension, encompassing the standards of transparency and oversight that platforms should implement as part of their human rights due diligence processes; and a procedural-remedial dimension, encompassing the procedural guarantees and remediation mechanisms that platforms should integrate within their systems of content moderation. The paper concludes by reflecting on some of the limits of the human rights-based approach and cautioning against viewing human rights as a panacea.","author":[{"dropping-particle":"","family":"Sander","given":"Barrie","non-dropping-particle":"","parse-names":false,"suffix":""}],"container-title":"SSRN Electronic Journal","id":"ITEM-1","issued":{"date-parts":[["2020","5","23"]]},"page":"1-68","publisher":"Elsevier BV","title":"Freedom of Expression in the Age of Online Platforms: The Promise and Pitfalls of a Human Rights-Based Approach to Content Moderation","type":"article-journal"},"uris":["http://www.mendeley.com/documents/?uuid=05d0b1f1-9d81-36f3-973c-b9159c2019eb"]}],"mendeley":{"formattedCitation":"Barrie Sander, “Freedom of Expression in the Age of Online Platforms: The Promise and Pitfalls of a Human Rights-Based Approach to Content Moderation,” &lt;i&gt;SSRN Electronic Journal&lt;/i&gt;, May 23, 2020, 1–68, https://doi.org/10.2139/SSRN.3434972.","plainTextFormattedCitation":"Barrie Sander, “Freedom of Expression in the Age of Online Platforms: The Promise and Pitfalls of a Human Rights-Based Approach to Content Moderation,” SSRN Electronic Journal, May 23, 2020, 1–68, https://doi.org/10.2139/SSRN.3434972.","previouslyFormattedCitation":"(Sander, 2020)"},"properties":{"noteIndex":22},"schema":"https://github.com/citation-style-language/schema/raw/master/csl-citation.json"}</w:instrText>
      </w:r>
      <w:r>
        <w:fldChar w:fldCharType="separate"/>
      </w:r>
      <w:r w:rsidRPr="00E43809">
        <w:rPr>
          <w:noProof/>
        </w:rPr>
        <w:t xml:space="preserve">Barrie Sander, “Freedom of Expression in the Age of Online Platforms: The Promise and Pitfalls of a Human Rights-Based Approach to Content Moderation,” </w:t>
      </w:r>
      <w:r w:rsidRPr="00E43809">
        <w:rPr>
          <w:i/>
          <w:noProof/>
        </w:rPr>
        <w:t>SSRN Electronic Journal</w:t>
      </w:r>
      <w:r w:rsidRPr="00E43809">
        <w:rPr>
          <w:noProof/>
        </w:rPr>
        <w:t>, May 23, 2020, 1–68, https://doi.org/10.2139/SSRN.3434972.</w:t>
      </w:r>
      <w:r>
        <w:fldChar w:fldCharType="end"/>
      </w:r>
    </w:p>
  </w:footnote>
  <w:footnote w:id="23">
    <w:p w14:paraId="75E39CA3" w14:textId="322533EE" w:rsidR="00E43809" w:rsidRDefault="00E43809">
      <w:pPr>
        <w:pStyle w:val="FootnoteText"/>
      </w:pPr>
      <w:r>
        <w:rPr>
          <w:rStyle w:val="FootnoteReference"/>
        </w:rPr>
        <w:footnoteRef/>
      </w:r>
      <w:r>
        <w:t xml:space="preserve"> </w:t>
      </w:r>
      <w:r>
        <w:fldChar w:fldCharType="begin" w:fldLock="1"/>
      </w:r>
      <w:r>
        <w:instrText>ADDIN CSL_CITATION {"citationItems":[{"id":"ITEM-1","itemData":{"DOI":"10.1177/1077695819829962","ISSN":"1077-6958","abstract":"The post-truth era has challenged traditional ways of teaching journalism and media literacy. Media literacy education can offer a useful lens for teaching students to be more critical. This pedagogy article describes a semester-long undergraduate course designed to deconstruct information disorder in the post-truth era by looking at economics, ideology, and power relations. Applying a project-based learning model allowed students to enhance their digital and media literacy skills by inquiring about the accuracy of a variety of sources centered on a single story.","author":[{"dropping-particle":"","family":"Friesem","given":"Yonty","non-dropping-particle":"","parse-names":false,"suffix":""}],"container-title":"Journalism &amp; Mass Communication Educator","id":"ITEM-1","issue":"2","issued":{"date-parts":[["2019","2","22"]]},"note":"doi: 10.1177/1077695819829962","page":"185-198","publisher":"SAGE Publications Inc","title":"Teaching Truth, Lies, and Accuracy in the Digital Age: Media Literacy as Project-Based Learning","type":"article-journal","volume":"74"},"uris":["http://www.mendeley.com/documents/?uuid=244c477b-462e-4b90-8166-4913d970d954"]}],"mendeley":{"formattedCitation":"Yonty Friesem, “Teaching Truth, Lies, and Accuracy in the Digital Age: Media Literacy as Project-Based Learning,” &lt;i&gt;Journalism &amp; Mass Communication Educator&lt;/i&gt; 74, no. 2 (February 22, 2019): 185–98, https://doi.org/10.1177/1077695819829962.","plainTextFormattedCitation":"Yonty Friesem, “Teaching Truth, Lies, and Accuracy in the Digital Age: Media Literacy as Project-Based Learning,” Journalism &amp; Mass Communication Educator 74, no. 2 (February 22, 2019): 185–98, https://doi.org/10.1177/1077695819829962.","previouslyFormattedCitation":"(Friesem, 2019)"},"properties":{"noteIndex":23},"schema":"https://github.com/citation-style-language/schema/raw/master/csl-citation.json"}</w:instrText>
      </w:r>
      <w:r>
        <w:fldChar w:fldCharType="separate"/>
      </w:r>
      <w:r w:rsidRPr="00E43809">
        <w:rPr>
          <w:noProof/>
        </w:rPr>
        <w:t xml:space="preserve">Yonty Friesem, “Teaching Truth, Lies, and Accuracy in the Digital Age: Media Literacy as Project-Based Learning,” </w:t>
      </w:r>
      <w:r w:rsidRPr="00E43809">
        <w:rPr>
          <w:i/>
          <w:noProof/>
        </w:rPr>
        <w:t>Journalism &amp; Mass Communication Educator</w:t>
      </w:r>
      <w:r w:rsidRPr="00E43809">
        <w:rPr>
          <w:noProof/>
        </w:rPr>
        <w:t xml:space="preserve"> 74, no. 2 (February 22, 2019): 185–98, https://doi.org/10.1177/1077695819829962.</w:t>
      </w:r>
      <w:r>
        <w:fldChar w:fldCharType="end"/>
      </w:r>
    </w:p>
  </w:footnote>
  <w:footnote w:id="24">
    <w:p w14:paraId="6D95FE2C" w14:textId="2692FB4E" w:rsidR="00E43809" w:rsidRDefault="00E43809">
      <w:pPr>
        <w:pStyle w:val="FootnoteText"/>
      </w:pPr>
      <w:r>
        <w:rPr>
          <w:rStyle w:val="FootnoteReference"/>
        </w:rPr>
        <w:footnoteRef/>
      </w:r>
      <w:r>
        <w:t xml:space="preserve"> </w:t>
      </w:r>
      <w:r>
        <w:fldChar w:fldCharType="begin" w:fldLock="1"/>
      </w:r>
      <w:r>
        <w:instrText>ADDIN CSL_CITATION {"citationItems":[{"id":"ITEM-1","itemData":{"DOI":"10.17159/1996-2096/2022/v22n1a4","ISSN":"19962096","abstract":"African governments are increasingly enacting laws that criminalise false news or adopting practices such as internet shutdowns as strategies to address the spread of online false news during elections. These approaches have an adverse effect on the way in which citizens exercise their freedom of expression and access information necessary to develop an informed electorate that can meaningfully participate in elections. Electoral authoritarian regimes also adopt such practices to supress critical voices and reduce the transparency and integrity of electoral processes that have been tilted in their favour. Admittedly, false news poses a threat to the quality of information in the public sphere, particularly when deployed to manipulate the decisions of voters. This article calls for more proactive and human rights-based approaches to addressing the scourge of false news. In doing so, the article juxtaposes the measures adopted by South Africa (2019 and 2021) and Tanzania (2020) in their elections. It recommends that states and other stakeholders implement media and information literacy measures and ensure that owners of digital technologies apply human rights-based approaches in their policies and practices as opposed to punitive measures and internet shutdowns. This reflects a democratic culture that is more in alignment with international laws and standards on promoting and protecting freedom of expression during elections.","author":[{"dropping-particle":"","family":"Simiyu","given":"Marystella Auma","non-dropping-particle":"","parse-names":false,"suffix":""}],"container-title":"African Human Rights Law Journal","id":"ITEM-1","issue":"1","issued":{"date-parts":[["2022"]]},"page":"76-107","title":"Freedom of Expression and African Elections: Mitigating the Insidious Effect of Emerging Approaches to Addressing the False News Threat","type":"article-journal","volume":"22"},"uris":["http://www.mendeley.com/documents/?uuid=22ca47b5-f977-47b3-8b7d-4868de18da5b"]}],"mendeley":{"formattedCitation":"Marystella Auma Simiyu, “Freedom of Expression and African Elections: Mitigating the Insidious Effect of Emerging Approaches to Addressing the False News Threat,” &lt;i&gt;African Human Rights Law Journal&lt;/i&gt; 22, no. 1 (2022): 76–107, https://doi.org/10.17159/1996-2096/2022/v22n1a4.","plainTextFormattedCitation":"Marystella Auma Simiyu, “Freedom of Expression and African Elections: Mitigating the Insidious Effect of Emerging Approaches to Addressing the False News Threat,” African Human Rights Law Journal 22, no. 1 (2022): 76–107, https://doi.org/10.17159/1996-2096/2022/v22n1a4.","previouslyFormattedCitation":"(Simiyu, 2022)"},"properties":{"noteIndex":24},"schema":"https://github.com/citation-style-language/schema/raw/master/csl-citation.json"}</w:instrText>
      </w:r>
      <w:r>
        <w:fldChar w:fldCharType="separate"/>
      </w:r>
      <w:r w:rsidRPr="00E43809">
        <w:rPr>
          <w:noProof/>
        </w:rPr>
        <w:t xml:space="preserve">Marystella Auma Simiyu, “Freedom of Expression and African Elections: Mitigating the Insidious Effect of Emerging Approaches to Addressing the False News Threat,” </w:t>
      </w:r>
      <w:r w:rsidRPr="00E43809">
        <w:rPr>
          <w:i/>
          <w:noProof/>
        </w:rPr>
        <w:t>African Human Rights Law Journal</w:t>
      </w:r>
      <w:r w:rsidRPr="00E43809">
        <w:rPr>
          <w:noProof/>
        </w:rPr>
        <w:t xml:space="preserve"> 22, no. 1 (2022): 76–107, https://doi.org/10.17159/1996-2096/2022/v22n1a4.</w:t>
      </w:r>
      <w:r>
        <w:fldChar w:fldCharType="end"/>
      </w:r>
    </w:p>
  </w:footnote>
  <w:footnote w:id="25">
    <w:p w14:paraId="1811D514" w14:textId="236956FC" w:rsidR="00E43809" w:rsidRDefault="00E43809">
      <w:pPr>
        <w:pStyle w:val="FootnoteText"/>
      </w:pPr>
      <w:r>
        <w:rPr>
          <w:rStyle w:val="FootnoteReference"/>
        </w:rPr>
        <w:footnoteRef/>
      </w:r>
      <w:r>
        <w:t xml:space="preserve"> </w:t>
      </w:r>
      <w:r>
        <w:fldChar w:fldCharType="begin" w:fldLock="1"/>
      </w:r>
      <w:r>
        <w:instrText>ADDIN CSL_CITATION {"citationItems":[{"id":"ITEM-1","itemData":{"DOI":"10.1177/00438200221121523","ISSN":"0043-8200","abstract":"Applying the case study of Saudi Arabia, this article examines the rhetoric of nations who are well documented as being severe violators of human rights and the use they make of the UN Human Rights Council Universal Periodic Review (UPR) mechanism to defend, downplay, and deny their human rights violations. Authoritarian countries who violate human rights systemically, severely, and intentionally as a matter of government policy apply different rhetorical strategies when undergoing the UPR process and writing and submitting their respective national reports for the UPR process. This article analyzes these strategies, illustrates how different countries use them during the UPR process, and explores the value and limitations of the UPR process and its efficacy at advancing human rights.","author":[{"dropping-particle":"","family":"Schimmel","given":"Noam","non-dropping-particle":"","parse-names":false,"suffix":""}],"container-title":"World Affairs","id":"ITEM-1","issue":"1","issued":{"date-parts":[["2022","11","7"]]},"note":"doi: 10.1177/00438200221121523","page":"10-45","publisher":"SAGE Publications Inc","title":"The UN Human Rights Council’s Universal Periodic Review As a Rhetorical Battlefield of Nations: Useful Tool or Futile Performance?","type":"article-journal","volume":"186"},"uris":["http://www.mendeley.com/documents/?uuid=1b58cb2b-21e7-4b88-a7b4-e1d7021a7423"]}],"mendeley":{"formattedCitation":"Noam Schimmel, “The UN Human Rights Council’s Universal Periodic Review As a Rhetorical Battlefield of Nations: Useful Tool or Futile Performance?,” &lt;i&gt;World Affairs&lt;/i&gt; 186, no. 1 (November 7, 2022): 10–45, https://doi.org/10.1177/00438200221121523.","plainTextFormattedCitation":"Noam Schimmel, “The UN Human Rights Council’s Universal Periodic Review As a Rhetorical Battlefield of Nations: Useful Tool or Futile Performance?,” World Affairs 186, no. 1 (November 7, 2022): 10–45, https://doi.org/10.1177/00438200221121523.","previouslyFormattedCitation":"(Schimmel, 2022)"},"properties":{"noteIndex":25},"schema":"https://github.com/citation-style-language/schema/raw/master/csl-citation.json"}</w:instrText>
      </w:r>
      <w:r>
        <w:fldChar w:fldCharType="separate"/>
      </w:r>
      <w:r w:rsidRPr="00E43809">
        <w:rPr>
          <w:noProof/>
        </w:rPr>
        <w:t xml:space="preserve">Noam Schimmel, “The UN Human Rights Council’s Universal Periodic Review As a Rhetorical Battlefield of Nations: Useful Tool or Futile Performance?,” </w:t>
      </w:r>
      <w:r w:rsidRPr="00E43809">
        <w:rPr>
          <w:i/>
          <w:noProof/>
        </w:rPr>
        <w:t>World Affairs</w:t>
      </w:r>
      <w:r w:rsidRPr="00E43809">
        <w:rPr>
          <w:noProof/>
        </w:rPr>
        <w:t xml:space="preserve"> 186, no. 1 (November 7, 2022): 10–45, https://doi.org/10.1177/00438200221121523.</w:t>
      </w:r>
      <w:r>
        <w:fldChar w:fldCharType="end"/>
      </w:r>
    </w:p>
  </w:footnote>
  <w:footnote w:id="26">
    <w:p w14:paraId="4809A684" w14:textId="24A04366" w:rsidR="00E43809" w:rsidRDefault="00E43809">
      <w:pPr>
        <w:pStyle w:val="FootnoteText"/>
      </w:pPr>
      <w:r>
        <w:rPr>
          <w:rStyle w:val="FootnoteReference"/>
        </w:rPr>
        <w:footnoteRef/>
      </w:r>
      <w:r>
        <w:t xml:space="preserve"> </w:t>
      </w:r>
      <w:r>
        <w:fldChar w:fldCharType="begin" w:fldLock="1"/>
      </w:r>
      <w:r>
        <w:instrText>ADDIN CSL_CITATION {"citationItems":[{"id":"ITEM-1","itemData":{"DOI":"10.29202/up/6/10","ISSN":"26172194","author":[{"dropping-particle":"","family":"Zhang","given":"Tingting","non-dropping-particle":"","parse-names":false,"suffix":""}],"container-title":"Ukrainian Policymaker","id":"ITEM-1","issued":{"date-parts":[["2020"]]},"page":"104-113","title":"The Criminal Law Regulation of the Behavior of Fabricating and Deliberately Disseminating False Information of Epidemic","type":"article-journal","volume":"6"},"uris":["http://www.mendeley.com/documents/?uuid=b3c84c97-b2bf-425d-9fbd-010a8d9ba0a8"]}],"mendeley":{"formattedCitation":"Tingting Zhang, “The Criminal Law Regulation of the Behavior of Fabricating and Deliberately Disseminating False Information of Epidemic,” &lt;i&gt;Ukrainian Policymaker&lt;/i&gt; 6 (2020): 104–13, https://doi.org/10.29202/up/6/10.","plainTextFormattedCitation":"Tingting Zhang, “The Criminal Law Regulation of the Behavior of Fabricating and Deliberately Disseminating False Information of Epidemic,” Ukrainian Policymaker 6 (2020): 104–13, https://doi.org/10.29202/up/6/10.","previouslyFormattedCitation":"(Zhang, 2020)"},"properties":{"noteIndex":26},"schema":"https://github.com/citation-style-language/schema/raw/master/csl-citation.json"}</w:instrText>
      </w:r>
      <w:r>
        <w:fldChar w:fldCharType="separate"/>
      </w:r>
      <w:r w:rsidRPr="00E43809">
        <w:rPr>
          <w:noProof/>
        </w:rPr>
        <w:t xml:space="preserve">Tingting Zhang, “The Criminal Law Regulation of the Behavior of Fabricating and Deliberately Disseminating False Information of Epidemic,” </w:t>
      </w:r>
      <w:r w:rsidRPr="00E43809">
        <w:rPr>
          <w:i/>
          <w:noProof/>
        </w:rPr>
        <w:t>Ukrainian Policymaker</w:t>
      </w:r>
      <w:r w:rsidRPr="00E43809">
        <w:rPr>
          <w:noProof/>
        </w:rPr>
        <w:t xml:space="preserve"> 6 (2020): 104–13, https://doi.org/10.29202/up/6/10.</w:t>
      </w:r>
      <w:r>
        <w:fldChar w:fldCharType="end"/>
      </w:r>
    </w:p>
  </w:footnote>
  <w:footnote w:id="27">
    <w:p w14:paraId="4A6DC62A" w14:textId="0E476FFB" w:rsidR="00E43809" w:rsidRDefault="00E43809">
      <w:pPr>
        <w:pStyle w:val="FootnoteText"/>
      </w:pPr>
      <w:r>
        <w:rPr>
          <w:rStyle w:val="FootnoteReference"/>
        </w:rPr>
        <w:footnoteRef/>
      </w:r>
      <w:r>
        <w:t xml:space="preserve"> </w:t>
      </w:r>
      <w:r>
        <w:fldChar w:fldCharType="begin" w:fldLock="1"/>
      </w:r>
      <w:r>
        <w:instrText>ADDIN CSL_CITATION {"citationItems":[{"id":"ITEM-1","itemData":{"DOI":"10.9785/CR-2017-0506","author":[{"dropping-particle":"","family":"Echikson","given":"William","non-dropping-particle":"","parse-names":false,"suffix":""},{"dropping-particle":"","family":"Knodt","given":"Olivia","non-dropping-particle":"","parse-names":false,"suffix":""}],"container-title":"Computer und Recht","id":"ITEM-1","issue":"5","issued":{"date-parts":[["2018","11","22"]]},"page":"310-333","publisher":"Verlag Dr. Otto Schmidt","title":"Germany’s NetzDG: A Key Test for Combatting Online Hate","type":"article-journal","volume":"33"},"uris":["http://www.mendeley.com/documents/?uuid=1b8e4d49-6aa4-36d9-acc0-05e4b8ecd700"]}],"mendeley":{"formattedCitation":"William Echikson and Olivia Knodt, “Germany’s NetzDG: A Key Test for Combatting Online Hate,” &lt;i&gt;Computer Und Recht&lt;/i&gt; 33, no. 5 (November 22, 2018): 310–33, https://doi.org/10.9785/CR-2017-0506.","plainTextFormattedCitation":"William Echikson and Olivia Knodt, “Germany’s NetzDG: A Key Test for Combatting Online Hate,” Computer Und Recht 33, no. 5 (November 22, 2018): 310–33, https://doi.org/10.9785/CR-2017-0506.","previouslyFormattedCitation":"(Echikson &amp; Knodt, 2018)"},"properties":{"noteIndex":27},"schema":"https://github.com/citation-style-language/schema/raw/master/csl-citation.json"}</w:instrText>
      </w:r>
      <w:r>
        <w:fldChar w:fldCharType="separate"/>
      </w:r>
      <w:r w:rsidRPr="00E43809">
        <w:rPr>
          <w:noProof/>
        </w:rPr>
        <w:t xml:space="preserve">William Echikson and Olivia Knodt, “Germany’s NetzDG: A Key Test for Combatting Online Hate,” </w:t>
      </w:r>
      <w:r w:rsidRPr="00E43809">
        <w:rPr>
          <w:i/>
          <w:noProof/>
        </w:rPr>
        <w:t>Computer Und Recht</w:t>
      </w:r>
      <w:r w:rsidRPr="00E43809">
        <w:rPr>
          <w:noProof/>
        </w:rPr>
        <w:t xml:space="preserve"> 33, no. 5 (November 22, 2018): 310–33, https://doi.org/10.9785/CR-2017-0506.</w:t>
      </w:r>
      <w:r>
        <w:fldChar w:fldCharType="end"/>
      </w:r>
    </w:p>
  </w:footnote>
  <w:footnote w:id="28">
    <w:p w14:paraId="5F34A8CC" w14:textId="318ACB64" w:rsidR="00E43809" w:rsidRDefault="00E43809">
      <w:pPr>
        <w:pStyle w:val="FootnoteText"/>
      </w:pPr>
      <w:r>
        <w:rPr>
          <w:rStyle w:val="FootnoteReference"/>
        </w:rPr>
        <w:footnoteRef/>
      </w:r>
      <w:r>
        <w:t xml:space="preserve"> </w:t>
      </w:r>
      <w:r>
        <w:fldChar w:fldCharType="begin" w:fldLock="1"/>
      </w:r>
      <w:r>
        <w:instrText>ADDIN CSL_CITATION {"citationItems":[{"id":"ITEM-1","itemData":{"DOI":"10.1007/978-981-15-5876-4_11/COVER","ISBN":"9789811558764","abstract":"Shashi Jayakumar, Benjamin Ang and Nur Diyanah Anwar analyse Singapore’s efforts combating online falsehoods and disinformation. They highlight the recently passed Protection from Online Falsehoods and Misinformation Act (POFMA) which makes it “an offence to intentionally communicate a false statement of fact, with the knowledge that it would cause the harms listed”, and which uniquely enables the authorities to compel social media platforms to publish rebuttals of specific falsehoods, called “Targeted Corrections Directions”. Additionally, they highlight the non-legal initiatives the Singapore government has taken to counter disinformation and safeguard social cohesion, via programmes such as the National Framework on Information, Media and Cyber Literacy and S.U.R.E. This creates guidelines for public organizations to spot fake news, and fact-checking resources teaching individuals to better judge the reliability of news sources. Their chapter concludes by highlighting the need to review the strategies currently used, and how laws, programmes and policies must be future-proof.","author":[{"dropping-particle":"","family":"Jayakumar","given":"Shashi","non-dropping-particle":"","parse-names":false,"suffix":""},{"dropping-particle":"","family":"Ang","given":"Benjamin","non-dropping-particle":"","parse-names":false,"suffix":""},{"dropping-particle":"","family":"Anwar","given":"Nur Diyanah","non-dropping-particle":"","parse-names":false,"suffix":""}],"container-title":"Disinformation and Fake News","id":"ITEM-1","issued":{"date-parts":[["2020","1","1"]]},"page":"137-158","publisher":"Springer Singapore","title":"Fake News and Disinformation: Singapore Perspectives","type":"article-journal"},"uris":["http://www.mendeley.com/documents/?uuid=a7b47959-9c42-382a-8f76-da7ae8ede16f"]}],"mendeley":{"formattedCitation":"Shashi Jayakumar, Benjamin Ang, and Nur Diyanah Anwar, “Fake News and Disinformation: Singapore Perspectives,” &lt;i&gt;Disinformation and Fake News&lt;/i&gt;, January 1, 2020, 137–58, https://doi.org/10.1007/978-981-15-5876-4_11/COVER.","plainTextFormattedCitation":"Shashi Jayakumar, Benjamin Ang, and Nur Diyanah Anwar, “Fake News and Disinformation: Singapore Perspectives,” Disinformation and Fake News, January 1, 2020, 137–58, https://doi.org/10.1007/978-981-15-5876-4_11/COVER.","previouslyFormattedCitation":"(Jayakumar et al., 2020)"},"properties":{"noteIndex":28},"schema":"https://github.com/citation-style-language/schema/raw/master/csl-citation.json"}</w:instrText>
      </w:r>
      <w:r>
        <w:fldChar w:fldCharType="separate"/>
      </w:r>
      <w:r w:rsidRPr="00E43809">
        <w:rPr>
          <w:noProof/>
        </w:rPr>
        <w:t xml:space="preserve">Shashi Jayakumar, Benjamin Ang, and Nur Diyanah Anwar, “Fake News and Disinformation: Singapore Perspectives,” </w:t>
      </w:r>
      <w:r w:rsidRPr="00E43809">
        <w:rPr>
          <w:i/>
          <w:noProof/>
        </w:rPr>
        <w:t>Disinformation and Fake News</w:t>
      </w:r>
      <w:r w:rsidRPr="00E43809">
        <w:rPr>
          <w:noProof/>
        </w:rPr>
        <w:t>, January 1, 2020, 137–58, https://doi.org/10.1007/978-981-15-5876-4_11/COVER.</w:t>
      </w:r>
      <w:r>
        <w:fldChar w:fldCharType="end"/>
      </w:r>
    </w:p>
  </w:footnote>
  <w:footnote w:id="29">
    <w:p w14:paraId="0E521B7B" w14:textId="602060DD" w:rsidR="00E43809" w:rsidRDefault="00E43809">
      <w:pPr>
        <w:pStyle w:val="FootnoteText"/>
      </w:pPr>
      <w:r>
        <w:rPr>
          <w:rStyle w:val="FootnoteReference"/>
        </w:rPr>
        <w:footnoteRef/>
      </w:r>
      <w:r>
        <w:t xml:space="preserve"> </w:t>
      </w:r>
      <w:r>
        <w:fldChar w:fldCharType="begin" w:fldLock="1"/>
      </w:r>
      <w:r>
        <w:instrText>ADDIN CSL_CITATION {"citationItems":[{"id":"ITEM-1","itemData":{"DOI":"10.3390/REL9120420","ISSN":"2077-1444","abstract":"The intensification of radical and extremist thinking has become an international cause of concern and the fear related to terrorism has increased worldwide. Early 21st century public discourses have been correspondingly marked by hate speech and ideological propaganda spread from a variety of perspectives through the intensified presence of global social media networks. In many countries, governments have reacted to these perceived and actual threats by drafting policies and preventive programs and legal-security interventions to tackle radicalization, terrorism itself, as well as ideological extremism. Many of the current strategies point to the critical role of societal education. As a result, educational institutions have gained growing importance as platforms for different kinds of prevention protocols or counter-terrorism strategies. However, notably less attention has been paid on the consistencies of values between the aims of the educational strategies for preventing or countering ideological extremism and the core functions of education in fostering individual and societal well-being and growth. Using Finnish education as a case, this paper discusses the challenges and possibilities related to educational institutions as spaces for preventing violent extremism, with special regard to the religious and nationalistic ideologies that divert from those inherent in the national hegemony. This study highlights the need to plan counter-terrorism strategies in line with national educational policies through what we conceptualize as ‘institutional habitus’.","author":[{"dropping-particle":"","family":"Niemi","given":"Pia Maria","non-dropping-particle":"","parse-names":false,"suffix":""},{"dropping-particle":"","family":"Benjamin","given":"Saija","non-dropping-particle":"","parse-names":false,"suffix":""},{"dropping-particle":"","family":"Kuusisto","given":"Arniika","non-dropping-particle":"","parse-names":false,"suffix":""},{"dropping-particle":"","family":"Gearon","given":"Liam","non-dropping-particle":"","parse-names":false,"suffix":""}],"container-title":"Religions 2018, Vol. 9, Page 420","id":"ITEM-1","issue":"12","issued":{"date-parts":[["2018","12","18"]]},"page":"1-16","publisher":"Multidisciplinary Digital Publishing Institute","title":"How and Why Education Counters Ideological Extremism in Finland","type":"article-journal","volume":"9"},"uris":["http://www.mendeley.com/documents/?uuid=0a5a63ec-53fe-3509-b170-4adcc7d2845c"]}],"mendeley":{"formattedCitation":"Pia Maria Niemi et al., “How and Why Education Counters Ideological Extremism in Finland,” &lt;i&gt;Religions 2018, Vol. 9, Page 420&lt;/i&gt; 9, no. 12 (December 18, 2018): 1–16, https://doi.org/10.3390/REL9120420.","plainTextFormattedCitation":"Pia Maria Niemi et al., “How and Why Education Counters Ideological Extremism in Finland,” Religions 2018, Vol. 9, Page 420 9, no. 12 (December 18, 2018): 1–16, https://doi.org/10.3390/REL9120420.","previouslyFormattedCitation":"(Niemi et al., 2018)"},"properties":{"noteIndex":29},"schema":"https://github.com/citation-style-language/schema/raw/master/csl-citation.json"}</w:instrText>
      </w:r>
      <w:r>
        <w:fldChar w:fldCharType="separate"/>
      </w:r>
      <w:r w:rsidRPr="00E43809">
        <w:rPr>
          <w:noProof/>
        </w:rPr>
        <w:t xml:space="preserve">Pia Maria Niemi et al., “How and Why Education Counters Ideological Extremism in Finland,” </w:t>
      </w:r>
      <w:r w:rsidRPr="00E43809">
        <w:rPr>
          <w:i/>
          <w:noProof/>
        </w:rPr>
        <w:t>Religions 2018, Vol. 9, Page 420</w:t>
      </w:r>
      <w:r w:rsidRPr="00E43809">
        <w:rPr>
          <w:noProof/>
        </w:rPr>
        <w:t xml:space="preserve"> 9, no. 12 (December 18, 2018): 1–16, https://doi.org/10.3390/REL9120420.</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02BCD"/>
    <w:multiLevelType w:val="multilevel"/>
    <w:tmpl w:val="3ADECA72"/>
    <w:lvl w:ilvl="0">
      <w:start w:val="1"/>
      <w:numFmt w:val="decimal"/>
      <w:lvlText w:val="%1."/>
      <w:lvlJc w:val="left"/>
      <w:pPr>
        <w:tabs>
          <w:tab w:val="num" w:pos="0"/>
        </w:tabs>
        <w:ind w:left="502"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45B58EE"/>
    <w:multiLevelType w:val="hybridMultilevel"/>
    <w:tmpl w:val="86BA09E8"/>
    <w:lvl w:ilvl="0" w:tplc="C2B2C57E">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 w15:restartNumberingAfterBreak="0">
    <w:nsid w:val="07480964"/>
    <w:multiLevelType w:val="multilevel"/>
    <w:tmpl w:val="F5125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51482"/>
    <w:multiLevelType w:val="hybridMultilevel"/>
    <w:tmpl w:val="CDF4AC38"/>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4" w15:restartNumberingAfterBreak="0">
    <w:nsid w:val="0B141D35"/>
    <w:multiLevelType w:val="multilevel"/>
    <w:tmpl w:val="501A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3476F7"/>
    <w:multiLevelType w:val="hybridMultilevel"/>
    <w:tmpl w:val="7A06B982"/>
    <w:lvl w:ilvl="0" w:tplc="1564261E">
      <w:start w:val="1"/>
      <w:numFmt w:val="lowerLetter"/>
      <w:lvlText w:val="%1."/>
      <w:lvlJc w:val="left"/>
      <w:pPr>
        <w:ind w:left="1571" w:hanging="360"/>
      </w:pPr>
      <w:rPr>
        <w:rFonts w:hint="default"/>
        <w:i w:val="0"/>
        <w:iCs w:val="0"/>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6" w15:restartNumberingAfterBreak="0">
    <w:nsid w:val="0EF15E4E"/>
    <w:multiLevelType w:val="hybridMultilevel"/>
    <w:tmpl w:val="67745ED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FBC54E1"/>
    <w:multiLevelType w:val="hybridMultilevel"/>
    <w:tmpl w:val="F8489C5E"/>
    <w:lvl w:ilvl="0" w:tplc="4672169E">
      <w:start w:val="1"/>
      <w:numFmt w:val="lowerLetter"/>
      <w:lvlText w:val="%1."/>
      <w:lvlJc w:val="left"/>
      <w:pPr>
        <w:ind w:left="1004" w:hanging="360"/>
      </w:pPr>
    </w:lvl>
    <w:lvl w:ilvl="1" w:tplc="08DACC78" w:tentative="1">
      <w:start w:val="1"/>
      <w:numFmt w:val="lowerLetter"/>
      <w:lvlText w:val="%2."/>
      <w:lvlJc w:val="left"/>
      <w:pPr>
        <w:ind w:left="1724" w:hanging="360"/>
      </w:pPr>
    </w:lvl>
    <w:lvl w:ilvl="2" w:tplc="B392832C" w:tentative="1">
      <w:start w:val="1"/>
      <w:numFmt w:val="lowerRoman"/>
      <w:lvlText w:val="%3."/>
      <w:lvlJc w:val="right"/>
      <w:pPr>
        <w:ind w:left="2444" w:hanging="180"/>
      </w:pPr>
    </w:lvl>
    <w:lvl w:ilvl="3" w:tplc="9D8EE832" w:tentative="1">
      <w:start w:val="1"/>
      <w:numFmt w:val="decimal"/>
      <w:lvlText w:val="%4."/>
      <w:lvlJc w:val="left"/>
      <w:pPr>
        <w:ind w:left="3164" w:hanging="360"/>
      </w:pPr>
    </w:lvl>
    <w:lvl w:ilvl="4" w:tplc="4CD4DC62" w:tentative="1">
      <w:start w:val="1"/>
      <w:numFmt w:val="lowerLetter"/>
      <w:lvlText w:val="%5."/>
      <w:lvlJc w:val="left"/>
      <w:pPr>
        <w:ind w:left="3884" w:hanging="360"/>
      </w:pPr>
    </w:lvl>
    <w:lvl w:ilvl="5" w:tplc="422A9AB2" w:tentative="1">
      <w:start w:val="1"/>
      <w:numFmt w:val="lowerRoman"/>
      <w:lvlText w:val="%6."/>
      <w:lvlJc w:val="right"/>
      <w:pPr>
        <w:ind w:left="4604" w:hanging="180"/>
      </w:pPr>
    </w:lvl>
    <w:lvl w:ilvl="6" w:tplc="14822BEC" w:tentative="1">
      <w:start w:val="1"/>
      <w:numFmt w:val="decimal"/>
      <w:lvlText w:val="%7."/>
      <w:lvlJc w:val="left"/>
      <w:pPr>
        <w:ind w:left="5324" w:hanging="360"/>
      </w:pPr>
    </w:lvl>
    <w:lvl w:ilvl="7" w:tplc="884AE98C" w:tentative="1">
      <w:start w:val="1"/>
      <w:numFmt w:val="lowerLetter"/>
      <w:lvlText w:val="%8."/>
      <w:lvlJc w:val="left"/>
      <w:pPr>
        <w:ind w:left="6044" w:hanging="360"/>
      </w:pPr>
    </w:lvl>
    <w:lvl w:ilvl="8" w:tplc="3EF4869E" w:tentative="1">
      <w:start w:val="1"/>
      <w:numFmt w:val="lowerRoman"/>
      <w:lvlText w:val="%9."/>
      <w:lvlJc w:val="right"/>
      <w:pPr>
        <w:ind w:left="6764" w:hanging="180"/>
      </w:pPr>
    </w:lvl>
  </w:abstractNum>
  <w:abstractNum w:abstractNumId="8" w15:restartNumberingAfterBreak="0">
    <w:nsid w:val="10B51E98"/>
    <w:multiLevelType w:val="multilevel"/>
    <w:tmpl w:val="B1AE1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126D56"/>
    <w:multiLevelType w:val="hybridMultilevel"/>
    <w:tmpl w:val="23280E8E"/>
    <w:lvl w:ilvl="0" w:tplc="A6464688">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0" w15:restartNumberingAfterBreak="0">
    <w:nsid w:val="17BA76C1"/>
    <w:multiLevelType w:val="multilevel"/>
    <w:tmpl w:val="21A0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BF2094"/>
    <w:multiLevelType w:val="hybridMultilevel"/>
    <w:tmpl w:val="01DA809C"/>
    <w:lvl w:ilvl="0" w:tplc="0130D2A0">
      <w:start w:val="1"/>
      <w:numFmt w:val="lowerLetter"/>
      <w:lvlText w:val="%1."/>
      <w:lvlJc w:val="left"/>
      <w:pPr>
        <w:ind w:left="720" w:hanging="360"/>
      </w:pPr>
    </w:lvl>
    <w:lvl w:ilvl="1" w:tplc="CF2E8F92" w:tentative="1">
      <w:start w:val="1"/>
      <w:numFmt w:val="lowerLetter"/>
      <w:lvlText w:val="%2."/>
      <w:lvlJc w:val="left"/>
      <w:pPr>
        <w:ind w:left="1440" w:hanging="360"/>
      </w:pPr>
    </w:lvl>
    <w:lvl w:ilvl="2" w:tplc="536CD9F2" w:tentative="1">
      <w:start w:val="1"/>
      <w:numFmt w:val="lowerRoman"/>
      <w:lvlText w:val="%3."/>
      <w:lvlJc w:val="right"/>
      <w:pPr>
        <w:ind w:left="2160" w:hanging="180"/>
      </w:pPr>
    </w:lvl>
    <w:lvl w:ilvl="3" w:tplc="BADC3E8E" w:tentative="1">
      <w:start w:val="1"/>
      <w:numFmt w:val="decimal"/>
      <w:lvlText w:val="%4."/>
      <w:lvlJc w:val="left"/>
      <w:pPr>
        <w:ind w:left="2880" w:hanging="360"/>
      </w:pPr>
    </w:lvl>
    <w:lvl w:ilvl="4" w:tplc="17128D06" w:tentative="1">
      <w:start w:val="1"/>
      <w:numFmt w:val="lowerLetter"/>
      <w:lvlText w:val="%5."/>
      <w:lvlJc w:val="left"/>
      <w:pPr>
        <w:ind w:left="3600" w:hanging="360"/>
      </w:pPr>
    </w:lvl>
    <w:lvl w:ilvl="5" w:tplc="C01CA996" w:tentative="1">
      <w:start w:val="1"/>
      <w:numFmt w:val="lowerRoman"/>
      <w:lvlText w:val="%6."/>
      <w:lvlJc w:val="right"/>
      <w:pPr>
        <w:ind w:left="4320" w:hanging="180"/>
      </w:pPr>
    </w:lvl>
    <w:lvl w:ilvl="6" w:tplc="546AEB40" w:tentative="1">
      <w:start w:val="1"/>
      <w:numFmt w:val="decimal"/>
      <w:lvlText w:val="%7."/>
      <w:lvlJc w:val="left"/>
      <w:pPr>
        <w:ind w:left="5040" w:hanging="360"/>
      </w:pPr>
    </w:lvl>
    <w:lvl w:ilvl="7" w:tplc="8B8271CA" w:tentative="1">
      <w:start w:val="1"/>
      <w:numFmt w:val="lowerLetter"/>
      <w:lvlText w:val="%8."/>
      <w:lvlJc w:val="left"/>
      <w:pPr>
        <w:ind w:left="5760" w:hanging="360"/>
      </w:pPr>
    </w:lvl>
    <w:lvl w:ilvl="8" w:tplc="F34AE804" w:tentative="1">
      <w:start w:val="1"/>
      <w:numFmt w:val="lowerRoman"/>
      <w:lvlText w:val="%9."/>
      <w:lvlJc w:val="right"/>
      <w:pPr>
        <w:ind w:left="6480" w:hanging="180"/>
      </w:pPr>
    </w:lvl>
  </w:abstractNum>
  <w:abstractNum w:abstractNumId="12" w15:restartNumberingAfterBreak="0">
    <w:nsid w:val="1972575B"/>
    <w:multiLevelType w:val="multilevel"/>
    <w:tmpl w:val="0D9200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975D21"/>
    <w:multiLevelType w:val="hybridMultilevel"/>
    <w:tmpl w:val="0212C218"/>
    <w:lvl w:ilvl="0" w:tplc="409CF5CC">
      <w:start w:val="1"/>
      <w:numFmt w:val="decimal"/>
      <w:lvlText w:val="%1."/>
      <w:lvlJc w:val="left"/>
      <w:pPr>
        <w:ind w:left="720" w:hanging="360"/>
      </w:pPr>
      <w:rPr>
        <w:rFonts w:hint="default"/>
      </w:rPr>
    </w:lvl>
    <w:lvl w:ilvl="1" w:tplc="18467790" w:tentative="1">
      <w:start w:val="1"/>
      <w:numFmt w:val="lowerLetter"/>
      <w:lvlText w:val="%2."/>
      <w:lvlJc w:val="left"/>
      <w:pPr>
        <w:ind w:left="1440" w:hanging="360"/>
      </w:pPr>
    </w:lvl>
    <w:lvl w:ilvl="2" w:tplc="5D3891D8" w:tentative="1">
      <w:start w:val="1"/>
      <w:numFmt w:val="lowerRoman"/>
      <w:lvlText w:val="%3."/>
      <w:lvlJc w:val="right"/>
      <w:pPr>
        <w:ind w:left="2160" w:hanging="180"/>
      </w:pPr>
    </w:lvl>
    <w:lvl w:ilvl="3" w:tplc="79C64360" w:tentative="1">
      <w:start w:val="1"/>
      <w:numFmt w:val="decimal"/>
      <w:lvlText w:val="%4."/>
      <w:lvlJc w:val="left"/>
      <w:pPr>
        <w:ind w:left="2880" w:hanging="360"/>
      </w:pPr>
    </w:lvl>
    <w:lvl w:ilvl="4" w:tplc="28C4557A" w:tentative="1">
      <w:start w:val="1"/>
      <w:numFmt w:val="lowerLetter"/>
      <w:lvlText w:val="%5."/>
      <w:lvlJc w:val="left"/>
      <w:pPr>
        <w:ind w:left="3600" w:hanging="360"/>
      </w:pPr>
    </w:lvl>
    <w:lvl w:ilvl="5" w:tplc="BC92A532" w:tentative="1">
      <w:start w:val="1"/>
      <w:numFmt w:val="lowerRoman"/>
      <w:lvlText w:val="%6."/>
      <w:lvlJc w:val="right"/>
      <w:pPr>
        <w:ind w:left="4320" w:hanging="180"/>
      </w:pPr>
    </w:lvl>
    <w:lvl w:ilvl="6" w:tplc="EEE20A0A" w:tentative="1">
      <w:start w:val="1"/>
      <w:numFmt w:val="decimal"/>
      <w:lvlText w:val="%7."/>
      <w:lvlJc w:val="left"/>
      <w:pPr>
        <w:ind w:left="5040" w:hanging="360"/>
      </w:pPr>
    </w:lvl>
    <w:lvl w:ilvl="7" w:tplc="6F605512" w:tentative="1">
      <w:start w:val="1"/>
      <w:numFmt w:val="lowerLetter"/>
      <w:lvlText w:val="%8."/>
      <w:lvlJc w:val="left"/>
      <w:pPr>
        <w:ind w:left="5760" w:hanging="360"/>
      </w:pPr>
    </w:lvl>
    <w:lvl w:ilvl="8" w:tplc="FA7E4D98" w:tentative="1">
      <w:start w:val="1"/>
      <w:numFmt w:val="lowerRoman"/>
      <w:lvlText w:val="%9."/>
      <w:lvlJc w:val="right"/>
      <w:pPr>
        <w:ind w:left="6480" w:hanging="180"/>
      </w:pPr>
    </w:lvl>
  </w:abstractNum>
  <w:abstractNum w:abstractNumId="14" w15:restartNumberingAfterBreak="0">
    <w:nsid w:val="3A4060EB"/>
    <w:multiLevelType w:val="hybridMultilevel"/>
    <w:tmpl w:val="293C3BEA"/>
    <w:lvl w:ilvl="0" w:tplc="1A26AD6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A7A1335"/>
    <w:multiLevelType w:val="hybridMultilevel"/>
    <w:tmpl w:val="A3D2434E"/>
    <w:lvl w:ilvl="0" w:tplc="0176547C">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6" w15:restartNumberingAfterBreak="0">
    <w:nsid w:val="3D1B6BFB"/>
    <w:multiLevelType w:val="multilevel"/>
    <w:tmpl w:val="A7BE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763FC9"/>
    <w:multiLevelType w:val="hybridMultilevel"/>
    <w:tmpl w:val="8A6E3CE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3C33FE3"/>
    <w:multiLevelType w:val="multilevel"/>
    <w:tmpl w:val="72243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A76D45"/>
    <w:multiLevelType w:val="hybridMultilevel"/>
    <w:tmpl w:val="857A3C18"/>
    <w:lvl w:ilvl="0" w:tplc="86B65784">
      <w:start w:val="1"/>
      <w:numFmt w:val="bullet"/>
      <w:lvlText w:val=""/>
      <w:lvlJc w:val="left"/>
      <w:pPr>
        <w:ind w:left="720" w:hanging="360"/>
      </w:pPr>
      <w:rPr>
        <w:rFonts w:ascii="Symbol" w:hAnsi="Symbol" w:hint="default"/>
      </w:rPr>
    </w:lvl>
    <w:lvl w:ilvl="1" w:tplc="F97246A8" w:tentative="1">
      <w:start w:val="1"/>
      <w:numFmt w:val="bullet"/>
      <w:lvlText w:val="o"/>
      <w:lvlJc w:val="left"/>
      <w:pPr>
        <w:ind w:left="1440" w:hanging="360"/>
      </w:pPr>
      <w:rPr>
        <w:rFonts w:ascii="Courier New" w:hAnsi="Courier New" w:cs="Courier New" w:hint="default"/>
      </w:rPr>
    </w:lvl>
    <w:lvl w:ilvl="2" w:tplc="1F00BDE0" w:tentative="1">
      <w:start w:val="1"/>
      <w:numFmt w:val="bullet"/>
      <w:lvlText w:val=""/>
      <w:lvlJc w:val="left"/>
      <w:pPr>
        <w:ind w:left="2160" w:hanging="360"/>
      </w:pPr>
      <w:rPr>
        <w:rFonts w:ascii="Wingdings" w:hAnsi="Wingdings" w:hint="default"/>
      </w:rPr>
    </w:lvl>
    <w:lvl w:ilvl="3" w:tplc="E8F215B8" w:tentative="1">
      <w:start w:val="1"/>
      <w:numFmt w:val="bullet"/>
      <w:lvlText w:val=""/>
      <w:lvlJc w:val="left"/>
      <w:pPr>
        <w:ind w:left="2880" w:hanging="360"/>
      </w:pPr>
      <w:rPr>
        <w:rFonts w:ascii="Symbol" w:hAnsi="Symbol" w:hint="default"/>
      </w:rPr>
    </w:lvl>
    <w:lvl w:ilvl="4" w:tplc="7414A1F0" w:tentative="1">
      <w:start w:val="1"/>
      <w:numFmt w:val="bullet"/>
      <w:lvlText w:val="o"/>
      <w:lvlJc w:val="left"/>
      <w:pPr>
        <w:ind w:left="3600" w:hanging="360"/>
      </w:pPr>
      <w:rPr>
        <w:rFonts w:ascii="Courier New" w:hAnsi="Courier New" w:cs="Courier New" w:hint="default"/>
      </w:rPr>
    </w:lvl>
    <w:lvl w:ilvl="5" w:tplc="12F6A61C" w:tentative="1">
      <w:start w:val="1"/>
      <w:numFmt w:val="bullet"/>
      <w:lvlText w:val=""/>
      <w:lvlJc w:val="left"/>
      <w:pPr>
        <w:ind w:left="4320" w:hanging="360"/>
      </w:pPr>
      <w:rPr>
        <w:rFonts w:ascii="Wingdings" w:hAnsi="Wingdings" w:hint="default"/>
      </w:rPr>
    </w:lvl>
    <w:lvl w:ilvl="6" w:tplc="18B67352" w:tentative="1">
      <w:start w:val="1"/>
      <w:numFmt w:val="bullet"/>
      <w:lvlText w:val=""/>
      <w:lvlJc w:val="left"/>
      <w:pPr>
        <w:ind w:left="5040" w:hanging="360"/>
      </w:pPr>
      <w:rPr>
        <w:rFonts w:ascii="Symbol" w:hAnsi="Symbol" w:hint="default"/>
      </w:rPr>
    </w:lvl>
    <w:lvl w:ilvl="7" w:tplc="9F4A53E2" w:tentative="1">
      <w:start w:val="1"/>
      <w:numFmt w:val="bullet"/>
      <w:lvlText w:val="o"/>
      <w:lvlJc w:val="left"/>
      <w:pPr>
        <w:ind w:left="5760" w:hanging="360"/>
      </w:pPr>
      <w:rPr>
        <w:rFonts w:ascii="Courier New" w:hAnsi="Courier New" w:cs="Courier New" w:hint="default"/>
      </w:rPr>
    </w:lvl>
    <w:lvl w:ilvl="8" w:tplc="70C8112E" w:tentative="1">
      <w:start w:val="1"/>
      <w:numFmt w:val="bullet"/>
      <w:lvlText w:val=""/>
      <w:lvlJc w:val="left"/>
      <w:pPr>
        <w:ind w:left="6480" w:hanging="360"/>
      </w:pPr>
      <w:rPr>
        <w:rFonts w:ascii="Wingdings" w:hAnsi="Wingdings" w:hint="default"/>
      </w:rPr>
    </w:lvl>
  </w:abstractNum>
  <w:abstractNum w:abstractNumId="20" w15:restartNumberingAfterBreak="0">
    <w:nsid w:val="4B861E3A"/>
    <w:multiLevelType w:val="multilevel"/>
    <w:tmpl w:val="AEF8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D17045"/>
    <w:multiLevelType w:val="multilevel"/>
    <w:tmpl w:val="A216C292"/>
    <w:lvl w:ilvl="0">
      <w:start w:val="1"/>
      <w:numFmt w:val="upperLetter"/>
      <w:pStyle w:val="Subbab"/>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2" w15:restartNumberingAfterBreak="0">
    <w:nsid w:val="51FF62DB"/>
    <w:multiLevelType w:val="multilevel"/>
    <w:tmpl w:val="8A964010"/>
    <w:lvl w:ilvl="0">
      <w:start w:val="1"/>
      <w:numFmt w:val="decimal"/>
      <w:lvlText w:val="%1."/>
      <w:lvlJc w:val="left"/>
      <w:pPr>
        <w:tabs>
          <w:tab w:val="num" w:pos="0"/>
        </w:tabs>
        <w:ind w:left="1080" w:hanging="720"/>
      </w:pPr>
    </w:lvl>
    <w:lvl w:ilvl="1">
      <w:start w:val="1"/>
      <w:numFmt w:val="lowerLetter"/>
      <w:lvlText w:val="%2."/>
      <w:lvlJc w:val="left"/>
      <w:pPr>
        <w:tabs>
          <w:tab w:val="num" w:pos="0"/>
        </w:tabs>
        <w:ind w:left="1575" w:hanging="495"/>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59A12FB4"/>
    <w:multiLevelType w:val="hybridMultilevel"/>
    <w:tmpl w:val="B5C02134"/>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1DD257B"/>
    <w:multiLevelType w:val="hybridMultilevel"/>
    <w:tmpl w:val="75604698"/>
    <w:lvl w:ilvl="0" w:tplc="FD5A2952">
      <w:start w:val="1"/>
      <w:numFmt w:val="bullet"/>
      <w:lvlText w:val=""/>
      <w:lvlJc w:val="left"/>
      <w:pPr>
        <w:ind w:left="720" w:hanging="360"/>
      </w:pPr>
      <w:rPr>
        <w:rFonts w:ascii="Symbol" w:hAnsi="Symbol" w:hint="default"/>
      </w:rPr>
    </w:lvl>
    <w:lvl w:ilvl="1" w:tplc="AC826E4C" w:tentative="1">
      <w:start w:val="1"/>
      <w:numFmt w:val="bullet"/>
      <w:lvlText w:val="o"/>
      <w:lvlJc w:val="left"/>
      <w:pPr>
        <w:ind w:left="1440" w:hanging="360"/>
      </w:pPr>
      <w:rPr>
        <w:rFonts w:ascii="Courier New" w:hAnsi="Courier New" w:cs="Courier New" w:hint="default"/>
      </w:rPr>
    </w:lvl>
    <w:lvl w:ilvl="2" w:tplc="C5946030" w:tentative="1">
      <w:start w:val="1"/>
      <w:numFmt w:val="bullet"/>
      <w:lvlText w:val=""/>
      <w:lvlJc w:val="left"/>
      <w:pPr>
        <w:ind w:left="2160" w:hanging="360"/>
      </w:pPr>
      <w:rPr>
        <w:rFonts w:ascii="Wingdings" w:hAnsi="Wingdings" w:hint="default"/>
      </w:rPr>
    </w:lvl>
    <w:lvl w:ilvl="3" w:tplc="9140CD5A" w:tentative="1">
      <w:start w:val="1"/>
      <w:numFmt w:val="bullet"/>
      <w:lvlText w:val=""/>
      <w:lvlJc w:val="left"/>
      <w:pPr>
        <w:ind w:left="2880" w:hanging="360"/>
      </w:pPr>
      <w:rPr>
        <w:rFonts w:ascii="Symbol" w:hAnsi="Symbol" w:hint="default"/>
      </w:rPr>
    </w:lvl>
    <w:lvl w:ilvl="4" w:tplc="8A2427E8" w:tentative="1">
      <w:start w:val="1"/>
      <w:numFmt w:val="bullet"/>
      <w:lvlText w:val="o"/>
      <w:lvlJc w:val="left"/>
      <w:pPr>
        <w:ind w:left="3600" w:hanging="360"/>
      </w:pPr>
      <w:rPr>
        <w:rFonts w:ascii="Courier New" w:hAnsi="Courier New" w:cs="Courier New" w:hint="default"/>
      </w:rPr>
    </w:lvl>
    <w:lvl w:ilvl="5" w:tplc="7932D1F4" w:tentative="1">
      <w:start w:val="1"/>
      <w:numFmt w:val="bullet"/>
      <w:lvlText w:val=""/>
      <w:lvlJc w:val="left"/>
      <w:pPr>
        <w:ind w:left="4320" w:hanging="360"/>
      </w:pPr>
      <w:rPr>
        <w:rFonts w:ascii="Wingdings" w:hAnsi="Wingdings" w:hint="default"/>
      </w:rPr>
    </w:lvl>
    <w:lvl w:ilvl="6" w:tplc="FE22FA88" w:tentative="1">
      <w:start w:val="1"/>
      <w:numFmt w:val="bullet"/>
      <w:lvlText w:val=""/>
      <w:lvlJc w:val="left"/>
      <w:pPr>
        <w:ind w:left="5040" w:hanging="360"/>
      </w:pPr>
      <w:rPr>
        <w:rFonts w:ascii="Symbol" w:hAnsi="Symbol" w:hint="default"/>
      </w:rPr>
    </w:lvl>
    <w:lvl w:ilvl="7" w:tplc="FA6CB3E4" w:tentative="1">
      <w:start w:val="1"/>
      <w:numFmt w:val="bullet"/>
      <w:lvlText w:val="o"/>
      <w:lvlJc w:val="left"/>
      <w:pPr>
        <w:ind w:left="5760" w:hanging="360"/>
      </w:pPr>
      <w:rPr>
        <w:rFonts w:ascii="Courier New" w:hAnsi="Courier New" w:cs="Courier New" w:hint="default"/>
      </w:rPr>
    </w:lvl>
    <w:lvl w:ilvl="8" w:tplc="CD80402C" w:tentative="1">
      <w:start w:val="1"/>
      <w:numFmt w:val="bullet"/>
      <w:lvlText w:val=""/>
      <w:lvlJc w:val="left"/>
      <w:pPr>
        <w:ind w:left="6480" w:hanging="360"/>
      </w:pPr>
      <w:rPr>
        <w:rFonts w:ascii="Wingdings" w:hAnsi="Wingdings" w:hint="default"/>
      </w:rPr>
    </w:lvl>
  </w:abstractNum>
  <w:abstractNum w:abstractNumId="25" w15:restartNumberingAfterBreak="0">
    <w:nsid w:val="623555FB"/>
    <w:multiLevelType w:val="hybridMultilevel"/>
    <w:tmpl w:val="95CC3E06"/>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2FE037F"/>
    <w:multiLevelType w:val="hybridMultilevel"/>
    <w:tmpl w:val="AE686114"/>
    <w:lvl w:ilvl="0" w:tplc="60F89C18">
      <w:start w:val="1"/>
      <w:numFmt w:val="bullet"/>
      <w:lvlText w:val=""/>
      <w:lvlJc w:val="left"/>
      <w:pPr>
        <w:ind w:left="720" w:hanging="360"/>
      </w:pPr>
      <w:rPr>
        <w:rFonts w:ascii="Symbol" w:hAnsi="Symbol" w:hint="default"/>
      </w:rPr>
    </w:lvl>
    <w:lvl w:ilvl="1" w:tplc="B2A28E78" w:tentative="1">
      <w:start w:val="1"/>
      <w:numFmt w:val="bullet"/>
      <w:lvlText w:val="o"/>
      <w:lvlJc w:val="left"/>
      <w:pPr>
        <w:ind w:left="1440" w:hanging="360"/>
      </w:pPr>
      <w:rPr>
        <w:rFonts w:ascii="Courier New" w:hAnsi="Courier New" w:cs="Courier New" w:hint="default"/>
      </w:rPr>
    </w:lvl>
    <w:lvl w:ilvl="2" w:tplc="030C3D1C" w:tentative="1">
      <w:start w:val="1"/>
      <w:numFmt w:val="bullet"/>
      <w:lvlText w:val=""/>
      <w:lvlJc w:val="left"/>
      <w:pPr>
        <w:ind w:left="2160" w:hanging="360"/>
      </w:pPr>
      <w:rPr>
        <w:rFonts w:ascii="Wingdings" w:hAnsi="Wingdings" w:hint="default"/>
      </w:rPr>
    </w:lvl>
    <w:lvl w:ilvl="3" w:tplc="EB5E0AB8" w:tentative="1">
      <w:start w:val="1"/>
      <w:numFmt w:val="bullet"/>
      <w:lvlText w:val=""/>
      <w:lvlJc w:val="left"/>
      <w:pPr>
        <w:ind w:left="2880" w:hanging="360"/>
      </w:pPr>
      <w:rPr>
        <w:rFonts w:ascii="Symbol" w:hAnsi="Symbol" w:hint="default"/>
      </w:rPr>
    </w:lvl>
    <w:lvl w:ilvl="4" w:tplc="AAC839C4" w:tentative="1">
      <w:start w:val="1"/>
      <w:numFmt w:val="bullet"/>
      <w:lvlText w:val="o"/>
      <w:lvlJc w:val="left"/>
      <w:pPr>
        <w:ind w:left="3600" w:hanging="360"/>
      </w:pPr>
      <w:rPr>
        <w:rFonts w:ascii="Courier New" w:hAnsi="Courier New" w:cs="Courier New" w:hint="default"/>
      </w:rPr>
    </w:lvl>
    <w:lvl w:ilvl="5" w:tplc="79504ED6" w:tentative="1">
      <w:start w:val="1"/>
      <w:numFmt w:val="bullet"/>
      <w:lvlText w:val=""/>
      <w:lvlJc w:val="left"/>
      <w:pPr>
        <w:ind w:left="4320" w:hanging="360"/>
      </w:pPr>
      <w:rPr>
        <w:rFonts w:ascii="Wingdings" w:hAnsi="Wingdings" w:hint="default"/>
      </w:rPr>
    </w:lvl>
    <w:lvl w:ilvl="6" w:tplc="E51C091C" w:tentative="1">
      <w:start w:val="1"/>
      <w:numFmt w:val="bullet"/>
      <w:lvlText w:val=""/>
      <w:lvlJc w:val="left"/>
      <w:pPr>
        <w:ind w:left="5040" w:hanging="360"/>
      </w:pPr>
      <w:rPr>
        <w:rFonts w:ascii="Symbol" w:hAnsi="Symbol" w:hint="default"/>
      </w:rPr>
    </w:lvl>
    <w:lvl w:ilvl="7" w:tplc="EC0061A0" w:tentative="1">
      <w:start w:val="1"/>
      <w:numFmt w:val="bullet"/>
      <w:lvlText w:val="o"/>
      <w:lvlJc w:val="left"/>
      <w:pPr>
        <w:ind w:left="5760" w:hanging="360"/>
      </w:pPr>
      <w:rPr>
        <w:rFonts w:ascii="Courier New" w:hAnsi="Courier New" w:cs="Courier New" w:hint="default"/>
      </w:rPr>
    </w:lvl>
    <w:lvl w:ilvl="8" w:tplc="C0AAAB90" w:tentative="1">
      <w:start w:val="1"/>
      <w:numFmt w:val="bullet"/>
      <w:lvlText w:val=""/>
      <w:lvlJc w:val="left"/>
      <w:pPr>
        <w:ind w:left="6480" w:hanging="360"/>
      </w:pPr>
      <w:rPr>
        <w:rFonts w:ascii="Wingdings" w:hAnsi="Wingdings" w:hint="default"/>
      </w:rPr>
    </w:lvl>
  </w:abstractNum>
  <w:abstractNum w:abstractNumId="27" w15:restartNumberingAfterBreak="0">
    <w:nsid w:val="656A7203"/>
    <w:multiLevelType w:val="multilevel"/>
    <w:tmpl w:val="86087966"/>
    <w:lvl w:ilvl="0">
      <w:start w:val="1"/>
      <w:numFmt w:val="decimal"/>
      <w:pStyle w:val="Heading1"/>
      <w:lvlText w:val="%1."/>
      <w:lvlJc w:val="left"/>
      <w:pPr>
        <w:ind w:left="2417" w:hanging="432"/>
      </w:pPr>
      <w:rPr>
        <w:rFonts w:hint="default"/>
      </w:rPr>
    </w:lvl>
    <w:lvl w:ilvl="1">
      <w:start w:val="1"/>
      <w:numFmt w:val="decimal"/>
      <w:pStyle w:val="Heading2"/>
      <w:lvlText w:val="%1.%2."/>
      <w:lvlJc w:val="left"/>
      <w:pPr>
        <w:ind w:left="7664"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69146C0C"/>
    <w:multiLevelType w:val="hybridMultilevel"/>
    <w:tmpl w:val="72801B7A"/>
    <w:lvl w:ilvl="0" w:tplc="B40CB398">
      <w:start w:val="1"/>
      <w:numFmt w:val="decimal"/>
      <w:lvlText w:val="%1."/>
      <w:lvlJc w:val="left"/>
      <w:pPr>
        <w:ind w:left="720" w:hanging="360"/>
      </w:pPr>
    </w:lvl>
    <w:lvl w:ilvl="1" w:tplc="728AAEA2" w:tentative="1">
      <w:start w:val="1"/>
      <w:numFmt w:val="lowerLetter"/>
      <w:lvlText w:val="%2."/>
      <w:lvlJc w:val="left"/>
      <w:pPr>
        <w:ind w:left="1440" w:hanging="360"/>
      </w:pPr>
    </w:lvl>
    <w:lvl w:ilvl="2" w:tplc="0786EB32" w:tentative="1">
      <w:start w:val="1"/>
      <w:numFmt w:val="lowerRoman"/>
      <w:lvlText w:val="%3."/>
      <w:lvlJc w:val="right"/>
      <w:pPr>
        <w:ind w:left="2160" w:hanging="180"/>
      </w:pPr>
    </w:lvl>
    <w:lvl w:ilvl="3" w:tplc="5E94F0B2" w:tentative="1">
      <w:start w:val="1"/>
      <w:numFmt w:val="decimal"/>
      <w:lvlText w:val="%4."/>
      <w:lvlJc w:val="left"/>
      <w:pPr>
        <w:ind w:left="2880" w:hanging="360"/>
      </w:pPr>
    </w:lvl>
    <w:lvl w:ilvl="4" w:tplc="6F36EC1C" w:tentative="1">
      <w:start w:val="1"/>
      <w:numFmt w:val="lowerLetter"/>
      <w:lvlText w:val="%5."/>
      <w:lvlJc w:val="left"/>
      <w:pPr>
        <w:ind w:left="3600" w:hanging="360"/>
      </w:pPr>
    </w:lvl>
    <w:lvl w:ilvl="5" w:tplc="B16AB8B0" w:tentative="1">
      <w:start w:val="1"/>
      <w:numFmt w:val="lowerRoman"/>
      <w:lvlText w:val="%6."/>
      <w:lvlJc w:val="right"/>
      <w:pPr>
        <w:ind w:left="4320" w:hanging="180"/>
      </w:pPr>
    </w:lvl>
    <w:lvl w:ilvl="6" w:tplc="BDAC1F5A" w:tentative="1">
      <w:start w:val="1"/>
      <w:numFmt w:val="decimal"/>
      <w:lvlText w:val="%7."/>
      <w:lvlJc w:val="left"/>
      <w:pPr>
        <w:ind w:left="5040" w:hanging="360"/>
      </w:pPr>
    </w:lvl>
    <w:lvl w:ilvl="7" w:tplc="16AAC1D6" w:tentative="1">
      <w:start w:val="1"/>
      <w:numFmt w:val="lowerLetter"/>
      <w:lvlText w:val="%8."/>
      <w:lvlJc w:val="left"/>
      <w:pPr>
        <w:ind w:left="5760" w:hanging="360"/>
      </w:pPr>
    </w:lvl>
    <w:lvl w:ilvl="8" w:tplc="C6BCC696" w:tentative="1">
      <w:start w:val="1"/>
      <w:numFmt w:val="lowerRoman"/>
      <w:lvlText w:val="%9."/>
      <w:lvlJc w:val="right"/>
      <w:pPr>
        <w:ind w:left="6480" w:hanging="180"/>
      </w:pPr>
    </w:lvl>
  </w:abstractNum>
  <w:abstractNum w:abstractNumId="29" w15:restartNumberingAfterBreak="0">
    <w:nsid w:val="6AD0091C"/>
    <w:multiLevelType w:val="multilevel"/>
    <w:tmpl w:val="7300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821FBF"/>
    <w:multiLevelType w:val="hybridMultilevel"/>
    <w:tmpl w:val="20C69466"/>
    <w:lvl w:ilvl="0" w:tplc="AE7085CE">
      <w:start w:val="1"/>
      <w:numFmt w:val="lowerLetter"/>
      <w:lvlText w:val="%1."/>
      <w:lvlJc w:val="left"/>
      <w:pPr>
        <w:ind w:left="1004" w:hanging="360"/>
      </w:pPr>
    </w:lvl>
    <w:lvl w:ilvl="1" w:tplc="D4B6D0BA" w:tentative="1">
      <w:start w:val="1"/>
      <w:numFmt w:val="lowerLetter"/>
      <w:lvlText w:val="%2."/>
      <w:lvlJc w:val="left"/>
      <w:pPr>
        <w:ind w:left="1724" w:hanging="360"/>
      </w:pPr>
    </w:lvl>
    <w:lvl w:ilvl="2" w:tplc="F5626830" w:tentative="1">
      <w:start w:val="1"/>
      <w:numFmt w:val="lowerRoman"/>
      <w:lvlText w:val="%3."/>
      <w:lvlJc w:val="right"/>
      <w:pPr>
        <w:ind w:left="2444" w:hanging="180"/>
      </w:pPr>
    </w:lvl>
    <w:lvl w:ilvl="3" w:tplc="8F089ACE" w:tentative="1">
      <w:start w:val="1"/>
      <w:numFmt w:val="decimal"/>
      <w:lvlText w:val="%4."/>
      <w:lvlJc w:val="left"/>
      <w:pPr>
        <w:ind w:left="3164" w:hanging="360"/>
      </w:pPr>
    </w:lvl>
    <w:lvl w:ilvl="4" w:tplc="48DED8C8" w:tentative="1">
      <w:start w:val="1"/>
      <w:numFmt w:val="lowerLetter"/>
      <w:lvlText w:val="%5."/>
      <w:lvlJc w:val="left"/>
      <w:pPr>
        <w:ind w:left="3884" w:hanging="360"/>
      </w:pPr>
    </w:lvl>
    <w:lvl w:ilvl="5" w:tplc="F162FEBC" w:tentative="1">
      <w:start w:val="1"/>
      <w:numFmt w:val="lowerRoman"/>
      <w:lvlText w:val="%6."/>
      <w:lvlJc w:val="right"/>
      <w:pPr>
        <w:ind w:left="4604" w:hanging="180"/>
      </w:pPr>
    </w:lvl>
    <w:lvl w:ilvl="6" w:tplc="2F18FC22" w:tentative="1">
      <w:start w:val="1"/>
      <w:numFmt w:val="decimal"/>
      <w:lvlText w:val="%7."/>
      <w:lvlJc w:val="left"/>
      <w:pPr>
        <w:ind w:left="5324" w:hanging="360"/>
      </w:pPr>
    </w:lvl>
    <w:lvl w:ilvl="7" w:tplc="31981710" w:tentative="1">
      <w:start w:val="1"/>
      <w:numFmt w:val="lowerLetter"/>
      <w:lvlText w:val="%8."/>
      <w:lvlJc w:val="left"/>
      <w:pPr>
        <w:ind w:left="6044" w:hanging="360"/>
      </w:pPr>
    </w:lvl>
    <w:lvl w:ilvl="8" w:tplc="0AE2ECCA" w:tentative="1">
      <w:start w:val="1"/>
      <w:numFmt w:val="lowerRoman"/>
      <w:lvlText w:val="%9."/>
      <w:lvlJc w:val="right"/>
      <w:pPr>
        <w:ind w:left="6764" w:hanging="180"/>
      </w:pPr>
    </w:lvl>
  </w:abstractNum>
  <w:abstractNum w:abstractNumId="31" w15:restartNumberingAfterBreak="0">
    <w:nsid w:val="6C1A6289"/>
    <w:multiLevelType w:val="hybridMultilevel"/>
    <w:tmpl w:val="DCCAC8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E9646E2"/>
    <w:multiLevelType w:val="multilevel"/>
    <w:tmpl w:val="73203070"/>
    <w:lvl w:ilvl="0">
      <w:start w:val="1"/>
      <w:numFmt w:val="decimal"/>
      <w:lvlText w:val="%1."/>
      <w:lvlJc w:val="left"/>
      <w:pPr>
        <w:tabs>
          <w:tab w:val="num" w:pos="0"/>
        </w:tabs>
        <w:ind w:left="1080" w:hanging="720"/>
      </w:pPr>
      <w:rPr>
        <w:rFonts w:hint="default"/>
      </w:rPr>
    </w:lvl>
    <w:lvl w:ilvl="1">
      <w:start w:val="1"/>
      <w:numFmt w:val="decimal"/>
      <w:lvlText w:val="%2)"/>
      <w:lvlJc w:val="left"/>
      <w:pPr>
        <w:tabs>
          <w:tab w:val="num" w:pos="0"/>
        </w:tabs>
        <w:ind w:left="1440" w:hanging="36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F641EA5"/>
    <w:multiLevelType w:val="hybridMultilevel"/>
    <w:tmpl w:val="1C5A0A38"/>
    <w:lvl w:ilvl="0" w:tplc="D696B400">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4" w15:restartNumberingAfterBreak="0">
    <w:nsid w:val="70C747DF"/>
    <w:multiLevelType w:val="hybridMultilevel"/>
    <w:tmpl w:val="EB34D786"/>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5" w15:restartNumberingAfterBreak="0">
    <w:nsid w:val="72D946F3"/>
    <w:multiLevelType w:val="multilevel"/>
    <w:tmpl w:val="3976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190FA8"/>
    <w:multiLevelType w:val="hybridMultilevel"/>
    <w:tmpl w:val="C1CADF74"/>
    <w:lvl w:ilvl="0" w:tplc="1D56AF54">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7" w15:restartNumberingAfterBreak="0">
    <w:nsid w:val="76167EFA"/>
    <w:multiLevelType w:val="hybridMultilevel"/>
    <w:tmpl w:val="9C804848"/>
    <w:lvl w:ilvl="0" w:tplc="21A62A56">
      <w:start w:val="1"/>
      <w:numFmt w:val="lowerLetter"/>
      <w:lvlText w:val="%1."/>
      <w:lvlJc w:val="left"/>
      <w:pPr>
        <w:ind w:left="3854" w:hanging="357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8" w15:restartNumberingAfterBreak="0">
    <w:nsid w:val="76600E31"/>
    <w:multiLevelType w:val="multilevel"/>
    <w:tmpl w:val="4ACAB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CD6E39"/>
    <w:multiLevelType w:val="hybridMultilevel"/>
    <w:tmpl w:val="B29202A2"/>
    <w:lvl w:ilvl="0" w:tplc="1564261E">
      <w:start w:val="1"/>
      <w:numFmt w:val="lowerLetter"/>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97257A5"/>
    <w:multiLevelType w:val="hybridMultilevel"/>
    <w:tmpl w:val="5798EC8A"/>
    <w:lvl w:ilvl="0" w:tplc="C58E606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1" w15:restartNumberingAfterBreak="0">
    <w:nsid w:val="7FA37125"/>
    <w:multiLevelType w:val="hybridMultilevel"/>
    <w:tmpl w:val="F12CE522"/>
    <w:lvl w:ilvl="0" w:tplc="234ED240">
      <w:start w:val="1"/>
      <w:numFmt w:val="lowerLetter"/>
      <w:lvlText w:val="%1)"/>
      <w:lvlJc w:val="left"/>
      <w:pPr>
        <w:ind w:left="1004" w:hanging="360"/>
      </w:pPr>
    </w:lvl>
    <w:lvl w:ilvl="1" w:tplc="8A2C4A58" w:tentative="1">
      <w:start w:val="1"/>
      <w:numFmt w:val="lowerLetter"/>
      <w:lvlText w:val="%2."/>
      <w:lvlJc w:val="left"/>
      <w:pPr>
        <w:ind w:left="1724" w:hanging="360"/>
      </w:pPr>
    </w:lvl>
    <w:lvl w:ilvl="2" w:tplc="785835EA" w:tentative="1">
      <w:start w:val="1"/>
      <w:numFmt w:val="lowerRoman"/>
      <w:lvlText w:val="%3."/>
      <w:lvlJc w:val="right"/>
      <w:pPr>
        <w:ind w:left="2444" w:hanging="180"/>
      </w:pPr>
    </w:lvl>
    <w:lvl w:ilvl="3" w:tplc="E2BE3ED6" w:tentative="1">
      <w:start w:val="1"/>
      <w:numFmt w:val="decimal"/>
      <w:lvlText w:val="%4."/>
      <w:lvlJc w:val="left"/>
      <w:pPr>
        <w:ind w:left="3164" w:hanging="360"/>
      </w:pPr>
    </w:lvl>
    <w:lvl w:ilvl="4" w:tplc="2960D2F8" w:tentative="1">
      <w:start w:val="1"/>
      <w:numFmt w:val="lowerLetter"/>
      <w:lvlText w:val="%5."/>
      <w:lvlJc w:val="left"/>
      <w:pPr>
        <w:ind w:left="3884" w:hanging="360"/>
      </w:pPr>
    </w:lvl>
    <w:lvl w:ilvl="5" w:tplc="F2485E56" w:tentative="1">
      <w:start w:val="1"/>
      <w:numFmt w:val="lowerRoman"/>
      <w:lvlText w:val="%6."/>
      <w:lvlJc w:val="right"/>
      <w:pPr>
        <w:ind w:left="4604" w:hanging="180"/>
      </w:pPr>
    </w:lvl>
    <w:lvl w:ilvl="6" w:tplc="8B8051C8" w:tentative="1">
      <w:start w:val="1"/>
      <w:numFmt w:val="decimal"/>
      <w:lvlText w:val="%7."/>
      <w:lvlJc w:val="left"/>
      <w:pPr>
        <w:ind w:left="5324" w:hanging="360"/>
      </w:pPr>
    </w:lvl>
    <w:lvl w:ilvl="7" w:tplc="CC3C97A6" w:tentative="1">
      <w:start w:val="1"/>
      <w:numFmt w:val="lowerLetter"/>
      <w:lvlText w:val="%8."/>
      <w:lvlJc w:val="left"/>
      <w:pPr>
        <w:ind w:left="6044" w:hanging="360"/>
      </w:pPr>
    </w:lvl>
    <w:lvl w:ilvl="8" w:tplc="607A80CE" w:tentative="1">
      <w:start w:val="1"/>
      <w:numFmt w:val="lowerRoman"/>
      <w:lvlText w:val="%9."/>
      <w:lvlJc w:val="right"/>
      <w:pPr>
        <w:ind w:left="6764" w:hanging="180"/>
      </w:pPr>
    </w:lvl>
  </w:abstractNum>
  <w:num w:numId="1" w16cid:durableId="1999534742">
    <w:abstractNumId w:val="32"/>
  </w:num>
  <w:num w:numId="2" w16cid:durableId="427965965">
    <w:abstractNumId w:val="21"/>
  </w:num>
  <w:num w:numId="3" w16cid:durableId="145905796">
    <w:abstractNumId w:val="0"/>
  </w:num>
  <w:num w:numId="4" w16cid:durableId="35938171">
    <w:abstractNumId w:val="22"/>
  </w:num>
  <w:num w:numId="5" w16cid:durableId="1526403022">
    <w:abstractNumId w:val="32"/>
    <w:lvlOverride w:ilvl="0">
      <w:startOverride w:val="1"/>
      <w:lvl w:ilvl="0">
        <w:start w:val="1"/>
        <w:numFmt w:val="decimal"/>
        <w:lvlText w:val=""/>
        <w:lvlJc w:val="left"/>
      </w:lvl>
    </w:lvlOverride>
    <w:lvlOverride w:ilvl="1">
      <w:startOverride w:val="1"/>
      <w:lvl w:ilvl="1">
        <w:start w:val="1"/>
        <w:numFmt w:val="lowerLetter"/>
        <w:lvlText w:val="%2."/>
        <w:lvlJc w:val="left"/>
        <w:pPr>
          <w:tabs>
            <w:tab w:val="num" w:pos="0"/>
          </w:tabs>
          <w:ind w:left="1575" w:hanging="495"/>
        </w:pPr>
      </w:lvl>
    </w:lvlOverride>
    <w:lvlOverride w:ilvl="2">
      <w:startOverride w:val="1"/>
      <w:lvl w:ilvl="2">
        <w:start w:val="1"/>
        <w:numFmt w:val="lowerRoman"/>
        <w:lvlText w:val="%3."/>
        <w:lvlJc w:val="right"/>
        <w:pPr>
          <w:tabs>
            <w:tab w:val="num" w:pos="0"/>
          </w:tabs>
          <w:ind w:left="2160" w:hanging="180"/>
        </w:pPr>
      </w:lvl>
    </w:lvlOverride>
    <w:lvlOverride w:ilvl="3">
      <w:startOverride w:val="1"/>
      <w:lvl w:ilvl="3">
        <w:start w:val="1"/>
        <w:numFmt w:val="decimal"/>
        <w:lvlText w:val="%4."/>
        <w:lvlJc w:val="left"/>
        <w:pPr>
          <w:tabs>
            <w:tab w:val="num" w:pos="0"/>
          </w:tabs>
          <w:ind w:left="2880" w:hanging="360"/>
        </w:pPr>
      </w:lvl>
    </w:lvlOverride>
    <w:lvlOverride w:ilvl="4">
      <w:startOverride w:val="1"/>
      <w:lvl w:ilvl="4">
        <w:start w:val="1"/>
        <w:numFmt w:val="lowerLetter"/>
        <w:lvlText w:val="%5."/>
        <w:lvlJc w:val="left"/>
        <w:pPr>
          <w:tabs>
            <w:tab w:val="num" w:pos="0"/>
          </w:tabs>
          <w:ind w:left="3600" w:hanging="360"/>
        </w:pPr>
      </w:lvl>
    </w:lvlOverride>
    <w:lvlOverride w:ilvl="5">
      <w:startOverride w:val="1"/>
      <w:lvl w:ilvl="5">
        <w:start w:val="1"/>
        <w:numFmt w:val="lowerRoman"/>
        <w:lvlText w:val="%6."/>
        <w:lvlJc w:val="right"/>
        <w:pPr>
          <w:tabs>
            <w:tab w:val="num" w:pos="0"/>
          </w:tabs>
          <w:ind w:left="4320" w:hanging="180"/>
        </w:pPr>
      </w:lvl>
    </w:lvlOverride>
    <w:lvlOverride w:ilvl="6">
      <w:startOverride w:val="1"/>
      <w:lvl w:ilvl="6">
        <w:start w:val="1"/>
        <w:numFmt w:val="decimal"/>
        <w:lvlText w:val="%7."/>
        <w:lvlJc w:val="left"/>
        <w:pPr>
          <w:tabs>
            <w:tab w:val="num" w:pos="0"/>
          </w:tabs>
          <w:ind w:left="5040" w:hanging="360"/>
        </w:pPr>
      </w:lvl>
    </w:lvlOverride>
    <w:lvlOverride w:ilvl="7">
      <w:startOverride w:val="1"/>
      <w:lvl w:ilvl="7">
        <w:start w:val="1"/>
        <w:numFmt w:val="lowerLetter"/>
        <w:lvlText w:val="%8."/>
        <w:lvlJc w:val="left"/>
        <w:pPr>
          <w:tabs>
            <w:tab w:val="num" w:pos="0"/>
          </w:tabs>
          <w:ind w:left="5760" w:hanging="360"/>
        </w:pPr>
      </w:lvl>
    </w:lvlOverride>
    <w:lvlOverride w:ilvl="8">
      <w:startOverride w:val="1"/>
      <w:lvl w:ilvl="8">
        <w:start w:val="1"/>
        <w:numFmt w:val="lowerRoman"/>
        <w:lvlText w:val="%9."/>
        <w:lvlJc w:val="right"/>
        <w:pPr>
          <w:tabs>
            <w:tab w:val="num" w:pos="0"/>
          </w:tabs>
          <w:ind w:left="6480" w:hanging="180"/>
        </w:pPr>
      </w:lvl>
    </w:lvlOverride>
  </w:num>
  <w:num w:numId="6" w16cid:durableId="1774475512">
    <w:abstractNumId w:val="32"/>
  </w:num>
  <w:num w:numId="7" w16cid:durableId="19693117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747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430003">
    <w:abstractNumId w:val="41"/>
  </w:num>
  <w:num w:numId="10" w16cid:durableId="1414399455">
    <w:abstractNumId w:val="27"/>
  </w:num>
  <w:num w:numId="11" w16cid:durableId="1843423001">
    <w:abstractNumId w:val="28"/>
  </w:num>
  <w:num w:numId="12" w16cid:durableId="13558408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368752">
    <w:abstractNumId w:val="26"/>
  </w:num>
  <w:num w:numId="14" w16cid:durableId="1164278009">
    <w:abstractNumId w:val="19"/>
  </w:num>
  <w:num w:numId="15" w16cid:durableId="126438747">
    <w:abstractNumId w:val="24"/>
  </w:num>
  <w:num w:numId="16" w16cid:durableId="1570769745">
    <w:abstractNumId w:val="13"/>
  </w:num>
  <w:num w:numId="17" w16cid:durableId="2021278115">
    <w:abstractNumId w:val="2"/>
  </w:num>
  <w:num w:numId="18" w16cid:durableId="142476042">
    <w:abstractNumId w:val="12"/>
  </w:num>
  <w:num w:numId="19" w16cid:durableId="1280261032">
    <w:abstractNumId w:val="30"/>
  </w:num>
  <w:num w:numId="20" w16cid:durableId="1159348631">
    <w:abstractNumId w:val="7"/>
  </w:num>
  <w:num w:numId="21" w16cid:durableId="2043940381">
    <w:abstractNumId w:val="11"/>
  </w:num>
  <w:num w:numId="22" w16cid:durableId="142242179">
    <w:abstractNumId w:val="34"/>
  </w:num>
  <w:num w:numId="23" w16cid:durableId="498694183">
    <w:abstractNumId w:val="9"/>
  </w:num>
  <w:num w:numId="24" w16cid:durableId="1590887263">
    <w:abstractNumId w:val="3"/>
  </w:num>
  <w:num w:numId="25" w16cid:durableId="676080923">
    <w:abstractNumId w:val="37"/>
  </w:num>
  <w:num w:numId="26" w16cid:durableId="552815636">
    <w:abstractNumId w:val="20"/>
  </w:num>
  <w:num w:numId="27" w16cid:durableId="1435007151">
    <w:abstractNumId w:val="35"/>
  </w:num>
  <w:num w:numId="28" w16cid:durableId="614024249">
    <w:abstractNumId w:val="10"/>
  </w:num>
  <w:num w:numId="29" w16cid:durableId="191840951">
    <w:abstractNumId w:val="29"/>
  </w:num>
  <w:num w:numId="30" w16cid:durableId="810902380">
    <w:abstractNumId w:val="8"/>
  </w:num>
  <w:num w:numId="31" w16cid:durableId="1964723535">
    <w:abstractNumId w:val="4"/>
  </w:num>
  <w:num w:numId="32" w16cid:durableId="362436512">
    <w:abstractNumId w:val="25"/>
  </w:num>
  <w:num w:numId="33" w16cid:durableId="1006981445">
    <w:abstractNumId w:val="36"/>
  </w:num>
  <w:num w:numId="34" w16cid:durableId="1026445675">
    <w:abstractNumId w:val="17"/>
  </w:num>
  <w:num w:numId="35" w16cid:durableId="855655371">
    <w:abstractNumId w:val="14"/>
  </w:num>
  <w:num w:numId="36" w16cid:durableId="1848670883">
    <w:abstractNumId w:val="5"/>
  </w:num>
  <w:num w:numId="37" w16cid:durableId="670376122">
    <w:abstractNumId w:val="6"/>
  </w:num>
  <w:num w:numId="38" w16cid:durableId="333608263">
    <w:abstractNumId w:val="39"/>
  </w:num>
  <w:num w:numId="39" w16cid:durableId="2143225725">
    <w:abstractNumId w:val="15"/>
  </w:num>
  <w:num w:numId="40" w16cid:durableId="115176094">
    <w:abstractNumId w:val="38"/>
  </w:num>
  <w:num w:numId="41" w16cid:durableId="1915778481">
    <w:abstractNumId w:val="18"/>
  </w:num>
  <w:num w:numId="42" w16cid:durableId="1691447796">
    <w:abstractNumId w:val="40"/>
  </w:num>
  <w:num w:numId="43" w16cid:durableId="1526401620">
    <w:abstractNumId w:val="23"/>
  </w:num>
  <w:num w:numId="44" w16cid:durableId="816730810">
    <w:abstractNumId w:val="33"/>
  </w:num>
  <w:num w:numId="45" w16cid:durableId="1866598209">
    <w:abstractNumId w:val="16"/>
  </w:num>
  <w:num w:numId="46" w16cid:durableId="1294019565">
    <w:abstractNumId w:val="31"/>
  </w:num>
  <w:num w:numId="47" w16cid:durableId="226185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trackRevisions/>
  <w:defaultTabStop w:val="720"/>
  <w:autoHyphenation/>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OxNDY1MjA1t7A0MjBX0lEKTi0uzszPAykwrwUArnYQJywAAAA="/>
  </w:docVars>
  <w:rsids>
    <w:rsidRoot w:val="00864FF8"/>
    <w:rsid w:val="000030F0"/>
    <w:rsid w:val="00003217"/>
    <w:rsid w:val="00006C25"/>
    <w:rsid w:val="00007B5D"/>
    <w:rsid w:val="000119A6"/>
    <w:rsid w:val="000123AD"/>
    <w:rsid w:val="00013DA6"/>
    <w:rsid w:val="0001409B"/>
    <w:rsid w:val="0001574B"/>
    <w:rsid w:val="00017859"/>
    <w:rsid w:val="00021EF4"/>
    <w:rsid w:val="00022DFB"/>
    <w:rsid w:val="00024B29"/>
    <w:rsid w:val="000317DB"/>
    <w:rsid w:val="00036BB6"/>
    <w:rsid w:val="00037FC5"/>
    <w:rsid w:val="00043924"/>
    <w:rsid w:val="00045423"/>
    <w:rsid w:val="000559C0"/>
    <w:rsid w:val="0005784A"/>
    <w:rsid w:val="00061581"/>
    <w:rsid w:val="00062E4D"/>
    <w:rsid w:val="000706C6"/>
    <w:rsid w:val="00074A1A"/>
    <w:rsid w:val="0008029B"/>
    <w:rsid w:val="00081CD3"/>
    <w:rsid w:val="00084381"/>
    <w:rsid w:val="00085EBE"/>
    <w:rsid w:val="000907B6"/>
    <w:rsid w:val="000915FB"/>
    <w:rsid w:val="000924F1"/>
    <w:rsid w:val="000941D3"/>
    <w:rsid w:val="000963C1"/>
    <w:rsid w:val="00096CC2"/>
    <w:rsid w:val="00097D83"/>
    <w:rsid w:val="000A0E69"/>
    <w:rsid w:val="000A74BD"/>
    <w:rsid w:val="000B2FAE"/>
    <w:rsid w:val="000B6319"/>
    <w:rsid w:val="000C021E"/>
    <w:rsid w:val="000C1321"/>
    <w:rsid w:val="000C3B30"/>
    <w:rsid w:val="000D051A"/>
    <w:rsid w:val="000D1598"/>
    <w:rsid w:val="000D39C2"/>
    <w:rsid w:val="000D7285"/>
    <w:rsid w:val="000E28CE"/>
    <w:rsid w:val="000E4AFF"/>
    <w:rsid w:val="000E5415"/>
    <w:rsid w:val="000E6909"/>
    <w:rsid w:val="000F02A7"/>
    <w:rsid w:val="000F15DC"/>
    <w:rsid w:val="000F28B0"/>
    <w:rsid w:val="000F2D60"/>
    <w:rsid w:val="000F36C9"/>
    <w:rsid w:val="00111FE2"/>
    <w:rsid w:val="00112CBD"/>
    <w:rsid w:val="001131F8"/>
    <w:rsid w:val="00114C54"/>
    <w:rsid w:val="00115C34"/>
    <w:rsid w:val="0011747E"/>
    <w:rsid w:val="00117CFE"/>
    <w:rsid w:val="001210C5"/>
    <w:rsid w:val="00122C07"/>
    <w:rsid w:val="00124484"/>
    <w:rsid w:val="00126249"/>
    <w:rsid w:val="00127C1B"/>
    <w:rsid w:val="00130B33"/>
    <w:rsid w:val="00130F0D"/>
    <w:rsid w:val="00135722"/>
    <w:rsid w:val="00137A3B"/>
    <w:rsid w:val="00143809"/>
    <w:rsid w:val="00146934"/>
    <w:rsid w:val="001503FE"/>
    <w:rsid w:val="0015192B"/>
    <w:rsid w:val="00152BF8"/>
    <w:rsid w:val="00154FC7"/>
    <w:rsid w:val="00155035"/>
    <w:rsid w:val="001570E7"/>
    <w:rsid w:val="00160930"/>
    <w:rsid w:val="001653B4"/>
    <w:rsid w:val="00166AA8"/>
    <w:rsid w:val="00176F45"/>
    <w:rsid w:val="001771D5"/>
    <w:rsid w:val="0017747B"/>
    <w:rsid w:val="0018221F"/>
    <w:rsid w:val="0018389E"/>
    <w:rsid w:val="001842D1"/>
    <w:rsid w:val="0018761F"/>
    <w:rsid w:val="00194DE4"/>
    <w:rsid w:val="00195418"/>
    <w:rsid w:val="00195B5B"/>
    <w:rsid w:val="001A0796"/>
    <w:rsid w:val="001A12EB"/>
    <w:rsid w:val="001A354C"/>
    <w:rsid w:val="001B0212"/>
    <w:rsid w:val="001B0460"/>
    <w:rsid w:val="001B0AE2"/>
    <w:rsid w:val="001B4CC5"/>
    <w:rsid w:val="001B71EA"/>
    <w:rsid w:val="001B7439"/>
    <w:rsid w:val="001B7846"/>
    <w:rsid w:val="001B7BF5"/>
    <w:rsid w:val="001C5B25"/>
    <w:rsid w:val="001C5B73"/>
    <w:rsid w:val="001C7D37"/>
    <w:rsid w:val="001D1BDE"/>
    <w:rsid w:val="001D6052"/>
    <w:rsid w:val="001E27E6"/>
    <w:rsid w:val="001F00AA"/>
    <w:rsid w:val="001F09ED"/>
    <w:rsid w:val="001F1D74"/>
    <w:rsid w:val="001F232E"/>
    <w:rsid w:val="001F3118"/>
    <w:rsid w:val="001F606B"/>
    <w:rsid w:val="00203E12"/>
    <w:rsid w:val="00207725"/>
    <w:rsid w:val="00207E80"/>
    <w:rsid w:val="0021431C"/>
    <w:rsid w:val="0021462C"/>
    <w:rsid w:val="00214A4B"/>
    <w:rsid w:val="00217654"/>
    <w:rsid w:val="0022497E"/>
    <w:rsid w:val="00232C9B"/>
    <w:rsid w:val="00234139"/>
    <w:rsid w:val="002343C6"/>
    <w:rsid w:val="002358A0"/>
    <w:rsid w:val="002368F1"/>
    <w:rsid w:val="00244EFA"/>
    <w:rsid w:val="002515B8"/>
    <w:rsid w:val="002519B7"/>
    <w:rsid w:val="00254473"/>
    <w:rsid w:val="002565A6"/>
    <w:rsid w:val="00261BFB"/>
    <w:rsid w:val="00261FF2"/>
    <w:rsid w:val="002638B2"/>
    <w:rsid w:val="00263D13"/>
    <w:rsid w:val="002651B0"/>
    <w:rsid w:val="0026637C"/>
    <w:rsid w:val="00267FCD"/>
    <w:rsid w:val="00272CEE"/>
    <w:rsid w:val="00275EB7"/>
    <w:rsid w:val="00283AC6"/>
    <w:rsid w:val="00285F61"/>
    <w:rsid w:val="00287936"/>
    <w:rsid w:val="002927C9"/>
    <w:rsid w:val="00296B51"/>
    <w:rsid w:val="002A401D"/>
    <w:rsid w:val="002A6B27"/>
    <w:rsid w:val="002A74F3"/>
    <w:rsid w:val="002B179C"/>
    <w:rsid w:val="002B273A"/>
    <w:rsid w:val="002B2CC0"/>
    <w:rsid w:val="002C0A70"/>
    <w:rsid w:val="002C2E48"/>
    <w:rsid w:val="002C7235"/>
    <w:rsid w:val="002C7F49"/>
    <w:rsid w:val="002D2388"/>
    <w:rsid w:val="002D33ED"/>
    <w:rsid w:val="002D4A96"/>
    <w:rsid w:val="002D4AA6"/>
    <w:rsid w:val="002E7ABA"/>
    <w:rsid w:val="002F454A"/>
    <w:rsid w:val="002F6061"/>
    <w:rsid w:val="00302CD1"/>
    <w:rsid w:val="00303EBB"/>
    <w:rsid w:val="00304F14"/>
    <w:rsid w:val="003129DD"/>
    <w:rsid w:val="00324FD1"/>
    <w:rsid w:val="0032514A"/>
    <w:rsid w:val="003259C1"/>
    <w:rsid w:val="003328B4"/>
    <w:rsid w:val="003349B7"/>
    <w:rsid w:val="00337C17"/>
    <w:rsid w:val="00344219"/>
    <w:rsid w:val="00350027"/>
    <w:rsid w:val="00352B99"/>
    <w:rsid w:val="003531C7"/>
    <w:rsid w:val="00357706"/>
    <w:rsid w:val="0036037F"/>
    <w:rsid w:val="00363C17"/>
    <w:rsid w:val="00366327"/>
    <w:rsid w:val="00366F88"/>
    <w:rsid w:val="00373C2B"/>
    <w:rsid w:val="00375E97"/>
    <w:rsid w:val="003762E2"/>
    <w:rsid w:val="00382A80"/>
    <w:rsid w:val="00390283"/>
    <w:rsid w:val="00391BDB"/>
    <w:rsid w:val="0039759A"/>
    <w:rsid w:val="003A1D2E"/>
    <w:rsid w:val="003A2926"/>
    <w:rsid w:val="003A47B6"/>
    <w:rsid w:val="003A5885"/>
    <w:rsid w:val="003A7F2D"/>
    <w:rsid w:val="003B0B09"/>
    <w:rsid w:val="003B1246"/>
    <w:rsid w:val="003B4505"/>
    <w:rsid w:val="003C138F"/>
    <w:rsid w:val="003C4769"/>
    <w:rsid w:val="003C5025"/>
    <w:rsid w:val="003C62A0"/>
    <w:rsid w:val="003C730B"/>
    <w:rsid w:val="003D144E"/>
    <w:rsid w:val="003D6FC9"/>
    <w:rsid w:val="003E41C6"/>
    <w:rsid w:val="003E4596"/>
    <w:rsid w:val="003E49D2"/>
    <w:rsid w:val="003E4F42"/>
    <w:rsid w:val="003E7A32"/>
    <w:rsid w:val="003F1741"/>
    <w:rsid w:val="003F5956"/>
    <w:rsid w:val="003F781D"/>
    <w:rsid w:val="00400D7F"/>
    <w:rsid w:val="0040353E"/>
    <w:rsid w:val="00403ED4"/>
    <w:rsid w:val="004061C4"/>
    <w:rsid w:val="00406430"/>
    <w:rsid w:val="004144FA"/>
    <w:rsid w:val="00423E27"/>
    <w:rsid w:val="00425220"/>
    <w:rsid w:val="0042607B"/>
    <w:rsid w:val="004304C3"/>
    <w:rsid w:val="00431A61"/>
    <w:rsid w:val="00432459"/>
    <w:rsid w:val="00433B0E"/>
    <w:rsid w:val="00441AB5"/>
    <w:rsid w:val="00447413"/>
    <w:rsid w:val="00451264"/>
    <w:rsid w:val="004521BB"/>
    <w:rsid w:val="00456A8B"/>
    <w:rsid w:val="00460049"/>
    <w:rsid w:val="004622B9"/>
    <w:rsid w:val="00464A00"/>
    <w:rsid w:val="004655CE"/>
    <w:rsid w:val="00466DFF"/>
    <w:rsid w:val="00473E0B"/>
    <w:rsid w:val="00481E4D"/>
    <w:rsid w:val="00482307"/>
    <w:rsid w:val="00483E4E"/>
    <w:rsid w:val="0048523E"/>
    <w:rsid w:val="00486420"/>
    <w:rsid w:val="00487EEC"/>
    <w:rsid w:val="0049000B"/>
    <w:rsid w:val="004913FA"/>
    <w:rsid w:val="00493131"/>
    <w:rsid w:val="004937EF"/>
    <w:rsid w:val="00495BB5"/>
    <w:rsid w:val="004A03D0"/>
    <w:rsid w:val="004A200B"/>
    <w:rsid w:val="004A3449"/>
    <w:rsid w:val="004A391E"/>
    <w:rsid w:val="004A3CC1"/>
    <w:rsid w:val="004A476E"/>
    <w:rsid w:val="004A4DCF"/>
    <w:rsid w:val="004B1ADD"/>
    <w:rsid w:val="004B3B0D"/>
    <w:rsid w:val="004B4B55"/>
    <w:rsid w:val="004B4E66"/>
    <w:rsid w:val="004B70C3"/>
    <w:rsid w:val="004C12F7"/>
    <w:rsid w:val="004C5773"/>
    <w:rsid w:val="004D535A"/>
    <w:rsid w:val="004D5510"/>
    <w:rsid w:val="004E342A"/>
    <w:rsid w:val="004E3BBC"/>
    <w:rsid w:val="004E5148"/>
    <w:rsid w:val="004E5599"/>
    <w:rsid w:val="004E5772"/>
    <w:rsid w:val="004E7062"/>
    <w:rsid w:val="004F0624"/>
    <w:rsid w:val="004F0C15"/>
    <w:rsid w:val="004F2DC8"/>
    <w:rsid w:val="005003F7"/>
    <w:rsid w:val="00500504"/>
    <w:rsid w:val="005018C9"/>
    <w:rsid w:val="0050254D"/>
    <w:rsid w:val="00504C9B"/>
    <w:rsid w:val="0050680C"/>
    <w:rsid w:val="00506D3F"/>
    <w:rsid w:val="00512052"/>
    <w:rsid w:val="0051402A"/>
    <w:rsid w:val="00514C39"/>
    <w:rsid w:val="00515163"/>
    <w:rsid w:val="00515700"/>
    <w:rsid w:val="00516B31"/>
    <w:rsid w:val="00517F8B"/>
    <w:rsid w:val="0052140A"/>
    <w:rsid w:val="005214B9"/>
    <w:rsid w:val="0052467C"/>
    <w:rsid w:val="00525233"/>
    <w:rsid w:val="005303F5"/>
    <w:rsid w:val="00530E28"/>
    <w:rsid w:val="0053193C"/>
    <w:rsid w:val="00540743"/>
    <w:rsid w:val="00540E26"/>
    <w:rsid w:val="00546280"/>
    <w:rsid w:val="00552EA5"/>
    <w:rsid w:val="0056273A"/>
    <w:rsid w:val="0056641E"/>
    <w:rsid w:val="00572C05"/>
    <w:rsid w:val="00573C1B"/>
    <w:rsid w:val="0057499B"/>
    <w:rsid w:val="00574F02"/>
    <w:rsid w:val="005753F6"/>
    <w:rsid w:val="00576C4F"/>
    <w:rsid w:val="00580140"/>
    <w:rsid w:val="00586D1B"/>
    <w:rsid w:val="005879A2"/>
    <w:rsid w:val="00591376"/>
    <w:rsid w:val="00596397"/>
    <w:rsid w:val="0059708D"/>
    <w:rsid w:val="005A0E38"/>
    <w:rsid w:val="005A1487"/>
    <w:rsid w:val="005A1A6B"/>
    <w:rsid w:val="005A222C"/>
    <w:rsid w:val="005A23CB"/>
    <w:rsid w:val="005A25C1"/>
    <w:rsid w:val="005A53FB"/>
    <w:rsid w:val="005B07E9"/>
    <w:rsid w:val="005B3D26"/>
    <w:rsid w:val="005B6384"/>
    <w:rsid w:val="005C2450"/>
    <w:rsid w:val="005C7DDE"/>
    <w:rsid w:val="005D440F"/>
    <w:rsid w:val="005D53C7"/>
    <w:rsid w:val="005D7E03"/>
    <w:rsid w:val="005E0ADA"/>
    <w:rsid w:val="005E1C63"/>
    <w:rsid w:val="005E30BE"/>
    <w:rsid w:val="005E63C7"/>
    <w:rsid w:val="005E7947"/>
    <w:rsid w:val="005F1089"/>
    <w:rsid w:val="005F3940"/>
    <w:rsid w:val="005F6297"/>
    <w:rsid w:val="0060217C"/>
    <w:rsid w:val="00604AB4"/>
    <w:rsid w:val="00607475"/>
    <w:rsid w:val="00607500"/>
    <w:rsid w:val="00613809"/>
    <w:rsid w:val="0061579F"/>
    <w:rsid w:val="00622DA5"/>
    <w:rsid w:val="006258A3"/>
    <w:rsid w:val="00626642"/>
    <w:rsid w:val="006317E2"/>
    <w:rsid w:val="006318A2"/>
    <w:rsid w:val="0063351E"/>
    <w:rsid w:val="00643D33"/>
    <w:rsid w:val="00650A9D"/>
    <w:rsid w:val="00650FFA"/>
    <w:rsid w:val="006536D4"/>
    <w:rsid w:val="0065707B"/>
    <w:rsid w:val="00660940"/>
    <w:rsid w:val="00665266"/>
    <w:rsid w:val="00671A31"/>
    <w:rsid w:val="00675594"/>
    <w:rsid w:val="006756F4"/>
    <w:rsid w:val="0067601C"/>
    <w:rsid w:val="006835E0"/>
    <w:rsid w:val="00684433"/>
    <w:rsid w:val="00686908"/>
    <w:rsid w:val="00690396"/>
    <w:rsid w:val="00690857"/>
    <w:rsid w:val="00696F61"/>
    <w:rsid w:val="006A168A"/>
    <w:rsid w:val="006A464F"/>
    <w:rsid w:val="006A7093"/>
    <w:rsid w:val="006A7661"/>
    <w:rsid w:val="006B18D0"/>
    <w:rsid w:val="006B6D94"/>
    <w:rsid w:val="006C136F"/>
    <w:rsid w:val="006C2835"/>
    <w:rsid w:val="006C6D53"/>
    <w:rsid w:val="006D0BD2"/>
    <w:rsid w:val="006D1E98"/>
    <w:rsid w:val="006D28E8"/>
    <w:rsid w:val="006D6318"/>
    <w:rsid w:val="006F3F9D"/>
    <w:rsid w:val="00707716"/>
    <w:rsid w:val="007109EF"/>
    <w:rsid w:val="00721FDB"/>
    <w:rsid w:val="0072223F"/>
    <w:rsid w:val="0072266D"/>
    <w:rsid w:val="007263E2"/>
    <w:rsid w:val="0073124C"/>
    <w:rsid w:val="00736B1A"/>
    <w:rsid w:val="00740B90"/>
    <w:rsid w:val="0074457C"/>
    <w:rsid w:val="0075064B"/>
    <w:rsid w:val="007521BC"/>
    <w:rsid w:val="00754506"/>
    <w:rsid w:val="00765AF5"/>
    <w:rsid w:val="0076627E"/>
    <w:rsid w:val="00770C1F"/>
    <w:rsid w:val="00770E68"/>
    <w:rsid w:val="00770F31"/>
    <w:rsid w:val="007713EF"/>
    <w:rsid w:val="0077483F"/>
    <w:rsid w:val="0078535A"/>
    <w:rsid w:val="00785A2F"/>
    <w:rsid w:val="007935DD"/>
    <w:rsid w:val="007A0614"/>
    <w:rsid w:val="007A09A4"/>
    <w:rsid w:val="007A4322"/>
    <w:rsid w:val="007A5859"/>
    <w:rsid w:val="007A7AE1"/>
    <w:rsid w:val="007B0CF5"/>
    <w:rsid w:val="007B3AD2"/>
    <w:rsid w:val="007B54BE"/>
    <w:rsid w:val="007B59EC"/>
    <w:rsid w:val="007B5E28"/>
    <w:rsid w:val="007B5FC4"/>
    <w:rsid w:val="007B6A3C"/>
    <w:rsid w:val="007C0160"/>
    <w:rsid w:val="007C18AD"/>
    <w:rsid w:val="007C5A35"/>
    <w:rsid w:val="007C6261"/>
    <w:rsid w:val="007C660A"/>
    <w:rsid w:val="007D38CD"/>
    <w:rsid w:val="007D5759"/>
    <w:rsid w:val="007D5D02"/>
    <w:rsid w:val="007E31DA"/>
    <w:rsid w:val="007E6558"/>
    <w:rsid w:val="007F1197"/>
    <w:rsid w:val="007F26E4"/>
    <w:rsid w:val="007F3DFF"/>
    <w:rsid w:val="007F40DE"/>
    <w:rsid w:val="007F6EB6"/>
    <w:rsid w:val="008020DE"/>
    <w:rsid w:val="008032C6"/>
    <w:rsid w:val="00812E28"/>
    <w:rsid w:val="00816C50"/>
    <w:rsid w:val="008214A0"/>
    <w:rsid w:val="00822F5B"/>
    <w:rsid w:val="008235BE"/>
    <w:rsid w:val="0082382D"/>
    <w:rsid w:val="00824BAD"/>
    <w:rsid w:val="00824EE1"/>
    <w:rsid w:val="0082646B"/>
    <w:rsid w:val="00832E78"/>
    <w:rsid w:val="00835B37"/>
    <w:rsid w:val="0083650C"/>
    <w:rsid w:val="00840097"/>
    <w:rsid w:val="00841CF8"/>
    <w:rsid w:val="008435DD"/>
    <w:rsid w:val="00844AD0"/>
    <w:rsid w:val="0084555C"/>
    <w:rsid w:val="00845649"/>
    <w:rsid w:val="008466C8"/>
    <w:rsid w:val="00847932"/>
    <w:rsid w:val="008509C7"/>
    <w:rsid w:val="008518F5"/>
    <w:rsid w:val="00864FF8"/>
    <w:rsid w:val="00865234"/>
    <w:rsid w:val="0087046C"/>
    <w:rsid w:val="00873C94"/>
    <w:rsid w:val="00874375"/>
    <w:rsid w:val="00874F2C"/>
    <w:rsid w:val="0087771A"/>
    <w:rsid w:val="0088034C"/>
    <w:rsid w:val="00884978"/>
    <w:rsid w:val="008916EB"/>
    <w:rsid w:val="00896DB1"/>
    <w:rsid w:val="008A007A"/>
    <w:rsid w:val="008A0745"/>
    <w:rsid w:val="008A2339"/>
    <w:rsid w:val="008A5C2B"/>
    <w:rsid w:val="008B73C7"/>
    <w:rsid w:val="008C1548"/>
    <w:rsid w:val="008C4A18"/>
    <w:rsid w:val="008C77E5"/>
    <w:rsid w:val="008D2A82"/>
    <w:rsid w:val="008D2AAC"/>
    <w:rsid w:val="008D36B9"/>
    <w:rsid w:val="008D7939"/>
    <w:rsid w:val="008D7F7B"/>
    <w:rsid w:val="008E01DF"/>
    <w:rsid w:val="008E2082"/>
    <w:rsid w:val="008E2214"/>
    <w:rsid w:val="008E4630"/>
    <w:rsid w:val="008E469A"/>
    <w:rsid w:val="008E549A"/>
    <w:rsid w:val="008E6224"/>
    <w:rsid w:val="008F1F44"/>
    <w:rsid w:val="008F444E"/>
    <w:rsid w:val="008F60ED"/>
    <w:rsid w:val="008F78D7"/>
    <w:rsid w:val="009009B3"/>
    <w:rsid w:val="00904D41"/>
    <w:rsid w:val="00911EF9"/>
    <w:rsid w:val="00912538"/>
    <w:rsid w:val="00912B60"/>
    <w:rsid w:val="00916FD7"/>
    <w:rsid w:val="00917ED9"/>
    <w:rsid w:val="009201EA"/>
    <w:rsid w:val="00927935"/>
    <w:rsid w:val="00930C4D"/>
    <w:rsid w:val="009409C8"/>
    <w:rsid w:val="00941F1D"/>
    <w:rsid w:val="009435CC"/>
    <w:rsid w:val="00944C3E"/>
    <w:rsid w:val="00944C82"/>
    <w:rsid w:val="0094536F"/>
    <w:rsid w:val="00946725"/>
    <w:rsid w:val="00947602"/>
    <w:rsid w:val="00956901"/>
    <w:rsid w:val="009637D7"/>
    <w:rsid w:val="0096531C"/>
    <w:rsid w:val="00966005"/>
    <w:rsid w:val="00973CC9"/>
    <w:rsid w:val="00975918"/>
    <w:rsid w:val="00982EA2"/>
    <w:rsid w:val="00992549"/>
    <w:rsid w:val="009971E3"/>
    <w:rsid w:val="009A1C12"/>
    <w:rsid w:val="009A21EA"/>
    <w:rsid w:val="009A26BB"/>
    <w:rsid w:val="009A574F"/>
    <w:rsid w:val="009B1778"/>
    <w:rsid w:val="009B23F4"/>
    <w:rsid w:val="009B3CE0"/>
    <w:rsid w:val="009B7146"/>
    <w:rsid w:val="009C088D"/>
    <w:rsid w:val="009C1AAF"/>
    <w:rsid w:val="009C25D7"/>
    <w:rsid w:val="009C39FC"/>
    <w:rsid w:val="009C7CC1"/>
    <w:rsid w:val="009D7FF5"/>
    <w:rsid w:val="009E2F52"/>
    <w:rsid w:val="009E5574"/>
    <w:rsid w:val="009F07DC"/>
    <w:rsid w:val="009F18AD"/>
    <w:rsid w:val="00A03179"/>
    <w:rsid w:val="00A05D24"/>
    <w:rsid w:val="00A07479"/>
    <w:rsid w:val="00A13A09"/>
    <w:rsid w:val="00A17173"/>
    <w:rsid w:val="00A17C01"/>
    <w:rsid w:val="00A22A15"/>
    <w:rsid w:val="00A2582C"/>
    <w:rsid w:val="00A278F5"/>
    <w:rsid w:val="00A32241"/>
    <w:rsid w:val="00A34340"/>
    <w:rsid w:val="00A4488F"/>
    <w:rsid w:val="00A44AC4"/>
    <w:rsid w:val="00A507C5"/>
    <w:rsid w:val="00A5156C"/>
    <w:rsid w:val="00A574A2"/>
    <w:rsid w:val="00A60A0B"/>
    <w:rsid w:val="00A60E15"/>
    <w:rsid w:val="00A63FA3"/>
    <w:rsid w:val="00A66795"/>
    <w:rsid w:val="00A72805"/>
    <w:rsid w:val="00A75092"/>
    <w:rsid w:val="00A8447C"/>
    <w:rsid w:val="00A8731D"/>
    <w:rsid w:val="00A91DFD"/>
    <w:rsid w:val="00AA6F97"/>
    <w:rsid w:val="00AA75B1"/>
    <w:rsid w:val="00AA7A77"/>
    <w:rsid w:val="00AB0761"/>
    <w:rsid w:val="00AB0FFC"/>
    <w:rsid w:val="00AB2A64"/>
    <w:rsid w:val="00AB3AB8"/>
    <w:rsid w:val="00AB62F5"/>
    <w:rsid w:val="00AB685F"/>
    <w:rsid w:val="00AC3260"/>
    <w:rsid w:val="00AC4315"/>
    <w:rsid w:val="00AC4C2F"/>
    <w:rsid w:val="00AC55EA"/>
    <w:rsid w:val="00AC577D"/>
    <w:rsid w:val="00AC6ECD"/>
    <w:rsid w:val="00AD3F3C"/>
    <w:rsid w:val="00AD5DD7"/>
    <w:rsid w:val="00AD5E25"/>
    <w:rsid w:val="00AE00F8"/>
    <w:rsid w:val="00AE4CB4"/>
    <w:rsid w:val="00AE5FF5"/>
    <w:rsid w:val="00AE66B7"/>
    <w:rsid w:val="00AF06D4"/>
    <w:rsid w:val="00AF31A1"/>
    <w:rsid w:val="00AF6F3C"/>
    <w:rsid w:val="00B0323E"/>
    <w:rsid w:val="00B04EC8"/>
    <w:rsid w:val="00B07B24"/>
    <w:rsid w:val="00B14F9F"/>
    <w:rsid w:val="00B20BE4"/>
    <w:rsid w:val="00B2217F"/>
    <w:rsid w:val="00B22899"/>
    <w:rsid w:val="00B229D5"/>
    <w:rsid w:val="00B23997"/>
    <w:rsid w:val="00B25F28"/>
    <w:rsid w:val="00B3153A"/>
    <w:rsid w:val="00B32514"/>
    <w:rsid w:val="00B32748"/>
    <w:rsid w:val="00B327A5"/>
    <w:rsid w:val="00B35114"/>
    <w:rsid w:val="00B409B9"/>
    <w:rsid w:val="00B41718"/>
    <w:rsid w:val="00B4283D"/>
    <w:rsid w:val="00B432A6"/>
    <w:rsid w:val="00B47D6C"/>
    <w:rsid w:val="00B525EF"/>
    <w:rsid w:val="00B528AB"/>
    <w:rsid w:val="00B5762C"/>
    <w:rsid w:val="00B6278C"/>
    <w:rsid w:val="00B64562"/>
    <w:rsid w:val="00B65F48"/>
    <w:rsid w:val="00B7470C"/>
    <w:rsid w:val="00B755BA"/>
    <w:rsid w:val="00B8091C"/>
    <w:rsid w:val="00B820D0"/>
    <w:rsid w:val="00B83359"/>
    <w:rsid w:val="00B849C9"/>
    <w:rsid w:val="00B8573B"/>
    <w:rsid w:val="00B857A5"/>
    <w:rsid w:val="00B9055E"/>
    <w:rsid w:val="00B92045"/>
    <w:rsid w:val="00B964F1"/>
    <w:rsid w:val="00B974A4"/>
    <w:rsid w:val="00BA0CC7"/>
    <w:rsid w:val="00BA203F"/>
    <w:rsid w:val="00BA4E3F"/>
    <w:rsid w:val="00BA6B54"/>
    <w:rsid w:val="00BA7266"/>
    <w:rsid w:val="00BA751F"/>
    <w:rsid w:val="00BA7C2D"/>
    <w:rsid w:val="00BB231F"/>
    <w:rsid w:val="00BB73CC"/>
    <w:rsid w:val="00BC0741"/>
    <w:rsid w:val="00BC0BB0"/>
    <w:rsid w:val="00BC1A1F"/>
    <w:rsid w:val="00BC3971"/>
    <w:rsid w:val="00BC507F"/>
    <w:rsid w:val="00BD26DB"/>
    <w:rsid w:val="00BD3C25"/>
    <w:rsid w:val="00BE1990"/>
    <w:rsid w:val="00BE5225"/>
    <w:rsid w:val="00BE544A"/>
    <w:rsid w:val="00BE58BD"/>
    <w:rsid w:val="00BE66A1"/>
    <w:rsid w:val="00BF0609"/>
    <w:rsid w:val="00BF2B69"/>
    <w:rsid w:val="00BF2EE5"/>
    <w:rsid w:val="00BF317D"/>
    <w:rsid w:val="00BF390F"/>
    <w:rsid w:val="00C00634"/>
    <w:rsid w:val="00C02651"/>
    <w:rsid w:val="00C06C48"/>
    <w:rsid w:val="00C07347"/>
    <w:rsid w:val="00C111BF"/>
    <w:rsid w:val="00C11D63"/>
    <w:rsid w:val="00C2049E"/>
    <w:rsid w:val="00C204F7"/>
    <w:rsid w:val="00C20A18"/>
    <w:rsid w:val="00C20C58"/>
    <w:rsid w:val="00C223EF"/>
    <w:rsid w:val="00C227B2"/>
    <w:rsid w:val="00C22977"/>
    <w:rsid w:val="00C230A5"/>
    <w:rsid w:val="00C23589"/>
    <w:rsid w:val="00C23B8A"/>
    <w:rsid w:val="00C23BAD"/>
    <w:rsid w:val="00C2496E"/>
    <w:rsid w:val="00C24CE9"/>
    <w:rsid w:val="00C25264"/>
    <w:rsid w:val="00C256BB"/>
    <w:rsid w:val="00C25C56"/>
    <w:rsid w:val="00C2791C"/>
    <w:rsid w:val="00C425C8"/>
    <w:rsid w:val="00C43551"/>
    <w:rsid w:val="00C442CA"/>
    <w:rsid w:val="00C44538"/>
    <w:rsid w:val="00C47D0B"/>
    <w:rsid w:val="00C53A81"/>
    <w:rsid w:val="00C621AD"/>
    <w:rsid w:val="00C637B9"/>
    <w:rsid w:val="00C63CDC"/>
    <w:rsid w:val="00C66550"/>
    <w:rsid w:val="00C66F0E"/>
    <w:rsid w:val="00C71FB9"/>
    <w:rsid w:val="00C833B0"/>
    <w:rsid w:val="00C8491D"/>
    <w:rsid w:val="00C8689F"/>
    <w:rsid w:val="00C9514C"/>
    <w:rsid w:val="00C96BC2"/>
    <w:rsid w:val="00C971CA"/>
    <w:rsid w:val="00CA11A0"/>
    <w:rsid w:val="00CA1418"/>
    <w:rsid w:val="00CA3813"/>
    <w:rsid w:val="00CA56AB"/>
    <w:rsid w:val="00CA751D"/>
    <w:rsid w:val="00CA76B2"/>
    <w:rsid w:val="00CB0FF5"/>
    <w:rsid w:val="00CB1BBD"/>
    <w:rsid w:val="00CB3AE2"/>
    <w:rsid w:val="00CC3BA5"/>
    <w:rsid w:val="00CC5904"/>
    <w:rsid w:val="00CC7B7A"/>
    <w:rsid w:val="00CC7F8C"/>
    <w:rsid w:val="00CD13EC"/>
    <w:rsid w:val="00CE01B1"/>
    <w:rsid w:val="00CE507B"/>
    <w:rsid w:val="00CF1F02"/>
    <w:rsid w:val="00CF4422"/>
    <w:rsid w:val="00CF4593"/>
    <w:rsid w:val="00D00DDB"/>
    <w:rsid w:val="00D014ED"/>
    <w:rsid w:val="00D018D8"/>
    <w:rsid w:val="00D036E5"/>
    <w:rsid w:val="00D03F20"/>
    <w:rsid w:val="00D11AD6"/>
    <w:rsid w:val="00D1517F"/>
    <w:rsid w:val="00D15EF6"/>
    <w:rsid w:val="00D16928"/>
    <w:rsid w:val="00D174C1"/>
    <w:rsid w:val="00D242BA"/>
    <w:rsid w:val="00D33B3F"/>
    <w:rsid w:val="00D34F37"/>
    <w:rsid w:val="00D358C9"/>
    <w:rsid w:val="00D35943"/>
    <w:rsid w:val="00D36018"/>
    <w:rsid w:val="00D36828"/>
    <w:rsid w:val="00D4203F"/>
    <w:rsid w:val="00D509E6"/>
    <w:rsid w:val="00D50F76"/>
    <w:rsid w:val="00D51A75"/>
    <w:rsid w:val="00D54589"/>
    <w:rsid w:val="00D62EBC"/>
    <w:rsid w:val="00D63519"/>
    <w:rsid w:val="00D65FA0"/>
    <w:rsid w:val="00D73EB7"/>
    <w:rsid w:val="00D743EC"/>
    <w:rsid w:val="00D77CAD"/>
    <w:rsid w:val="00D832BD"/>
    <w:rsid w:val="00D8402B"/>
    <w:rsid w:val="00D8414C"/>
    <w:rsid w:val="00D8582B"/>
    <w:rsid w:val="00D859BD"/>
    <w:rsid w:val="00D91698"/>
    <w:rsid w:val="00D94C6B"/>
    <w:rsid w:val="00D97C19"/>
    <w:rsid w:val="00DA087E"/>
    <w:rsid w:val="00DA18ED"/>
    <w:rsid w:val="00DA4416"/>
    <w:rsid w:val="00DA4BE2"/>
    <w:rsid w:val="00DA63FE"/>
    <w:rsid w:val="00DB5040"/>
    <w:rsid w:val="00DB598F"/>
    <w:rsid w:val="00DB6FEF"/>
    <w:rsid w:val="00DC29A2"/>
    <w:rsid w:val="00DC482B"/>
    <w:rsid w:val="00DC63D1"/>
    <w:rsid w:val="00DC7E34"/>
    <w:rsid w:val="00DD2237"/>
    <w:rsid w:val="00DD4658"/>
    <w:rsid w:val="00DD6071"/>
    <w:rsid w:val="00DE2CAD"/>
    <w:rsid w:val="00DE2E7F"/>
    <w:rsid w:val="00DF06AC"/>
    <w:rsid w:val="00DF3689"/>
    <w:rsid w:val="00E010A2"/>
    <w:rsid w:val="00E075DD"/>
    <w:rsid w:val="00E07BE9"/>
    <w:rsid w:val="00E1033D"/>
    <w:rsid w:val="00E10FCA"/>
    <w:rsid w:val="00E21943"/>
    <w:rsid w:val="00E23306"/>
    <w:rsid w:val="00E23BFF"/>
    <w:rsid w:val="00E24E86"/>
    <w:rsid w:val="00E250B2"/>
    <w:rsid w:val="00E26B36"/>
    <w:rsid w:val="00E27533"/>
    <w:rsid w:val="00E30187"/>
    <w:rsid w:val="00E30AFC"/>
    <w:rsid w:val="00E316CC"/>
    <w:rsid w:val="00E3614B"/>
    <w:rsid w:val="00E43809"/>
    <w:rsid w:val="00E44CFF"/>
    <w:rsid w:val="00E46C6D"/>
    <w:rsid w:val="00E473A7"/>
    <w:rsid w:val="00E4772F"/>
    <w:rsid w:val="00E47DF7"/>
    <w:rsid w:val="00E50864"/>
    <w:rsid w:val="00E577AD"/>
    <w:rsid w:val="00E6226D"/>
    <w:rsid w:val="00E6534D"/>
    <w:rsid w:val="00E66B0D"/>
    <w:rsid w:val="00E71151"/>
    <w:rsid w:val="00E7250E"/>
    <w:rsid w:val="00E74CCB"/>
    <w:rsid w:val="00E7530A"/>
    <w:rsid w:val="00E7688A"/>
    <w:rsid w:val="00E76DFE"/>
    <w:rsid w:val="00E83A5F"/>
    <w:rsid w:val="00E856FF"/>
    <w:rsid w:val="00E874FF"/>
    <w:rsid w:val="00E9348F"/>
    <w:rsid w:val="00EA0514"/>
    <w:rsid w:val="00EA4B5A"/>
    <w:rsid w:val="00EA5242"/>
    <w:rsid w:val="00EA6CF5"/>
    <w:rsid w:val="00EB0435"/>
    <w:rsid w:val="00EB40A5"/>
    <w:rsid w:val="00EB6081"/>
    <w:rsid w:val="00EB7369"/>
    <w:rsid w:val="00EB783F"/>
    <w:rsid w:val="00EC2E07"/>
    <w:rsid w:val="00EC39A1"/>
    <w:rsid w:val="00EC3A7B"/>
    <w:rsid w:val="00EC4703"/>
    <w:rsid w:val="00EC58F5"/>
    <w:rsid w:val="00ED4507"/>
    <w:rsid w:val="00ED5658"/>
    <w:rsid w:val="00EE0BD1"/>
    <w:rsid w:val="00EE4EBC"/>
    <w:rsid w:val="00EE5F98"/>
    <w:rsid w:val="00EE6227"/>
    <w:rsid w:val="00EF0C72"/>
    <w:rsid w:val="00EF1259"/>
    <w:rsid w:val="00EF5412"/>
    <w:rsid w:val="00F03803"/>
    <w:rsid w:val="00F03C30"/>
    <w:rsid w:val="00F045CA"/>
    <w:rsid w:val="00F05306"/>
    <w:rsid w:val="00F133AC"/>
    <w:rsid w:val="00F16066"/>
    <w:rsid w:val="00F1735B"/>
    <w:rsid w:val="00F207D6"/>
    <w:rsid w:val="00F21E2E"/>
    <w:rsid w:val="00F231C6"/>
    <w:rsid w:val="00F276E6"/>
    <w:rsid w:val="00F322E5"/>
    <w:rsid w:val="00F32AF2"/>
    <w:rsid w:val="00F349AD"/>
    <w:rsid w:val="00F350AC"/>
    <w:rsid w:val="00F367F9"/>
    <w:rsid w:val="00F40E24"/>
    <w:rsid w:val="00F40E27"/>
    <w:rsid w:val="00F440AC"/>
    <w:rsid w:val="00F445F9"/>
    <w:rsid w:val="00F471AD"/>
    <w:rsid w:val="00F61368"/>
    <w:rsid w:val="00F62D19"/>
    <w:rsid w:val="00F64411"/>
    <w:rsid w:val="00F651A5"/>
    <w:rsid w:val="00F6596B"/>
    <w:rsid w:val="00F70980"/>
    <w:rsid w:val="00F70D5C"/>
    <w:rsid w:val="00F7111A"/>
    <w:rsid w:val="00F71F12"/>
    <w:rsid w:val="00F72888"/>
    <w:rsid w:val="00F729B5"/>
    <w:rsid w:val="00F7387B"/>
    <w:rsid w:val="00F75AB8"/>
    <w:rsid w:val="00F8066A"/>
    <w:rsid w:val="00F852B5"/>
    <w:rsid w:val="00F85D0C"/>
    <w:rsid w:val="00F861FF"/>
    <w:rsid w:val="00F906AB"/>
    <w:rsid w:val="00F93827"/>
    <w:rsid w:val="00F96C7C"/>
    <w:rsid w:val="00FA1419"/>
    <w:rsid w:val="00FA2A00"/>
    <w:rsid w:val="00FA5643"/>
    <w:rsid w:val="00FA5782"/>
    <w:rsid w:val="00FB01B7"/>
    <w:rsid w:val="00FB13BA"/>
    <w:rsid w:val="00FB2B15"/>
    <w:rsid w:val="00FB38CB"/>
    <w:rsid w:val="00FB43AF"/>
    <w:rsid w:val="00FB600C"/>
    <w:rsid w:val="00FC0610"/>
    <w:rsid w:val="00FC1DDC"/>
    <w:rsid w:val="00FC1FAF"/>
    <w:rsid w:val="00FC36C3"/>
    <w:rsid w:val="00FC7421"/>
    <w:rsid w:val="00FC7E14"/>
    <w:rsid w:val="00FD0F7A"/>
    <w:rsid w:val="00FD2E64"/>
    <w:rsid w:val="00FD67B6"/>
    <w:rsid w:val="00FE1E6E"/>
    <w:rsid w:val="00FE31D7"/>
    <w:rsid w:val="00FE54D5"/>
    <w:rsid w:val="00FE7B1F"/>
    <w:rsid w:val="00FF167A"/>
    <w:rsid w:val="00FF2744"/>
    <w:rsid w:val="00FF3A1B"/>
  </w:rsids>
  <m:mathPr>
    <m:mathFont m:val="Cambria Math"/>
    <m:brkBin m:val="before"/>
    <m:brkBinSub m:val="--"/>
    <m:smallFrac m:val="0"/>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437BD5"/>
  <w15:docId w15:val="{AD3B3814-0297-4101-BEE4-556E53BB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705"/>
    <w:pPr>
      <w:spacing w:after="120"/>
      <w:ind w:firstLine="284"/>
      <w:contextualSpacing/>
      <w:jc w:val="both"/>
    </w:pPr>
    <w:rPr>
      <w:rFonts w:ascii="Times New Roman" w:hAnsi="Times New Roman"/>
      <w:sz w:val="22"/>
      <w:lang w:val="en-US" w:eastAsia="en-US"/>
    </w:rPr>
  </w:style>
  <w:style w:type="paragraph" w:styleId="Heading1">
    <w:name w:val="heading 1"/>
    <w:basedOn w:val="Normal"/>
    <w:next w:val="Normal"/>
    <w:link w:val="Heading1Char"/>
    <w:uiPriority w:val="9"/>
    <w:qFormat/>
    <w:rsid w:val="00530E28"/>
    <w:pPr>
      <w:numPr>
        <w:numId w:val="10"/>
      </w:numPr>
      <w:spacing w:after="0" w:line="276" w:lineRule="auto"/>
      <w:outlineLvl w:val="0"/>
    </w:pPr>
    <w:rPr>
      <w:b/>
      <w:bCs/>
      <w:sz w:val="24"/>
      <w:szCs w:val="24"/>
      <w:lang w:val="en-ID"/>
    </w:rPr>
  </w:style>
  <w:style w:type="paragraph" w:styleId="Heading2">
    <w:name w:val="heading 2"/>
    <w:basedOn w:val="Heading1"/>
    <w:next w:val="Normal"/>
    <w:link w:val="Heading2Char"/>
    <w:uiPriority w:val="9"/>
    <w:unhideWhenUsed/>
    <w:qFormat/>
    <w:rsid w:val="006318A2"/>
    <w:pPr>
      <w:numPr>
        <w:ilvl w:val="1"/>
      </w:numPr>
      <w:outlineLvl w:val="1"/>
    </w:pPr>
  </w:style>
  <w:style w:type="paragraph" w:styleId="Heading3">
    <w:name w:val="heading 3"/>
    <w:basedOn w:val="Heading2"/>
    <w:next w:val="Normal"/>
    <w:link w:val="Heading3Char"/>
    <w:uiPriority w:val="9"/>
    <w:unhideWhenUsed/>
    <w:qFormat/>
    <w:rsid w:val="006318A2"/>
    <w:pPr>
      <w:numPr>
        <w:ilvl w:val="2"/>
      </w:numPr>
      <w:outlineLvl w:val="2"/>
    </w:pPr>
    <w:rPr>
      <w:sz w:val="22"/>
      <w:szCs w:val="22"/>
    </w:rPr>
  </w:style>
  <w:style w:type="paragraph" w:styleId="Heading4">
    <w:name w:val="heading 4"/>
    <w:basedOn w:val="Normal"/>
    <w:next w:val="Normal"/>
    <w:link w:val="Heading4Char"/>
    <w:uiPriority w:val="9"/>
    <w:semiHidden/>
    <w:unhideWhenUsed/>
    <w:rsid w:val="00FE1E6E"/>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6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E6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E6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E6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E6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1 Char"/>
    <w:basedOn w:val="DefaultParagraphFont"/>
    <w:link w:val="FootnoteText"/>
    <w:uiPriority w:val="99"/>
    <w:qFormat/>
    <w:rsid w:val="00F46757"/>
  </w:style>
  <w:style w:type="character" w:customStyle="1" w:styleId="FootnoteCharacters">
    <w:name w:val="Footnote Characters"/>
    <w:uiPriority w:val="99"/>
    <w:unhideWhenUsed/>
    <w:qFormat/>
    <w:rsid w:val="00F46757"/>
    <w:rPr>
      <w:vertAlign w:val="superscript"/>
    </w:rPr>
  </w:style>
  <w:style w:type="character" w:customStyle="1" w:styleId="FootnoteAnchor">
    <w:name w:val="Footnote Anchor"/>
    <w:rPr>
      <w:vertAlign w:val="superscript"/>
    </w:rPr>
  </w:style>
  <w:style w:type="character" w:styleId="Hyperlink">
    <w:name w:val="Hyperlink"/>
    <w:uiPriority w:val="99"/>
    <w:unhideWhenUsed/>
    <w:rsid w:val="00977A42"/>
    <w:rPr>
      <w:color w:val="0563C1"/>
      <w:u w:val="single"/>
    </w:rPr>
  </w:style>
  <w:style w:type="character" w:styleId="CommentReference">
    <w:name w:val="annotation reference"/>
    <w:uiPriority w:val="99"/>
    <w:semiHidden/>
    <w:unhideWhenUsed/>
    <w:qFormat/>
    <w:rsid w:val="005124CA"/>
    <w:rPr>
      <w:sz w:val="16"/>
      <w:szCs w:val="16"/>
    </w:rPr>
  </w:style>
  <w:style w:type="character" w:customStyle="1" w:styleId="CommentTextChar">
    <w:name w:val="Comment Text Char"/>
    <w:basedOn w:val="DefaultParagraphFont"/>
    <w:link w:val="CommentText"/>
    <w:uiPriority w:val="99"/>
    <w:semiHidden/>
    <w:qFormat/>
    <w:rsid w:val="005124CA"/>
  </w:style>
  <w:style w:type="character" w:customStyle="1" w:styleId="CommentSubjectChar">
    <w:name w:val="Comment Subject Char"/>
    <w:link w:val="CommentSubject"/>
    <w:uiPriority w:val="99"/>
    <w:semiHidden/>
    <w:qFormat/>
    <w:rsid w:val="005124CA"/>
    <w:rPr>
      <w:b/>
      <w:bCs/>
    </w:rPr>
  </w:style>
  <w:style w:type="character" w:customStyle="1" w:styleId="BalloonTextChar">
    <w:name w:val="Balloon Text Char"/>
    <w:link w:val="BalloonText"/>
    <w:uiPriority w:val="99"/>
    <w:semiHidden/>
    <w:qFormat/>
    <w:rsid w:val="005124CA"/>
    <w:rPr>
      <w:rFonts w:ascii="Tahoma" w:hAnsi="Tahoma" w:cs="Tahoma"/>
      <w:sz w:val="16"/>
      <w:szCs w:val="16"/>
    </w:rPr>
  </w:style>
  <w:style w:type="character" w:styleId="UnresolvedMention">
    <w:name w:val="Unresolved Mention"/>
    <w:uiPriority w:val="99"/>
    <w:semiHidden/>
    <w:unhideWhenUsed/>
    <w:qFormat/>
    <w:rsid w:val="00F74134"/>
    <w:rPr>
      <w:color w:val="605E5C"/>
      <w:shd w:val="clear" w:color="auto" w:fill="E1DFDD"/>
    </w:rPr>
  </w:style>
  <w:style w:type="character" w:customStyle="1" w:styleId="Heading1Char">
    <w:name w:val="Heading 1 Char"/>
    <w:basedOn w:val="DefaultParagraphFont"/>
    <w:link w:val="Heading1"/>
    <w:uiPriority w:val="9"/>
    <w:qFormat/>
    <w:rsid w:val="00530E28"/>
    <w:rPr>
      <w:rFonts w:ascii="Times New Roman" w:hAnsi="Times New Roman"/>
      <w:b/>
      <w:bCs/>
      <w:sz w:val="24"/>
      <w:szCs w:val="24"/>
      <w:lang w:val="en-ID" w:eastAsia="en-US"/>
    </w:rPr>
  </w:style>
  <w:style w:type="character" w:customStyle="1" w:styleId="CatatanKakiChar">
    <w:name w:val="Catatan Kaki Char"/>
    <w:basedOn w:val="DefaultParagraphFont"/>
    <w:link w:val="CatatanKaki"/>
    <w:qFormat/>
    <w:rsid w:val="0070515F"/>
    <w:rPr>
      <w:rFonts w:ascii="Times New Roman" w:eastAsiaTheme="minorHAnsi" w:hAnsi="Times New Roman"/>
      <w:lang w:val="en-ID" w:eastAsia="en-US"/>
    </w:rPr>
  </w:style>
  <w:style w:type="character" w:customStyle="1" w:styleId="TitleChar">
    <w:name w:val="Title Char"/>
    <w:basedOn w:val="DefaultParagraphFont"/>
    <w:link w:val="Title"/>
    <w:uiPriority w:val="10"/>
    <w:qFormat/>
    <w:rsid w:val="00575D1E"/>
    <w:rPr>
      <w:rFonts w:ascii="Times New Roman" w:hAnsi="Times New Roman"/>
      <w:i/>
      <w:sz w:val="48"/>
      <w:szCs w:val="48"/>
      <w:lang w:val="en-US" w:eastAsia="en-US"/>
    </w:rPr>
  </w:style>
  <w:style w:type="character" w:customStyle="1" w:styleId="JudulArtikelChar">
    <w:name w:val="Judul Artikel Char"/>
    <w:basedOn w:val="DefaultParagraphFont"/>
    <w:link w:val="JudulArtikel"/>
    <w:qFormat/>
    <w:rsid w:val="007D5AA7"/>
    <w:rPr>
      <w:rFonts w:ascii="Times New Roman" w:eastAsiaTheme="minorHAnsi" w:hAnsi="Times New Roman"/>
      <w:b/>
      <w:bCs/>
      <w:sz w:val="26"/>
      <w:szCs w:val="26"/>
      <w:lang w:val="en-ID" w:eastAsia="en-US"/>
    </w:rPr>
  </w:style>
  <w:style w:type="character" w:customStyle="1" w:styleId="ParagrafChar">
    <w:name w:val="Paragraf Char"/>
    <w:basedOn w:val="DefaultParagraphFont"/>
    <w:link w:val="Paragraf"/>
    <w:qFormat/>
    <w:rsid w:val="007D5AA7"/>
    <w:rPr>
      <w:rFonts w:ascii="Times New Roman" w:eastAsiaTheme="minorHAnsi" w:hAnsi="Times New Roman"/>
      <w:sz w:val="22"/>
      <w:szCs w:val="22"/>
      <w:lang w:val="en-ID" w:eastAsia="en-US"/>
    </w:rPr>
  </w:style>
  <w:style w:type="character" w:customStyle="1" w:styleId="SubbabChar">
    <w:name w:val="Subbab Char"/>
    <w:basedOn w:val="DefaultParagraphFont"/>
    <w:link w:val="Subbab"/>
    <w:qFormat/>
    <w:rsid w:val="00D51AB5"/>
    <w:rPr>
      <w:rFonts w:ascii="Times New Roman" w:eastAsia="Times New Roman" w:hAnsi="Times New Roman"/>
      <w:b/>
      <w:bCs/>
      <w:sz w:val="22"/>
      <w:szCs w:val="22"/>
      <w:lang w:eastAsia="en-US"/>
    </w:rPr>
  </w:style>
  <w:style w:type="character" w:customStyle="1" w:styleId="Heading2Char">
    <w:name w:val="Heading 2 Char"/>
    <w:basedOn w:val="DefaultParagraphFont"/>
    <w:link w:val="Heading2"/>
    <w:uiPriority w:val="9"/>
    <w:qFormat/>
    <w:rsid w:val="006318A2"/>
    <w:rPr>
      <w:rFonts w:ascii="Times New Roman" w:hAnsi="Times New Roman"/>
      <w:b/>
      <w:bCs/>
      <w:sz w:val="24"/>
      <w:szCs w:val="24"/>
      <w:lang w:val="en-ID" w:eastAsia="en-US"/>
    </w:rPr>
  </w:style>
  <w:style w:type="character" w:customStyle="1" w:styleId="Heading3Char">
    <w:name w:val="Heading 3 Char"/>
    <w:basedOn w:val="DefaultParagraphFont"/>
    <w:link w:val="Heading3"/>
    <w:uiPriority w:val="9"/>
    <w:qFormat/>
    <w:rsid w:val="006318A2"/>
    <w:rPr>
      <w:rFonts w:ascii="Times New Roman" w:hAnsi="Times New Roman"/>
      <w:b/>
      <w:bCs/>
      <w:sz w:val="22"/>
      <w:szCs w:val="22"/>
      <w:lang w:val="en-ID" w:eastAsia="en-US"/>
    </w:rPr>
  </w:style>
  <w:style w:type="character" w:customStyle="1" w:styleId="AbstractContentChar">
    <w:name w:val="Abstract Content Char"/>
    <w:basedOn w:val="DefaultParagraphFont"/>
    <w:link w:val="AbstractContent"/>
    <w:qFormat/>
    <w:rsid w:val="00952EA7"/>
    <w:rPr>
      <w:rFonts w:ascii="Times New Roman" w:hAnsi="Times New Roman"/>
      <w:sz w:val="22"/>
      <w:szCs w:val="22"/>
      <w:lang w:val="en-US" w:eastAsia="en-US"/>
    </w:rPr>
  </w:style>
  <w:style w:type="character" w:customStyle="1" w:styleId="Level1ContentChar">
    <w:name w:val="Level 1 Content Char"/>
    <w:basedOn w:val="DefaultParagraphFont"/>
    <w:link w:val="Level1Content"/>
    <w:qFormat/>
    <w:rsid w:val="006318A2"/>
    <w:rPr>
      <w:rFonts w:ascii="Times New Roman" w:hAnsi="Times New Roman"/>
      <w:sz w:val="22"/>
      <w:szCs w:val="22"/>
      <w:lang w:val="en-ID" w:eastAsia="en-US"/>
    </w:rPr>
  </w:style>
  <w:style w:type="character" w:customStyle="1" w:styleId="Level2ContentChar">
    <w:name w:val="Level 2 Content Char"/>
    <w:basedOn w:val="Level1ContentChar"/>
    <w:link w:val="Level2Content"/>
    <w:qFormat/>
    <w:rsid w:val="006318A2"/>
    <w:rPr>
      <w:rFonts w:ascii="Times New Roman" w:hAnsi="Times New Roman"/>
      <w:sz w:val="22"/>
      <w:szCs w:val="22"/>
      <w:lang w:val="en-ID" w:eastAsia="en-US"/>
    </w:rPr>
  </w:style>
  <w:style w:type="character" w:customStyle="1" w:styleId="Level3ContentChar">
    <w:name w:val="Level 3 Content Char"/>
    <w:basedOn w:val="DefaultParagraphFont"/>
    <w:link w:val="Level3Content"/>
    <w:qFormat/>
    <w:rsid w:val="006318A2"/>
    <w:rPr>
      <w:rFonts w:ascii="Times New Roman" w:hAnsi="Times New Roman"/>
      <w:sz w:val="22"/>
      <w:szCs w:val="22"/>
      <w:lang w:val="en-ID" w:eastAsia="en-US"/>
    </w:rPr>
  </w:style>
  <w:style w:type="character" w:customStyle="1" w:styleId="EndnoteTextChar">
    <w:name w:val="Endnote Text Char"/>
    <w:basedOn w:val="DefaultParagraphFont"/>
    <w:link w:val="EndnoteText"/>
    <w:uiPriority w:val="99"/>
    <w:semiHidden/>
    <w:qFormat/>
    <w:rsid w:val="00B73C38"/>
    <w:rPr>
      <w:rFonts w:ascii="Times New Roman" w:hAnsi="Times New Roman"/>
      <w:lang w:val="en-US" w:eastAsia="en-US"/>
    </w:rPr>
  </w:style>
  <w:style w:type="character" w:customStyle="1" w:styleId="EndnoteCharacters">
    <w:name w:val="Endnote Characters"/>
    <w:basedOn w:val="DefaultParagraphFont"/>
    <w:uiPriority w:val="99"/>
    <w:semiHidden/>
    <w:unhideWhenUsed/>
    <w:qFormat/>
    <w:rsid w:val="00B73C38"/>
    <w:rPr>
      <w:vertAlign w:val="superscript"/>
    </w:rPr>
  </w:style>
  <w:style w:type="character" w:customStyle="1" w:styleId="EndnoteAnchor">
    <w:name w:val="Endnote Anchor"/>
    <w:rPr>
      <w:vertAlign w:val="superscript"/>
    </w:rPr>
  </w:style>
  <w:style w:type="character" w:customStyle="1" w:styleId="ReferencesChar">
    <w:name w:val="References Char"/>
    <w:basedOn w:val="DefaultParagraphFont"/>
    <w:link w:val="References"/>
    <w:qFormat/>
    <w:rsid w:val="00D45BFE"/>
    <w:rPr>
      <w:rFonts w:ascii="Times New Roman" w:hAnsi="Times New Roman"/>
      <w:sz w:val="22"/>
      <w:szCs w:val="28"/>
      <w:lang w:val="en-US" w:eastAsia="en-US"/>
    </w:rPr>
  </w:style>
  <w:style w:type="character" w:customStyle="1" w:styleId="HeaderChar">
    <w:name w:val="Header Char"/>
    <w:basedOn w:val="DefaultParagraphFont"/>
    <w:link w:val="Header"/>
    <w:uiPriority w:val="99"/>
    <w:qFormat/>
    <w:rsid w:val="008556E8"/>
    <w:rPr>
      <w:rFonts w:ascii="Times New Roman" w:hAnsi="Times New Roman"/>
      <w:sz w:val="22"/>
      <w:lang w:val="en-US" w:eastAsia="en-US"/>
    </w:rPr>
  </w:style>
  <w:style w:type="character" w:customStyle="1" w:styleId="FooterChar">
    <w:name w:val="Footer Char"/>
    <w:basedOn w:val="DefaultParagraphFont"/>
    <w:link w:val="Footer"/>
    <w:uiPriority w:val="99"/>
    <w:qFormat/>
    <w:rsid w:val="008556E8"/>
    <w:rPr>
      <w:rFonts w:ascii="Times New Roman" w:hAnsi="Times New Roman"/>
      <w:sz w:val="22"/>
      <w:lang w:val="en-US" w:eastAsia="en-US"/>
    </w:rPr>
  </w:style>
  <w:style w:type="character" w:customStyle="1" w:styleId="LineNumbering">
    <w:name w:val="Line Numbering"/>
  </w:style>
  <w:style w:type="paragraph" w:customStyle="1" w:styleId="Heading">
    <w:name w:val="Heading"/>
    <w:basedOn w:val="Normal"/>
    <w:next w:val="BodyText"/>
    <w:qFormat/>
    <w:pPr>
      <w:keepNext/>
      <w:spacing w:before="240"/>
      <w:contextualSpacing w:val="0"/>
    </w:pPr>
    <w:rPr>
      <w:rFonts w:ascii="Liberation Sans" w:eastAsia="Microsoft YaHei" w:hAnsi="Liberation Sans" w:cs="Lucida Sans"/>
      <w:sz w:val="28"/>
      <w:szCs w:val="28"/>
    </w:rPr>
  </w:style>
  <w:style w:type="paragraph" w:styleId="BodyText">
    <w:name w:val="Body Text"/>
    <w:basedOn w:val="Normal"/>
    <w:pPr>
      <w:spacing w:after="140" w:line="276" w:lineRule="auto"/>
      <w:contextualSpacing w:val="0"/>
    </w:pPr>
  </w:style>
  <w:style w:type="paragraph" w:styleId="List">
    <w:name w:val="List"/>
    <w:basedOn w:val="BodyText"/>
    <w:rPr>
      <w:rFonts w:cs="Lucida Sans"/>
    </w:rPr>
  </w:style>
  <w:style w:type="paragraph" w:styleId="Caption">
    <w:name w:val="caption"/>
    <w:basedOn w:val="Normal"/>
    <w:qFormat/>
    <w:pPr>
      <w:suppressLineNumbers/>
      <w:spacing w:before="120"/>
      <w:contextualSpacing w:val="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4C6AD1"/>
    <w:pPr>
      <w:ind w:left="720"/>
    </w:pPr>
  </w:style>
  <w:style w:type="paragraph" w:styleId="FootnoteText">
    <w:name w:val="footnote text"/>
    <w:aliases w:val="Char1"/>
    <w:basedOn w:val="Normal"/>
    <w:link w:val="FootnoteTextChar"/>
    <w:uiPriority w:val="99"/>
    <w:unhideWhenUsed/>
    <w:rsid w:val="00F46757"/>
  </w:style>
  <w:style w:type="paragraph" w:styleId="CommentText">
    <w:name w:val="annotation text"/>
    <w:basedOn w:val="Normal"/>
    <w:link w:val="CommentTextChar"/>
    <w:uiPriority w:val="99"/>
    <w:semiHidden/>
    <w:unhideWhenUsed/>
    <w:qFormat/>
    <w:rsid w:val="005124CA"/>
  </w:style>
  <w:style w:type="paragraph" w:styleId="CommentSubject">
    <w:name w:val="annotation subject"/>
    <w:basedOn w:val="CommentText"/>
    <w:next w:val="CommentText"/>
    <w:link w:val="CommentSubjectChar"/>
    <w:uiPriority w:val="99"/>
    <w:semiHidden/>
    <w:unhideWhenUsed/>
    <w:qFormat/>
    <w:rsid w:val="005124CA"/>
    <w:rPr>
      <w:b/>
      <w:bCs/>
      <w:lang w:val="x-none" w:eastAsia="x-none"/>
    </w:rPr>
  </w:style>
  <w:style w:type="paragraph" w:styleId="BalloonText">
    <w:name w:val="Balloon Text"/>
    <w:basedOn w:val="Normal"/>
    <w:link w:val="BalloonTextChar"/>
    <w:uiPriority w:val="99"/>
    <w:semiHidden/>
    <w:unhideWhenUsed/>
    <w:qFormat/>
    <w:rsid w:val="005124CA"/>
    <w:pPr>
      <w:spacing w:after="0"/>
    </w:pPr>
    <w:rPr>
      <w:rFonts w:ascii="Tahoma" w:hAnsi="Tahoma"/>
      <w:sz w:val="16"/>
      <w:szCs w:val="16"/>
      <w:lang w:val="x-none" w:eastAsia="x-none"/>
    </w:rPr>
  </w:style>
  <w:style w:type="paragraph" w:styleId="NormalWeb">
    <w:name w:val="Normal (Web)"/>
    <w:basedOn w:val="Normal"/>
    <w:uiPriority w:val="99"/>
    <w:unhideWhenUsed/>
    <w:qFormat/>
    <w:rsid w:val="00FA6A5F"/>
    <w:pPr>
      <w:spacing w:beforeAutospacing="1" w:afterAutospacing="1"/>
    </w:pPr>
    <w:rPr>
      <w:rFonts w:eastAsia="Times New Roman"/>
      <w:sz w:val="24"/>
      <w:szCs w:val="24"/>
    </w:rPr>
  </w:style>
  <w:style w:type="paragraph" w:customStyle="1" w:styleId="CatatanKaki">
    <w:name w:val="Catatan Kaki"/>
    <w:basedOn w:val="Normal"/>
    <w:link w:val="CatatanKakiChar"/>
    <w:qFormat/>
    <w:rsid w:val="0070515F"/>
    <w:pPr>
      <w:spacing w:after="0"/>
      <w:ind w:left="284" w:hanging="284"/>
    </w:pPr>
    <w:rPr>
      <w:rFonts w:eastAsiaTheme="minorHAnsi"/>
      <w:lang w:val="en-ID"/>
    </w:rPr>
  </w:style>
  <w:style w:type="paragraph" w:styleId="Title">
    <w:name w:val="Title"/>
    <w:basedOn w:val="Normal"/>
    <w:next w:val="Normal"/>
    <w:link w:val="TitleChar"/>
    <w:uiPriority w:val="10"/>
    <w:qFormat/>
    <w:rsid w:val="00575D1E"/>
    <w:pPr>
      <w:spacing w:beforeAutospacing="1" w:afterAutospacing="1"/>
      <w:jc w:val="center"/>
    </w:pPr>
    <w:rPr>
      <w:i/>
      <w:sz w:val="48"/>
      <w:szCs w:val="48"/>
    </w:rPr>
  </w:style>
  <w:style w:type="paragraph" w:customStyle="1" w:styleId="JudulArtikel">
    <w:name w:val="Judul Artikel"/>
    <w:basedOn w:val="Normal"/>
    <w:link w:val="JudulArtikelChar"/>
    <w:qFormat/>
    <w:rsid w:val="007D5AA7"/>
    <w:pPr>
      <w:spacing w:after="0"/>
      <w:ind w:firstLine="0"/>
      <w:contextualSpacing w:val="0"/>
      <w:jc w:val="center"/>
    </w:pPr>
    <w:rPr>
      <w:rFonts w:eastAsiaTheme="minorHAnsi"/>
      <w:b/>
      <w:bCs/>
      <w:sz w:val="26"/>
      <w:szCs w:val="26"/>
      <w:lang w:val="en-ID"/>
    </w:rPr>
  </w:style>
  <w:style w:type="paragraph" w:customStyle="1" w:styleId="Paragraf">
    <w:name w:val="Paragraf"/>
    <w:basedOn w:val="Normal"/>
    <w:link w:val="ParagrafChar"/>
    <w:qFormat/>
    <w:rsid w:val="007D5AA7"/>
    <w:pPr>
      <w:spacing w:before="120" w:after="0"/>
      <w:ind w:firstLine="567"/>
      <w:contextualSpacing w:val="0"/>
    </w:pPr>
    <w:rPr>
      <w:rFonts w:eastAsiaTheme="minorHAnsi"/>
      <w:szCs w:val="22"/>
      <w:lang w:val="en-ID"/>
    </w:rPr>
  </w:style>
  <w:style w:type="paragraph" w:customStyle="1" w:styleId="Subbab">
    <w:name w:val="Subbab"/>
    <w:basedOn w:val="Normal"/>
    <w:link w:val="SubbabChar"/>
    <w:qFormat/>
    <w:rsid w:val="00D51AB5"/>
    <w:pPr>
      <w:numPr>
        <w:numId w:val="2"/>
      </w:numPr>
      <w:spacing w:after="0"/>
      <w:ind w:left="426" w:firstLine="284"/>
      <w:jc w:val="left"/>
    </w:pPr>
    <w:rPr>
      <w:rFonts w:eastAsia="Times New Roman"/>
      <w:b/>
      <w:bCs/>
      <w:szCs w:val="22"/>
      <w:lang w:val="en-GB"/>
    </w:rPr>
  </w:style>
  <w:style w:type="paragraph" w:customStyle="1" w:styleId="AbstractContent">
    <w:name w:val="Abstract Content"/>
    <w:basedOn w:val="Normal"/>
    <w:link w:val="AbstractContentChar"/>
    <w:qFormat/>
    <w:rsid w:val="00952EA7"/>
    <w:pPr>
      <w:ind w:firstLine="0"/>
    </w:pPr>
    <w:rPr>
      <w:szCs w:val="22"/>
    </w:rPr>
  </w:style>
  <w:style w:type="paragraph" w:customStyle="1" w:styleId="Level1Content">
    <w:name w:val="Level 1 Content"/>
    <w:basedOn w:val="Normal"/>
    <w:link w:val="Level1ContentChar"/>
    <w:qFormat/>
    <w:rsid w:val="006318A2"/>
    <w:pPr>
      <w:spacing w:after="0" w:line="276" w:lineRule="auto"/>
      <w:ind w:firstLine="567"/>
    </w:pPr>
    <w:rPr>
      <w:szCs w:val="22"/>
      <w:lang w:val="en-ID"/>
    </w:rPr>
  </w:style>
  <w:style w:type="paragraph" w:customStyle="1" w:styleId="Level2Content">
    <w:name w:val="Level 2 Content"/>
    <w:basedOn w:val="Level1Content"/>
    <w:link w:val="Level2ContentChar"/>
    <w:qFormat/>
    <w:rsid w:val="006318A2"/>
  </w:style>
  <w:style w:type="paragraph" w:customStyle="1" w:styleId="Level3Content">
    <w:name w:val="Level 3 Content"/>
    <w:basedOn w:val="Normal"/>
    <w:link w:val="Level3ContentChar"/>
    <w:qFormat/>
    <w:rsid w:val="006318A2"/>
    <w:pPr>
      <w:spacing w:after="0" w:line="276" w:lineRule="auto"/>
      <w:ind w:firstLine="567"/>
    </w:pPr>
    <w:rPr>
      <w:szCs w:val="22"/>
      <w:lang w:val="en-ID"/>
    </w:rPr>
  </w:style>
  <w:style w:type="paragraph" w:styleId="EndnoteText">
    <w:name w:val="endnote text"/>
    <w:basedOn w:val="Normal"/>
    <w:link w:val="EndnoteTextChar"/>
    <w:uiPriority w:val="99"/>
    <w:semiHidden/>
    <w:unhideWhenUsed/>
    <w:rsid w:val="00B73C38"/>
    <w:pPr>
      <w:spacing w:after="0"/>
    </w:pPr>
  </w:style>
  <w:style w:type="paragraph" w:customStyle="1" w:styleId="References">
    <w:name w:val="References"/>
    <w:basedOn w:val="Normal"/>
    <w:link w:val="ReferencesChar"/>
    <w:qFormat/>
    <w:rsid w:val="00D45BFE"/>
    <w:pPr>
      <w:widowControl w:val="0"/>
      <w:spacing w:after="0" w:line="276" w:lineRule="auto"/>
      <w:ind w:left="480" w:hanging="480"/>
    </w:pPr>
    <w:rPr>
      <w:szCs w:val="2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556E8"/>
    <w:pPr>
      <w:tabs>
        <w:tab w:val="center" w:pos="4513"/>
        <w:tab w:val="right" w:pos="9026"/>
      </w:tabs>
      <w:spacing w:after="0"/>
    </w:pPr>
  </w:style>
  <w:style w:type="paragraph" w:styleId="Footer">
    <w:name w:val="footer"/>
    <w:basedOn w:val="Normal"/>
    <w:link w:val="FooterChar"/>
    <w:uiPriority w:val="99"/>
    <w:unhideWhenUsed/>
    <w:rsid w:val="008556E8"/>
    <w:pPr>
      <w:tabs>
        <w:tab w:val="center" w:pos="4513"/>
        <w:tab w:val="right" w:pos="9026"/>
      </w:tabs>
      <w:spacing w:after="0"/>
    </w:pPr>
  </w:style>
  <w:style w:type="paragraph" w:styleId="NoSpacing">
    <w:name w:val="No Spacing"/>
    <w:uiPriority w:val="1"/>
    <w:qFormat/>
    <w:rsid w:val="00C56219"/>
    <w:pPr>
      <w:ind w:firstLine="284"/>
      <w:contextualSpacing/>
      <w:jc w:val="both"/>
    </w:pPr>
    <w:rPr>
      <w:rFonts w:ascii="Times New Roman" w:hAnsi="Times New Roman"/>
      <w:sz w:val="22"/>
      <w:lang w:val="en-US" w:eastAsia="en-US"/>
    </w:rPr>
  </w:style>
  <w:style w:type="table" w:styleId="TableGrid">
    <w:name w:val="Table Grid"/>
    <w:basedOn w:val="TableNormal"/>
    <w:uiPriority w:val="39"/>
    <w:rsid w:val="00EF0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58BD"/>
    <w:pPr>
      <w:suppressAutoHyphens w:val="0"/>
    </w:pPr>
    <w:rPr>
      <w:rFonts w:ascii="Times New Roman" w:hAnsi="Times New Roman"/>
      <w:sz w:val="22"/>
      <w:lang w:val="en-US" w:eastAsia="en-US"/>
    </w:rPr>
  </w:style>
  <w:style w:type="character" w:styleId="FootnoteReference">
    <w:name w:val="footnote reference"/>
    <w:basedOn w:val="DefaultParagraphFont"/>
    <w:uiPriority w:val="99"/>
    <w:semiHidden/>
    <w:unhideWhenUsed/>
    <w:rsid w:val="00A507C5"/>
    <w:rPr>
      <w:vertAlign w:val="superscript"/>
    </w:rPr>
  </w:style>
  <w:style w:type="paragraph" w:customStyle="1" w:styleId="SubJudulTemplate">
    <w:name w:val="Sub Judul Template"/>
    <w:basedOn w:val="Normal"/>
    <w:link w:val="SubJudulTemplateChar"/>
    <w:qFormat/>
    <w:rsid w:val="00607475"/>
    <w:pPr>
      <w:suppressAutoHyphens w:val="0"/>
      <w:spacing w:after="0" w:line="360" w:lineRule="auto"/>
      <w:ind w:left="284" w:hanging="284"/>
      <w:contextualSpacing w:val="0"/>
    </w:pPr>
    <w:rPr>
      <w:rFonts w:eastAsia="Arial"/>
      <w:b/>
      <w:bCs/>
      <w:sz w:val="24"/>
      <w:szCs w:val="24"/>
      <w:lang w:val="id-ID"/>
    </w:rPr>
  </w:style>
  <w:style w:type="character" w:customStyle="1" w:styleId="SubJudulTemplateChar">
    <w:name w:val="Sub Judul Template Char"/>
    <w:basedOn w:val="DefaultParagraphFont"/>
    <w:link w:val="SubJudulTemplate"/>
    <w:rsid w:val="00607475"/>
    <w:rPr>
      <w:rFonts w:ascii="Times New Roman" w:eastAsia="Arial" w:hAnsi="Times New Roman"/>
      <w:b/>
      <w:bCs/>
      <w:sz w:val="24"/>
      <w:szCs w:val="24"/>
      <w:lang w:val="id-ID" w:eastAsia="en-US"/>
    </w:rPr>
  </w:style>
  <w:style w:type="character" w:customStyle="1" w:styleId="Heading4Char">
    <w:name w:val="Heading 4 Char"/>
    <w:basedOn w:val="DefaultParagraphFont"/>
    <w:link w:val="Heading4"/>
    <w:uiPriority w:val="9"/>
    <w:semiHidden/>
    <w:rsid w:val="00FE1E6E"/>
    <w:rPr>
      <w:rFonts w:asciiTheme="majorHAnsi" w:eastAsiaTheme="majorEastAsia" w:hAnsiTheme="majorHAnsi" w:cstheme="majorBidi"/>
      <w:i/>
      <w:iCs/>
      <w:color w:val="2F5496" w:themeColor="accent1" w:themeShade="BF"/>
      <w:sz w:val="22"/>
      <w:lang w:val="en-US" w:eastAsia="en-US"/>
    </w:rPr>
  </w:style>
  <w:style w:type="character" w:customStyle="1" w:styleId="Heading5Char">
    <w:name w:val="Heading 5 Char"/>
    <w:basedOn w:val="DefaultParagraphFont"/>
    <w:link w:val="Heading5"/>
    <w:uiPriority w:val="9"/>
    <w:semiHidden/>
    <w:rsid w:val="00FE1E6E"/>
    <w:rPr>
      <w:rFonts w:asciiTheme="majorHAnsi" w:eastAsiaTheme="majorEastAsia" w:hAnsiTheme="majorHAnsi" w:cstheme="majorBidi"/>
      <w:color w:val="2F5496" w:themeColor="accent1" w:themeShade="BF"/>
      <w:sz w:val="22"/>
      <w:lang w:val="en-US" w:eastAsia="en-US"/>
    </w:rPr>
  </w:style>
  <w:style w:type="character" w:customStyle="1" w:styleId="Heading6Char">
    <w:name w:val="Heading 6 Char"/>
    <w:basedOn w:val="DefaultParagraphFont"/>
    <w:link w:val="Heading6"/>
    <w:uiPriority w:val="9"/>
    <w:semiHidden/>
    <w:rsid w:val="00FE1E6E"/>
    <w:rPr>
      <w:rFonts w:asciiTheme="majorHAnsi" w:eastAsiaTheme="majorEastAsia" w:hAnsiTheme="majorHAnsi" w:cstheme="majorBidi"/>
      <w:color w:val="1F3763" w:themeColor="accent1" w:themeShade="7F"/>
      <w:sz w:val="22"/>
      <w:lang w:val="en-US" w:eastAsia="en-US"/>
    </w:rPr>
  </w:style>
  <w:style w:type="character" w:customStyle="1" w:styleId="Heading7Char">
    <w:name w:val="Heading 7 Char"/>
    <w:basedOn w:val="DefaultParagraphFont"/>
    <w:link w:val="Heading7"/>
    <w:uiPriority w:val="9"/>
    <w:semiHidden/>
    <w:rsid w:val="00FE1E6E"/>
    <w:rPr>
      <w:rFonts w:asciiTheme="majorHAnsi" w:eastAsiaTheme="majorEastAsia" w:hAnsiTheme="majorHAnsi" w:cstheme="majorBidi"/>
      <w:i/>
      <w:iCs/>
      <w:color w:val="1F3763" w:themeColor="accent1" w:themeShade="7F"/>
      <w:sz w:val="22"/>
      <w:lang w:val="en-US" w:eastAsia="en-US"/>
    </w:rPr>
  </w:style>
  <w:style w:type="character" w:customStyle="1" w:styleId="Heading8Char">
    <w:name w:val="Heading 8 Char"/>
    <w:basedOn w:val="DefaultParagraphFont"/>
    <w:link w:val="Heading8"/>
    <w:uiPriority w:val="9"/>
    <w:semiHidden/>
    <w:rsid w:val="00FE1E6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FE1E6E"/>
    <w:rPr>
      <w:rFonts w:asciiTheme="majorHAnsi" w:eastAsiaTheme="majorEastAsia" w:hAnsiTheme="majorHAnsi" w:cstheme="majorBidi"/>
      <w:i/>
      <w:iCs/>
      <w:color w:val="272727" w:themeColor="text1" w:themeTint="D8"/>
      <w:sz w:val="21"/>
      <w:szCs w:val="21"/>
      <w:lang w:val="en-US" w:eastAsia="en-US"/>
    </w:rPr>
  </w:style>
  <w:style w:type="paragraph" w:styleId="Bibliography">
    <w:name w:val="Bibliography"/>
    <w:basedOn w:val="Normal"/>
    <w:next w:val="Normal"/>
    <w:uiPriority w:val="37"/>
    <w:unhideWhenUsed/>
    <w:rsid w:val="00C23589"/>
  </w:style>
  <w:style w:type="paragraph" w:styleId="z-TopofForm">
    <w:name w:val="HTML Top of Form"/>
    <w:basedOn w:val="Normal"/>
    <w:next w:val="Normal"/>
    <w:link w:val="z-TopofFormChar"/>
    <w:hidden/>
    <w:uiPriority w:val="99"/>
    <w:semiHidden/>
    <w:unhideWhenUsed/>
    <w:rsid w:val="00586D1B"/>
    <w:pPr>
      <w:pBdr>
        <w:bottom w:val="single" w:sz="6" w:space="1" w:color="auto"/>
      </w:pBdr>
      <w:suppressAutoHyphens w:val="0"/>
      <w:spacing w:after="0"/>
      <w:ind w:firstLine="0"/>
      <w:contextualSpacing w:val="0"/>
      <w:jc w:val="center"/>
    </w:pPr>
    <w:rPr>
      <w:rFonts w:ascii="Arial" w:eastAsia="Times New Roman" w:hAnsi="Arial" w:cs="Arial"/>
      <w:vanish/>
      <w:sz w:val="16"/>
      <w:szCs w:val="16"/>
      <w:lang w:val="en-ID" w:eastAsia="en-ID"/>
    </w:rPr>
  </w:style>
  <w:style w:type="character" w:customStyle="1" w:styleId="z-TopofFormChar">
    <w:name w:val="z-Top of Form Char"/>
    <w:basedOn w:val="DefaultParagraphFont"/>
    <w:link w:val="z-TopofForm"/>
    <w:uiPriority w:val="99"/>
    <w:semiHidden/>
    <w:rsid w:val="00586D1B"/>
    <w:rPr>
      <w:rFonts w:ascii="Arial" w:eastAsia="Times New Roman" w:hAnsi="Arial" w:cs="Arial"/>
      <w:vanish/>
      <w:sz w:val="16"/>
      <w:szCs w:val="16"/>
      <w:lang w:val="en-ID" w:eastAsia="en-ID"/>
    </w:rPr>
  </w:style>
  <w:style w:type="character" w:styleId="Strong">
    <w:name w:val="Strong"/>
    <w:basedOn w:val="DefaultParagraphFont"/>
    <w:uiPriority w:val="22"/>
    <w:qFormat/>
    <w:rsid w:val="00CA3813"/>
    <w:rPr>
      <w:b/>
      <w:bCs/>
    </w:rPr>
  </w:style>
  <w:style w:type="character" w:styleId="EndnoteReference">
    <w:name w:val="endnote reference"/>
    <w:basedOn w:val="DefaultParagraphFont"/>
    <w:uiPriority w:val="99"/>
    <w:semiHidden/>
    <w:unhideWhenUsed/>
    <w:rsid w:val="00DA44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99159">
      <w:bodyDiv w:val="1"/>
      <w:marLeft w:val="0"/>
      <w:marRight w:val="0"/>
      <w:marTop w:val="0"/>
      <w:marBottom w:val="0"/>
      <w:divBdr>
        <w:top w:val="none" w:sz="0" w:space="0" w:color="auto"/>
        <w:left w:val="none" w:sz="0" w:space="0" w:color="auto"/>
        <w:bottom w:val="none" w:sz="0" w:space="0" w:color="auto"/>
        <w:right w:val="none" w:sz="0" w:space="0" w:color="auto"/>
      </w:divBdr>
    </w:div>
    <w:div w:id="17632151">
      <w:bodyDiv w:val="1"/>
      <w:marLeft w:val="0"/>
      <w:marRight w:val="0"/>
      <w:marTop w:val="0"/>
      <w:marBottom w:val="0"/>
      <w:divBdr>
        <w:top w:val="none" w:sz="0" w:space="0" w:color="auto"/>
        <w:left w:val="none" w:sz="0" w:space="0" w:color="auto"/>
        <w:bottom w:val="none" w:sz="0" w:space="0" w:color="auto"/>
        <w:right w:val="none" w:sz="0" w:space="0" w:color="auto"/>
      </w:divBdr>
      <w:divsChild>
        <w:div w:id="1274828726">
          <w:marLeft w:val="0"/>
          <w:marRight w:val="0"/>
          <w:marTop w:val="0"/>
          <w:marBottom w:val="0"/>
          <w:divBdr>
            <w:top w:val="single" w:sz="2" w:space="0" w:color="D9D9E3"/>
            <w:left w:val="single" w:sz="2" w:space="0" w:color="D9D9E3"/>
            <w:bottom w:val="single" w:sz="2" w:space="0" w:color="D9D9E3"/>
            <w:right w:val="single" w:sz="2" w:space="0" w:color="D9D9E3"/>
          </w:divBdr>
          <w:divsChild>
            <w:div w:id="1749419107">
              <w:marLeft w:val="0"/>
              <w:marRight w:val="0"/>
              <w:marTop w:val="0"/>
              <w:marBottom w:val="0"/>
              <w:divBdr>
                <w:top w:val="single" w:sz="2" w:space="0" w:color="D9D9E3"/>
                <w:left w:val="single" w:sz="2" w:space="0" w:color="D9D9E3"/>
                <w:bottom w:val="single" w:sz="2" w:space="0" w:color="D9D9E3"/>
                <w:right w:val="single" w:sz="2" w:space="0" w:color="D9D9E3"/>
              </w:divBdr>
              <w:divsChild>
                <w:div w:id="1987781047">
                  <w:marLeft w:val="0"/>
                  <w:marRight w:val="0"/>
                  <w:marTop w:val="0"/>
                  <w:marBottom w:val="0"/>
                  <w:divBdr>
                    <w:top w:val="single" w:sz="2" w:space="0" w:color="D9D9E3"/>
                    <w:left w:val="single" w:sz="2" w:space="0" w:color="D9D9E3"/>
                    <w:bottom w:val="single" w:sz="2" w:space="0" w:color="D9D9E3"/>
                    <w:right w:val="single" w:sz="2" w:space="0" w:color="D9D9E3"/>
                  </w:divBdr>
                  <w:divsChild>
                    <w:div w:id="1002468753">
                      <w:marLeft w:val="0"/>
                      <w:marRight w:val="0"/>
                      <w:marTop w:val="0"/>
                      <w:marBottom w:val="0"/>
                      <w:divBdr>
                        <w:top w:val="single" w:sz="2" w:space="0" w:color="D9D9E3"/>
                        <w:left w:val="single" w:sz="2" w:space="0" w:color="D9D9E3"/>
                        <w:bottom w:val="single" w:sz="2" w:space="0" w:color="D9D9E3"/>
                        <w:right w:val="single" w:sz="2" w:space="0" w:color="D9D9E3"/>
                      </w:divBdr>
                      <w:divsChild>
                        <w:div w:id="1636911976">
                          <w:marLeft w:val="0"/>
                          <w:marRight w:val="0"/>
                          <w:marTop w:val="0"/>
                          <w:marBottom w:val="0"/>
                          <w:divBdr>
                            <w:top w:val="single" w:sz="2" w:space="0" w:color="auto"/>
                            <w:left w:val="single" w:sz="2" w:space="0" w:color="auto"/>
                            <w:bottom w:val="single" w:sz="6" w:space="0" w:color="auto"/>
                            <w:right w:val="single" w:sz="2" w:space="0" w:color="auto"/>
                          </w:divBdr>
                          <w:divsChild>
                            <w:div w:id="692388153">
                              <w:marLeft w:val="0"/>
                              <w:marRight w:val="0"/>
                              <w:marTop w:val="100"/>
                              <w:marBottom w:val="100"/>
                              <w:divBdr>
                                <w:top w:val="single" w:sz="2" w:space="0" w:color="D9D9E3"/>
                                <w:left w:val="single" w:sz="2" w:space="0" w:color="D9D9E3"/>
                                <w:bottom w:val="single" w:sz="2" w:space="0" w:color="D9D9E3"/>
                                <w:right w:val="single" w:sz="2" w:space="0" w:color="D9D9E3"/>
                              </w:divBdr>
                              <w:divsChild>
                                <w:div w:id="1082065864">
                                  <w:marLeft w:val="0"/>
                                  <w:marRight w:val="0"/>
                                  <w:marTop w:val="0"/>
                                  <w:marBottom w:val="0"/>
                                  <w:divBdr>
                                    <w:top w:val="single" w:sz="2" w:space="0" w:color="D9D9E3"/>
                                    <w:left w:val="single" w:sz="2" w:space="0" w:color="D9D9E3"/>
                                    <w:bottom w:val="single" w:sz="2" w:space="0" w:color="D9D9E3"/>
                                    <w:right w:val="single" w:sz="2" w:space="0" w:color="D9D9E3"/>
                                  </w:divBdr>
                                  <w:divsChild>
                                    <w:div w:id="744954123">
                                      <w:marLeft w:val="0"/>
                                      <w:marRight w:val="0"/>
                                      <w:marTop w:val="0"/>
                                      <w:marBottom w:val="0"/>
                                      <w:divBdr>
                                        <w:top w:val="single" w:sz="2" w:space="0" w:color="D9D9E3"/>
                                        <w:left w:val="single" w:sz="2" w:space="0" w:color="D9D9E3"/>
                                        <w:bottom w:val="single" w:sz="2" w:space="0" w:color="D9D9E3"/>
                                        <w:right w:val="single" w:sz="2" w:space="0" w:color="D9D9E3"/>
                                      </w:divBdr>
                                      <w:divsChild>
                                        <w:div w:id="1101949423">
                                          <w:marLeft w:val="0"/>
                                          <w:marRight w:val="0"/>
                                          <w:marTop w:val="0"/>
                                          <w:marBottom w:val="0"/>
                                          <w:divBdr>
                                            <w:top w:val="single" w:sz="2" w:space="0" w:color="D9D9E3"/>
                                            <w:left w:val="single" w:sz="2" w:space="0" w:color="D9D9E3"/>
                                            <w:bottom w:val="single" w:sz="2" w:space="0" w:color="D9D9E3"/>
                                            <w:right w:val="single" w:sz="2" w:space="0" w:color="D9D9E3"/>
                                          </w:divBdr>
                                          <w:divsChild>
                                            <w:div w:id="2105152345">
                                              <w:marLeft w:val="0"/>
                                              <w:marRight w:val="0"/>
                                              <w:marTop w:val="0"/>
                                              <w:marBottom w:val="0"/>
                                              <w:divBdr>
                                                <w:top w:val="single" w:sz="2" w:space="0" w:color="D9D9E3"/>
                                                <w:left w:val="single" w:sz="2" w:space="0" w:color="D9D9E3"/>
                                                <w:bottom w:val="single" w:sz="2" w:space="0" w:color="D9D9E3"/>
                                                <w:right w:val="single" w:sz="2" w:space="0" w:color="D9D9E3"/>
                                              </w:divBdr>
                                              <w:divsChild>
                                                <w:div w:id="15127249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6157469">
                          <w:marLeft w:val="0"/>
                          <w:marRight w:val="0"/>
                          <w:marTop w:val="0"/>
                          <w:marBottom w:val="0"/>
                          <w:divBdr>
                            <w:top w:val="single" w:sz="2" w:space="0" w:color="auto"/>
                            <w:left w:val="single" w:sz="2" w:space="0" w:color="auto"/>
                            <w:bottom w:val="single" w:sz="6" w:space="0" w:color="auto"/>
                            <w:right w:val="single" w:sz="2" w:space="0" w:color="auto"/>
                          </w:divBdr>
                          <w:divsChild>
                            <w:div w:id="1586183020">
                              <w:marLeft w:val="0"/>
                              <w:marRight w:val="0"/>
                              <w:marTop w:val="100"/>
                              <w:marBottom w:val="100"/>
                              <w:divBdr>
                                <w:top w:val="single" w:sz="2" w:space="0" w:color="D9D9E3"/>
                                <w:left w:val="single" w:sz="2" w:space="0" w:color="D9D9E3"/>
                                <w:bottom w:val="single" w:sz="2" w:space="0" w:color="D9D9E3"/>
                                <w:right w:val="single" w:sz="2" w:space="0" w:color="D9D9E3"/>
                              </w:divBdr>
                              <w:divsChild>
                                <w:div w:id="1920555547">
                                  <w:marLeft w:val="0"/>
                                  <w:marRight w:val="0"/>
                                  <w:marTop w:val="0"/>
                                  <w:marBottom w:val="0"/>
                                  <w:divBdr>
                                    <w:top w:val="single" w:sz="2" w:space="0" w:color="D9D9E3"/>
                                    <w:left w:val="single" w:sz="2" w:space="0" w:color="D9D9E3"/>
                                    <w:bottom w:val="single" w:sz="2" w:space="0" w:color="D9D9E3"/>
                                    <w:right w:val="single" w:sz="2" w:space="0" w:color="D9D9E3"/>
                                  </w:divBdr>
                                  <w:divsChild>
                                    <w:div w:id="2011057838">
                                      <w:marLeft w:val="0"/>
                                      <w:marRight w:val="0"/>
                                      <w:marTop w:val="0"/>
                                      <w:marBottom w:val="0"/>
                                      <w:divBdr>
                                        <w:top w:val="single" w:sz="2" w:space="0" w:color="D9D9E3"/>
                                        <w:left w:val="single" w:sz="2" w:space="0" w:color="D9D9E3"/>
                                        <w:bottom w:val="single" w:sz="2" w:space="0" w:color="D9D9E3"/>
                                        <w:right w:val="single" w:sz="2" w:space="0" w:color="D9D9E3"/>
                                      </w:divBdr>
                                      <w:divsChild>
                                        <w:div w:id="314263530">
                                          <w:marLeft w:val="0"/>
                                          <w:marRight w:val="0"/>
                                          <w:marTop w:val="0"/>
                                          <w:marBottom w:val="0"/>
                                          <w:divBdr>
                                            <w:top w:val="single" w:sz="2" w:space="0" w:color="D9D9E3"/>
                                            <w:left w:val="single" w:sz="2" w:space="0" w:color="D9D9E3"/>
                                            <w:bottom w:val="single" w:sz="2" w:space="0" w:color="D9D9E3"/>
                                            <w:right w:val="single" w:sz="2" w:space="0" w:color="D9D9E3"/>
                                          </w:divBdr>
                                          <w:divsChild>
                                            <w:div w:id="17764398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2284405">
                                      <w:marLeft w:val="0"/>
                                      <w:marRight w:val="0"/>
                                      <w:marTop w:val="0"/>
                                      <w:marBottom w:val="0"/>
                                      <w:divBdr>
                                        <w:top w:val="single" w:sz="2" w:space="0" w:color="D9D9E3"/>
                                        <w:left w:val="single" w:sz="2" w:space="0" w:color="D9D9E3"/>
                                        <w:bottom w:val="single" w:sz="2" w:space="0" w:color="D9D9E3"/>
                                        <w:right w:val="single" w:sz="2" w:space="0" w:color="D9D9E3"/>
                                      </w:divBdr>
                                      <w:divsChild>
                                        <w:div w:id="1620793260">
                                          <w:marLeft w:val="0"/>
                                          <w:marRight w:val="0"/>
                                          <w:marTop w:val="0"/>
                                          <w:marBottom w:val="0"/>
                                          <w:divBdr>
                                            <w:top w:val="single" w:sz="2" w:space="0" w:color="D9D9E3"/>
                                            <w:left w:val="single" w:sz="2" w:space="0" w:color="D9D9E3"/>
                                            <w:bottom w:val="single" w:sz="2" w:space="0" w:color="D9D9E3"/>
                                            <w:right w:val="single" w:sz="2" w:space="0" w:color="D9D9E3"/>
                                          </w:divBdr>
                                          <w:divsChild>
                                            <w:div w:id="724448435">
                                              <w:marLeft w:val="0"/>
                                              <w:marRight w:val="0"/>
                                              <w:marTop w:val="0"/>
                                              <w:marBottom w:val="0"/>
                                              <w:divBdr>
                                                <w:top w:val="single" w:sz="2" w:space="0" w:color="D9D9E3"/>
                                                <w:left w:val="single" w:sz="2" w:space="0" w:color="D9D9E3"/>
                                                <w:bottom w:val="single" w:sz="2" w:space="0" w:color="D9D9E3"/>
                                                <w:right w:val="single" w:sz="2" w:space="0" w:color="D9D9E3"/>
                                              </w:divBdr>
                                              <w:divsChild>
                                                <w:div w:id="1475253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17635">
                          <w:marLeft w:val="0"/>
                          <w:marRight w:val="0"/>
                          <w:marTop w:val="0"/>
                          <w:marBottom w:val="0"/>
                          <w:divBdr>
                            <w:top w:val="single" w:sz="2" w:space="0" w:color="auto"/>
                            <w:left w:val="single" w:sz="2" w:space="0" w:color="auto"/>
                            <w:bottom w:val="single" w:sz="6" w:space="0" w:color="auto"/>
                            <w:right w:val="single" w:sz="2" w:space="0" w:color="auto"/>
                          </w:divBdr>
                          <w:divsChild>
                            <w:div w:id="1024553549">
                              <w:marLeft w:val="0"/>
                              <w:marRight w:val="0"/>
                              <w:marTop w:val="100"/>
                              <w:marBottom w:val="100"/>
                              <w:divBdr>
                                <w:top w:val="single" w:sz="2" w:space="0" w:color="D9D9E3"/>
                                <w:left w:val="single" w:sz="2" w:space="0" w:color="D9D9E3"/>
                                <w:bottom w:val="single" w:sz="2" w:space="0" w:color="D9D9E3"/>
                                <w:right w:val="single" w:sz="2" w:space="0" w:color="D9D9E3"/>
                              </w:divBdr>
                              <w:divsChild>
                                <w:div w:id="1326057814">
                                  <w:marLeft w:val="0"/>
                                  <w:marRight w:val="0"/>
                                  <w:marTop w:val="0"/>
                                  <w:marBottom w:val="0"/>
                                  <w:divBdr>
                                    <w:top w:val="single" w:sz="2" w:space="0" w:color="D9D9E3"/>
                                    <w:left w:val="single" w:sz="2" w:space="0" w:color="D9D9E3"/>
                                    <w:bottom w:val="single" w:sz="2" w:space="0" w:color="D9D9E3"/>
                                    <w:right w:val="single" w:sz="2" w:space="0" w:color="D9D9E3"/>
                                  </w:divBdr>
                                  <w:divsChild>
                                    <w:div w:id="1494221178">
                                      <w:marLeft w:val="0"/>
                                      <w:marRight w:val="0"/>
                                      <w:marTop w:val="0"/>
                                      <w:marBottom w:val="0"/>
                                      <w:divBdr>
                                        <w:top w:val="single" w:sz="2" w:space="0" w:color="D9D9E3"/>
                                        <w:left w:val="single" w:sz="2" w:space="0" w:color="D9D9E3"/>
                                        <w:bottom w:val="single" w:sz="2" w:space="0" w:color="D9D9E3"/>
                                        <w:right w:val="single" w:sz="2" w:space="0" w:color="D9D9E3"/>
                                      </w:divBdr>
                                      <w:divsChild>
                                        <w:div w:id="213083092">
                                          <w:marLeft w:val="0"/>
                                          <w:marRight w:val="0"/>
                                          <w:marTop w:val="0"/>
                                          <w:marBottom w:val="0"/>
                                          <w:divBdr>
                                            <w:top w:val="single" w:sz="2" w:space="0" w:color="D9D9E3"/>
                                            <w:left w:val="single" w:sz="2" w:space="0" w:color="D9D9E3"/>
                                            <w:bottom w:val="single" w:sz="2" w:space="0" w:color="D9D9E3"/>
                                            <w:right w:val="single" w:sz="2" w:space="0" w:color="D9D9E3"/>
                                          </w:divBdr>
                                          <w:divsChild>
                                            <w:div w:id="12355553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5681178">
                                      <w:marLeft w:val="0"/>
                                      <w:marRight w:val="0"/>
                                      <w:marTop w:val="0"/>
                                      <w:marBottom w:val="0"/>
                                      <w:divBdr>
                                        <w:top w:val="single" w:sz="2" w:space="0" w:color="D9D9E3"/>
                                        <w:left w:val="single" w:sz="2" w:space="0" w:color="D9D9E3"/>
                                        <w:bottom w:val="single" w:sz="2" w:space="0" w:color="D9D9E3"/>
                                        <w:right w:val="single" w:sz="2" w:space="0" w:color="D9D9E3"/>
                                      </w:divBdr>
                                      <w:divsChild>
                                        <w:div w:id="429473084">
                                          <w:marLeft w:val="0"/>
                                          <w:marRight w:val="0"/>
                                          <w:marTop w:val="0"/>
                                          <w:marBottom w:val="0"/>
                                          <w:divBdr>
                                            <w:top w:val="single" w:sz="2" w:space="0" w:color="D9D9E3"/>
                                            <w:left w:val="single" w:sz="2" w:space="0" w:color="D9D9E3"/>
                                            <w:bottom w:val="single" w:sz="2" w:space="0" w:color="D9D9E3"/>
                                            <w:right w:val="single" w:sz="2" w:space="0" w:color="D9D9E3"/>
                                          </w:divBdr>
                                          <w:divsChild>
                                            <w:div w:id="2105228099">
                                              <w:marLeft w:val="0"/>
                                              <w:marRight w:val="0"/>
                                              <w:marTop w:val="0"/>
                                              <w:marBottom w:val="0"/>
                                              <w:divBdr>
                                                <w:top w:val="single" w:sz="2" w:space="0" w:color="D9D9E3"/>
                                                <w:left w:val="single" w:sz="2" w:space="0" w:color="D9D9E3"/>
                                                <w:bottom w:val="single" w:sz="2" w:space="0" w:color="D9D9E3"/>
                                                <w:right w:val="single" w:sz="2" w:space="0" w:color="D9D9E3"/>
                                              </w:divBdr>
                                              <w:divsChild>
                                                <w:div w:id="5439803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353073070">
          <w:marLeft w:val="0"/>
          <w:marRight w:val="0"/>
          <w:marTop w:val="0"/>
          <w:marBottom w:val="0"/>
          <w:divBdr>
            <w:top w:val="none" w:sz="0" w:space="0" w:color="auto"/>
            <w:left w:val="none" w:sz="0" w:space="0" w:color="auto"/>
            <w:bottom w:val="none" w:sz="0" w:space="0" w:color="auto"/>
            <w:right w:val="none" w:sz="0" w:space="0" w:color="auto"/>
          </w:divBdr>
        </w:div>
      </w:divsChild>
    </w:div>
    <w:div w:id="31200587">
      <w:bodyDiv w:val="1"/>
      <w:marLeft w:val="0"/>
      <w:marRight w:val="0"/>
      <w:marTop w:val="0"/>
      <w:marBottom w:val="0"/>
      <w:divBdr>
        <w:top w:val="none" w:sz="0" w:space="0" w:color="auto"/>
        <w:left w:val="none" w:sz="0" w:space="0" w:color="auto"/>
        <w:bottom w:val="none" w:sz="0" w:space="0" w:color="auto"/>
        <w:right w:val="none" w:sz="0" w:space="0" w:color="auto"/>
      </w:divBdr>
    </w:div>
    <w:div w:id="41633639">
      <w:bodyDiv w:val="1"/>
      <w:marLeft w:val="0"/>
      <w:marRight w:val="0"/>
      <w:marTop w:val="0"/>
      <w:marBottom w:val="0"/>
      <w:divBdr>
        <w:top w:val="none" w:sz="0" w:space="0" w:color="auto"/>
        <w:left w:val="none" w:sz="0" w:space="0" w:color="auto"/>
        <w:bottom w:val="none" w:sz="0" w:space="0" w:color="auto"/>
        <w:right w:val="none" w:sz="0" w:space="0" w:color="auto"/>
      </w:divBdr>
    </w:div>
    <w:div w:id="58872450">
      <w:bodyDiv w:val="1"/>
      <w:marLeft w:val="0"/>
      <w:marRight w:val="0"/>
      <w:marTop w:val="0"/>
      <w:marBottom w:val="0"/>
      <w:divBdr>
        <w:top w:val="none" w:sz="0" w:space="0" w:color="auto"/>
        <w:left w:val="none" w:sz="0" w:space="0" w:color="auto"/>
        <w:bottom w:val="none" w:sz="0" w:space="0" w:color="auto"/>
        <w:right w:val="none" w:sz="0" w:space="0" w:color="auto"/>
      </w:divBdr>
    </w:div>
    <w:div w:id="66849842">
      <w:bodyDiv w:val="1"/>
      <w:marLeft w:val="0"/>
      <w:marRight w:val="0"/>
      <w:marTop w:val="0"/>
      <w:marBottom w:val="0"/>
      <w:divBdr>
        <w:top w:val="none" w:sz="0" w:space="0" w:color="auto"/>
        <w:left w:val="none" w:sz="0" w:space="0" w:color="auto"/>
        <w:bottom w:val="none" w:sz="0" w:space="0" w:color="auto"/>
        <w:right w:val="none" w:sz="0" w:space="0" w:color="auto"/>
      </w:divBdr>
    </w:div>
    <w:div w:id="75637389">
      <w:bodyDiv w:val="1"/>
      <w:marLeft w:val="0"/>
      <w:marRight w:val="0"/>
      <w:marTop w:val="0"/>
      <w:marBottom w:val="0"/>
      <w:divBdr>
        <w:top w:val="none" w:sz="0" w:space="0" w:color="auto"/>
        <w:left w:val="none" w:sz="0" w:space="0" w:color="auto"/>
        <w:bottom w:val="none" w:sz="0" w:space="0" w:color="auto"/>
        <w:right w:val="none" w:sz="0" w:space="0" w:color="auto"/>
      </w:divBdr>
    </w:div>
    <w:div w:id="90593669">
      <w:bodyDiv w:val="1"/>
      <w:marLeft w:val="0"/>
      <w:marRight w:val="0"/>
      <w:marTop w:val="0"/>
      <w:marBottom w:val="0"/>
      <w:divBdr>
        <w:top w:val="none" w:sz="0" w:space="0" w:color="auto"/>
        <w:left w:val="none" w:sz="0" w:space="0" w:color="auto"/>
        <w:bottom w:val="none" w:sz="0" w:space="0" w:color="auto"/>
        <w:right w:val="none" w:sz="0" w:space="0" w:color="auto"/>
      </w:divBdr>
    </w:div>
    <w:div w:id="92674431">
      <w:bodyDiv w:val="1"/>
      <w:marLeft w:val="0"/>
      <w:marRight w:val="0"/>
      <w:marTop w:val="0"/>
      <w:marBottom w:val="0"/>
      <w:divBdr>
        <w:top w:val="none" w:sz="0" w:space="0" w:color="auto"/>
        <w:left w:val="none" w:sz="0" w:space="0" w:color="auto"/>
        <w:bottom w:val="none" w:sz="0" w:space="0" w:color="auto"/>
        <w:right w:val="none" w:sz="0" w:space="0" w:color="auto"/>
      </w:divBdr>
    </w:div>
    <w:div w:id="131218933">
      <w:bodyDiv w:val="1"/>
      <w:marLeft w:val="0"/>
      <w:marRight w:val="0"/>
      <w:marTop w:val="0"/>
      <w:marBottom w:val="0"/>
      <w:divBdr>
        <w:top w:val="none" w:sz="0" w:space="0" w:color="auto"/>
        <w:left w:val="none" w:sz="0" w:space="0" w:color="auto"/>
        <w:bottom w:val="none" w:sz="0" w:space="0" w:color="auto"/>
        <w:right w:val="none" w:sz="0" w:space="0" w:color="auto"/>
      </w:divBdr>
    </w:div>
    <w:div w:id="133525502">
      <w:bodyDiv w:val="1"/>
      <w:marLeft w:val="0"/>
      <w:marRight w:val="0"/>
      <w:marTop w:val="0"/>
      <w:marBottom w:val="0"/>
      <w:divBdr>
        <w:top w:val="none" w:sz="0" w:space="0" w:color="auto"/>
        <w:left w:val="none" w:sz="0" w:space="0" w:color="auto"/>
        <w:bottom w:val="none" w:sz="0" w:space="0" w:color="auto"/>
        <w:right w:val="none" w:sz="0" w:space="0" w:color="auto"/>
      </w:divBdr>
    </w:div>
    <w:div w:id="143812480">
      <w:bodyDiv w:val="1"/>
      <w:marLeft w:val="0"/>
      <w:marRight w:val="0"/>
      <w:marTop w:val="0"/>
      <w:marBottom w:val="0"/>
      <w:divBdr>
        <w:top w:val="none" w:sz="0" w:space="0" w:color="auto"/>
        <w:left w:val="none" w:sz="0" w:space="0" w:color="auto"/>
        <w:bottom w:val="none" w:sz="0" w:space="0" w:color="auto"/>
        <w:right w:val="none" w:sz="0" w:space="0" w:color="auto"/>
      </w:divBdr>
    </w:div>
    <w:div w:id="145559065">
      <w:bodyDiv w:val="1"/>
      <w:marLeft w:val="0"/>
      <w:marRight w:val="0"/>
      <w:marTop w:val="0"/>
      <w:marBottom w:val="0"/>
      <w:divBdr>
        <w:top w:val="none" w:sz="0" w:space="0" w:color="auto"/>
        <w:left w:val="none" w:sz="0" w:space="0" w:color="auto"/>
        <w:bottom w:val="none" w:sz="0" w:space="0" w:color="auto"/>
        <w:right w:val="none" w:sz="0" w:space="0" w:color="auto"/>
      </w:divBdr>
    </w:div>
    <w:div w:id="172451692">
      <w:bodyDiv w:val="1"/>
      <w:marLeft w:val="0"/>
      <w:marRight w:val="0"/>
      <w:marTop w:val="0"/>
      <w:marBottom w:val="0"/>
      <w:divBdr>
        <w:top w:val="none" w:sz="0" w:space="0" w:color="auto"/>
        <w:left w:val="none" w:sz="0" w:space="0" w:color="auto"/>
        <w:bottom w:val="none" w:sz="0" w:space="0" w:color="auto"/>
        <w:right w:val="none" w:sz="0" w:space="0" w:color="auto"/>
      </w:divBdr>
    </w:div>
    <w:div w:id="172838026">
      <w:bodyDiv w:val="1"/>
      <w:marLeft w:val="0"/>
      <w:marRight w:val="0"/>
      <w:marTop w:val="0"/>
      <w:marBottom w:val="0"/>
      <w:divBdr>
        <w:top w:val="none" w:sz="0" w:space="0" w:color="auto"/>
        <w:left w:val="none" w:sz="0" w:space="0" w:color="auto"/>
        <w:bottom w:val="none" w:sz="0" w:space="0" w:color="auto"/>
        <w:right w:val="none" w:sz="0" w:space="0" w:color="auto"/>
      </w:divBdr>
    </w:div>
    <w:div w:id="198860259">
      <w:bodyDiv w:val="1"/>
      <w:marLeft w:val="0"/>
      <w:marRight w:val="0"/>
      <w:marTop w:val="0"/>
      <w:marBottom w:val="0"/>
      <w:divBdr>
        <w:top w:val="none" w:sz="0" w:space="0" w:color="auto"/>
        <w:left w:val="none" w:sz="0" w:space="0" w:color="auto"/>
        <w:bottom w:val="none" w:sz="0" w:space="0" w:color="auto"/>
        <w:right w:val="none" w:sz="0" w:space="0" w:color="auto"/>
      </w:divBdr>
    </w:div>
    <w:div w:id="223108439">
      <w:bodyDiv w:val="1"/>
      <w:marLeft w:val="0"/>
      <w:marRight w:val="0"/>
      <w:marTop w:val="0"/>
      <w:marBottom w:val="0"/>
      <w:divBdr>
        <w:top w:val="none" w:sz="0" w:space="0" w:color="auto"/>
        <w:left w:val="none" w:sz="0" w:space="0" w:color="auto"/>
        <w:bottom w:val="none" w:sz="0" w:space="0" w:color="auto"/>
        <w:right w:val="none" w:sz="0" w:space="0" w:color="auto"/>
      </w:divBdr>
    </w:div>
    <w:div w:id="227543883">
      <w:bodyDiv w:val="1"/>
      <w:marLeft w:val="0"/>
      <w:marRight w:val="0"/>
      <w:marTop w:val="0"/>
      <w:marBottom w:val="0"/>
      <w:divBdr>
        <w:top w:val="none" w:sz="0" w:space="0" w:color="auto"/>
        <w:left w:val="none" w:sz="0" w:space="0" w:color="auto"/>
        <w:bottom w:val="none" w:sz="0" w:space="0" w:color="auto"/>
        <w:right w:val="none" w:sz="0" w:space="0" w:color="auto"/>
      </w:divBdr>
    </w:div>
    <w:div w:id="316349868">
      <w:bodyDiv w:val="1"/>
      <w:marLeft w:val="0"/>
      <w:marRight w:val="0"/>
      <w:marTop w:val="0"/>
      <w:marBottom w:val="0"/>
      <w:divBdr>
        <w:top w:val="none" w:sz="0" w:space="0" w:color="auto"/>
        <w:left w:val="none" w:sz="0" w:space="0" w:color="auto"/>
        <w:bottom w:val="none" w:sz="0" w:space="0" w:color="auto"/>
        <w:right w:val="none" w:sz="0" w:space="0" w:color="auto"/>
      </w:divBdr>
    </w:div>
    <w:div w:id="320277468">
      <w:bodyDiv w:val="1"/>
      <w:marLeft w:val="0"/>
      <w:marRight w:val="0"/>
      <w:marTop w:val="0"/>
      <w:marBottom w:val="0"/>
      <w:divBdr>
        <w:top w:val="none" w:sz="0" w:space="0" w:color="auto"/>
        <w:left w:val="none" w:sz="0" w:space="0" w:color="auto"/>
        <w:bottom w:val="none" w:sz="0" w:space="0" w:color="auto"/>
        <w:right w:val="none" w:sz="0" w:space="0" w:color="auto"/>
      </w:divBdr>
    </w:div>
    <w:div w:id="356271496">
      <w:bodyDiv w:val="1"/>
      <w:marLeft w:val="0"/>
      <w:marRight w:val="0"/>
      <w:marTop w:val="0"/>
      <w:marBottom w:val="0"/>
      <w:divBdr>
        <w:top w:val="none" w:sz="0" w:space="0" w:color="auto"/>
        <w:left w:val="none" w:sz="0" w:space="0" w:color="auto"/>
        <w:bottom w:val="none" w:sz="0" w:space="0" w:color="auto"/>
        <w:right w:val="none" w:sz="0" w:space="0" w:color="auto"/>
      </w:divBdr>
    </w:div>
    <w:div w:id="379088625">
      <w:bodyDiv w:val="1"/>
      <w:marLeft w:val="0"/>
      <w:marRight w:val="0"/>
      <w:marTop w:val="0"/>
      <w:marBottom w:val="0"/>
      <w:divBdr>
        <w:top w:val="none" w:sz="0" w:space="0" w:color="auto"/>
        <w:left w:val="none" w:sz="0" w:space="0" w:color="auto"/>
        <w:bottom w:val="none" w:sz="0" w:space="0" w:color="auto"/>
        <w:right w:val="none" w:sz="0" w:space="0" w:color="auto"/>
      </w:divBdr>
    </w:div>
    <w:div w:id="400180512">
      <w:bodyDiv w:val="1"/>
      <w:marLeft w:val="0"/>
      <w:marRight w:val="0"/>
      <w:marTop w:val="0"/>
      <w:marBottom w:val="0"/>
      <w:divBdr>
        <w:top w:val="none" w:sz="0" w:space="0" w:color="auto"/>
        <w:left w:val="none" w:sz="0" w:space="0" w:color="auto"/>
        <w:bottom w:val="none" w:sz="0" w:space="0" w:color="auto"/>
        <w:right w:val="none" w:sz="0" w:space="0" w:color="auto"/>
      </w:divBdr>
    </w:div>
    <w:div w:id="401412152">
      <w:bodyDiv w:val="1"/>
      <w:marLeft w:val="0"/>
      <w:marRight w:val="0"/>
      <w:marTop w:val="0"/>
      <w:marBottom w:val="0"/>
      <w:divBdr>
        <w:top w:val="none" w:sz="0" w:space="0" w:color="auto"/>
        <w:left w:val="none" w:sz="0" w:space="0" w:color="auto"/>
        <w:bottom w:val="none" w:sz="0" w:space="0" w:color="auto"/>
        <w:right w:val="none" w:sz="0" w:space="0" w:color="auto"/>
      </w:divBdr>
    </w:div>
    <w:div w:id="448742559">
      <w:bodyDiv w:val="1"/>
      <w:marLeft w:val="0"/>
      <w:marRight w:val="0"/>
      <w:marTop w:val="0"/>
      <w:marBottom w:val="0"/>
      <w:divBdr>
        <w:top w:val="none" w:sz="0" w:space="0" w:color="auto"/>
        <w:left w:val="none" w:sz="0" w:space="0" w:color="auto"/>
        <w:bottom w:val="none" w:sz="0" w:space="0" w:color="auto"/>
        <w:right w:val="none" w:sz="0" w:space="0" w:color="auto"/>
      </w:divBdr>
    </w:div>
    <w:div w:id="474764935">
      <w:bodyDiv w:val="1"/>
      <w:marLeft w:val="0"/>
      <w:marRight w:val="0"/>
      <w:marTop w:val="0"/>
      <w:marBottom w:val="0"/>
      <w:divBdr>
        <w:top w:val="none" w:sz="0" w:space="0" w:color="auto"/>
        <w:left w:val="none" w:sz="0" w:space="0" w:color="auto"/>
        <w:bottom w:val="none" w:sz="0" w:space="0" w:color="auto"/>
        <w:right w:val="none" w:sz="0" w:space="0" w:color="auto"/>
      </w:divBdr>
    </w:div>
    <w:div w:id="500705231">
      <w:bodyDiv w:val="1"/>
      <w:marLeft w:val="0"/>
      <w:marRight w:val="0"/>
      <w:marTop w:val="0"/>
      <w:marBottom w:val="0"/>
      <w:divBdr>
        <w:top w:val="none" w:sz="0" w:space="0" w:color="auto"/>
        <w:left w:val="none" w:sz="0" w:space="0" w:color="auto"/>
        <w:bottom w:val="none" w:sz="0" w:space="0" w:color="auto"/>
        <w:right w:val="none" w:sz="0" w:space="0" w:color="auto"/>
      </w:divBdr>
    </w:div>
    <w:div w:id="511140823">
      <w:bodyDiv w:val="1"/>
      <w:marLeft w:val="0"/>
      <w:marRight w:val="0"/>
      <w:marTop w:val="0"/>
      <w:marBottom w:val="0"/>
      <w:divBdr>
        <w:top w:val="none" w:sz="0" w:space="0" w:color="auto"/>
        <w:left w:val="none" w:sz="0" w:space="0" w:color="auto"/>
        <w:bottom w:val="none" w:sz="0" w:space="0" w:color="auto"/>
        <w:right w:val="none" w:sz="0" w:space="0" w:color="auto"/>
      </w:divBdr>
    </w:div>
    <w:div w:id="520359931">
      <w:bodyDiv w:val="1"/>
      <w:marLeft w:val="0"/>
      <w:marRight w:val="0"/>
      <w:marTop w:val="0"/>
      <w:marBottom w:val="0"/>
      <w:divBdr>
        <w:top w:val="none" w:sz="0" w:space="0" w:color="auto"/>
        <w:left w:val="none" w:sz="0" w:space="0" w:color="auto"/>
        <w:bottom w:val="none" w:sz="0" w:space="0" w:color="auto"/>
        <w:right w:val="none" w:sz="0" w:space="0" w:color="auto"/>
      </w:divBdr>
    </w:div>
    <w:div w:id="531115789">
      <w:bodyDiv w:val="1"/>
      <w:marLeft w:val="0"/>
      <w:marRight w:val="0"/>
      <w:marTop w:val="0"/>
      <w:marBottom w:val="0"/>
      <w:divBdr>
        <w:top w:val="none" w:sz="0" w:space="0" w:color="auto"/>
        <w:left w:val="none" w:sz="0" w:space="0" w:color="auto"/>
        <w:bottom w:val="none" w:sz="0" w:space="0" w:color="auto"/>
        <w:right w:val="none" w:sz="0" w:space="0" w:color="auto"/>
      </w:divBdr>
    </w:div>
    <w:div w:id="552080071">
      <w:bodyDiv w:val="1"/>
      <w:marLeft w:val="0"/>
      <w:marRight w:val="0"/>
      <w:marTop w:val="0"/>
      <w:marBottom w:val="0"/>
      <w:divBdr>
        <w:top w:val="none" w:sz="0" w:space="0" w:color="auto"/>
        <w:left w:val="none" w:sz="0" w:space="0" w:color="auto"/>
        <w:bottom w:val="none" w:sz="0" w:space="0" w:color="auto"/>
        <w:right w:val="none" w:sz="0" w:space="0" w:color="auto"/>
      </w:divBdr>
    </w:div>
    <w:div w:id="552621256">
      <w:bodyDiv w:val="1"/>
      <w:marLeft w:val="0"/>
      <w:marRight w:val="0"/>
      <w:marTop w:val="0"/>
      <w:marBottom w:val="0"/>
      <w:divBdr>
        <w:top w:val="none" w:sz="0" w:space="0" w:color="auto"/>
        <w:left w:val="none" w:sz="0" w:space="0" w:color="auto"/>
        <w:bottom w:val="none" w:sz="0" w:space="0" w:color="auto"/>
        <w:right w:val="none" w:sz="0" w:space="0" w:color="auto"/>
      </w:divBdr>
    </w:div>
    <w:div w:id="567110967">
      <w:bodyDiv w:val="1"/>
      <w:marLeft w:val="0"/>
      <w:marRight w:val="0"/>
      <w:marTop w:val="0"/>
      <w:marBottom w:val="0"/>
      <w:divBdr>
        <w:top w:val="none" w:sz="0" w:space="0" w:color="auto"/>
        <w:left w:val="none" w:sz="0" w:space="0" w:color="auto"/>
        <w:bottom w:val="none" w:sz="0" w:space="0" w:color="auto"/>
        <w:right w:val="none" w:sz="0" w:space="0" w:color="auto"/>
      </w:divBdr>
    </w:div>
    <w:div w:id="583034087">
      <w:bodyDiv w:val="1"/>
      <w:marLeft w:val="0"/>
      <w:marRight w:val="0"/>
      <w:marTop w:val="0"/>
      <w:marBottom w:val="0"/>
      <w:divBdr>
        <w:top w:val="none" w:sz="0" w:space="0" w:color="auto"/>
        <w:left w:val="none" w:sz="0" w:space="0" w:color="auto"/>
        <w:bottom w:val="none" w:sz="0" w:space="0" w:color="auto"/>
        <w:right w:val="none" w:sz="0" w:space="0" w:color="auto"/>
      </w:divBdr>
    </w:div>
    <w:div w:id="590048748">
      <w:bodyDiv w:val="1"/>
      <w:marLeft w:val="0"/>
      <w:marRight w:val="0"/>
      <w:marTop w:val="0"/>
      <w:marBottom w:val="0"/>
      <w:divBdr>
        <w:top w:val="none" w:sz="0" w:space="0" w:color="auto"/>
        <w:left w:val="none" w:sz="0" w:space="0" w:color="auto"/>
        <w:bottom w:val="none" w:sz="0" w:space="0" w:color="auto"/>
        <w:right w:val="none" w:sz="0" w:space="0" w:color="auto"/>
      </w:divBdr>
      <w:divsChild>
        <w:div w:id="1299535008">
          <w:marLeft w:val="0"/>
          <w:marRight w:val="0"/>
          <w:marTop w:val="0"/>
          <w:marBottom w:val="0"/>
          <w:divBdr>
            <w:top w:val="none" w:sz="0" w:space="0" w:color="auto"/>
            <w:left w:val="none" w:sz="0" w:space="0" w:color="auto"/>
            <w:bottom w:val="none" w:sz="0" w:space="0" w:color="auto"/>
            <w:right w:val="none" w:sz="0" w:space="0" w:color="auto"/>
          </w:divBdr>
          <w:divsChild>
            <w:div w:id="747196397">
              <w:marLeft w:val="0"/>
              <w:marRight w:val="0"/>
              <w:marTop w:val="0"/>
              <w:marBottom w:val="0"/>
              <w:divBdr>
                <w:top w:val="none" w:sz="0" w:space="0" w:color="auto"/>
                <w:left w:val="none" w:sz="0" w:space="0" w:color="auto"/>
                <w:bottom w:val="none" w:sz="0" w:space="0" w:color="auto"/>
                <w:right w:val="none" w:sz="0" w:space="0" w:color="auto"/>
              </w:divBdr>
              <w:divsChild>
                <w:div w:id="511070885">
                  <w:marLeft w:val="0"/>
                  <w:marRight w:val="0"/>
                  <w:marTop w:val="0"/>
                  <w:marBottom w:val="0"/>
                  <w:divBdr>
                    <w:top w:val="none" w:sz="0" w:space="0" w:color="auto"/>
                    <w:left w:val="none" w:sz="0" w:space="0" w:color="auto"/>
                    <w:bottom w:val="none" w:sz="0" w:space="0" w:color="auto"/>
                    <w:right w:val="none" w:sz="0" w:space="0" w:color="auto"/>
                  </w:divBdr>
                  <w:divsChild>
                    <w:div w:id="1568488910">
                      <w:marLeft w:val="0"/>
                      <w:marRight w:val="0"/>
                      <w:marTop w:val="0"/>
                      <w:marBottom w:val="0"/>
                      <w:divBdr>
                        <w:top w:val="none" w:sz="0" w:space="0" w:color="auto"/>
                        <w:left w:val="none" w:sz="0" w:space="0" w:color="auto"/>
                        <w:bottom w:val="none" w:sz="0" w:space="0" w:color="auto"/>
                        <w:right w:val="none" w:sz="0" w:space="0" w:color="auto"/>
                      </w:divBdr>
                      <w:divsChild>
                        <w:div w:id="1363826229">
                          <w:marLeft w:val="0"/>
                          <w:marRight w:val="0"/>
                          <w:marTop w:val="0"/>
                          <w:marBottom w:val="0"/>
                          <w:divBdr>
                            <w:top w:val="none" w:sz="0" w:space="0" w:color="auto"/>
                            <w:left w:val="none" w:sz="0" w:space="0" w:color="auto"/>
                            <w:bottom w:val="none" w:sz="0" w:space="0" w:color="auto"/>
                            <w:right w:val="none" w:sz="0" w:space="0" w:color="auto"/>
                          </w:divBdr>
                          <w:divsChild>
                            <w:div w:id="1897929922">
                              <w:marLeft w:val="0"/>
                              <w:marRight w:val="0"/>
                              <w:marTop w:val="0"/>
                              <w:marBottom w:val="0"/>
                              <w:divBdr>
                                <w:top w:val="none" w:sz="0" w:space="0" w:color="auto"/>
                                <w:left w:val="none" w:sz="0" w:space="0" w:color="auto"/>
                                <w:bottom w:val="none" w:sz="0" w:space="0" w:color="auto"/>
                                <w:right w:val="none" w:sz="0" w:space="0" w:color="auto"/>
                              </w:divBdr>
                              <w:divsChild>
                                <w:div w:id="1274677201">
                                  <w:marLeft w:val="0"/>
                                  <w:marRight w:val="0"/>
                                  <w:marTop w:val="0"/>
                                  <w:marBottom w:val="0"/>
                                  <w:divBdr>
                                    <w:top w:val="none" w:sz="0" w:space="0" w:color="auto"/>
                                    <w:left w:val="none" w:sz="0" w:space="0" w:color="auto"/>
                                    <w:bottom w:val="none" w:sz="0" w:space="0" w:color="auto"/>
                                    <w:right w:val="none" w:sz="0" w:space="0" w:color="auto"/>
                                  </w:divBdr>
                                  <w:divsChild>
                                    <w:div w:id="1043942731">
                                      <w:marLeft w:val="0"/>
                                      <w:marRight w:val="0"/>
                                      <w:marTop w:val="0"/>
                                      <w:marBottom w:val="0"/>
                                      <w:divBdr>
                                        <w:top w:val="none" w:sz="0" w:space="0" w:color="auto"/>
                                        <w:left w:val="none" w:sz="0" w:space="0" w:color="auto"/>
                                        <w:bottom w:val="none" w:sz="0" w:space="0" w:color="auto"/>
                                        <w:right w:val="none" w:sz="0" w:space="0" w:color="auto"/>
                                      </w:divBdr>
                                      <w:divsChild>
                                        <w:div w:id="1018578507">
                                          <w:marLeft w:val="0"/>
                                          <w:marRight w:val="0"/>
                                          <w:marTop w:val="0"/>
                                          <w:marBottom w:val="0"/>
                                          <w:divBdr>
                                            <w:top w:val="none" w:sz="0" w:space="0" w:color="auto"/>
                                            <w:left w:val="none" w:sz="0" w:space="0" w:color="auto"/>
                                            <w:bottom w:val="none" w:sz="0" w:space="0" w:color="auto"/>
                                            <w:right w:val="none" w:sz="0" w:space="0" w:color="auto"/>
                                          </w:divBdr>
                                          <w:divsChild>
                                            <w:div w:id="1680043985">
                                              <w:marLeft w:val="0"/>
                                              <w:marRight w:val="0"/>
                                              <w:marTop w:val="0"/>
                                              <w:marBottom w:val="0"/>
                                              <w:divBdr>
                                                <w:top w:val="none" w:sz="0" w:space="0" w:color="auto"/>
                                                <w:left w:val="none" w:sz="0" w:space="0" w:color="auto"/>
                                                <w:bottom w:val="none" w:sz="0" w:space="0" w:color="auto"/>
                                                <w:right w:val="none" w:sz="0" w:space="0" w:color="auto"/>
                                              </w:divBdr>
                                              <w:divsChild>
                                                <w:div w:id="121373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8678364">
      <w:bodyDiv w:val="1"/>
      <w:marLeft w:val="0"/>
      <w:marRight w:val="0"/>
      <w:marTop w:val="0"/>
      <w:marBottom w:val="0"/>
      <w:divBdr>
        <w:top w:val="none" w:sz="0" w:space="0" w:color="auto"/>
        <w:left w:val="none" w:sz="0" w:space="0" w:color="auto"/>
        <w:bottom w:val="none" w:sz="0" w:space="0" w:color="auto"/>
        <w:right w:val="none" w:sz="0" w:space="0" w:color="auto"/>
      </w:divBdr>
    </w:div>
    <w:div w:id="626549199">
      <w:bodyDiv w:val="1"/>
      <w:marLeft w:val="0"/>
      <w:marRight w:val="0"/>
      <w:marTop w:val="0"/>
      <w:marBottom w:val="0"/>
      <w:divBdr>
        <w:top w:val="none" w:sz="0" w:space="0" w:color="auto"/>
        <w:left w:val="none" w:sz="0" w:space="0" w:color="auto"/>
        <w:bottom w:val="none" w:sz="0" w:space="0" w:color="auto"/>
        <w:right w:val="none" w:sz="0" w:space="0" w:color="auto"/>
      </w:divBdr>
    </w:div>
    <w:div w:id="627443015">
      <w:bodyDiv w:val="1"/>
      <w:marLeft w:val="0"/>
      <w:marRight w:val="0"/>
      <w:marTop w:val="0"/>
      <w:marBottom w:val="0"/>
      <w:divBdr>
        <w:top w:val="none" w:sz="0" w:space="0" w:color="auto"/>
        <w:left w:val="none" w:sz="0" w:space="0" w:color="auto"/>
        <w:bottom w:val="none" w:sz="0" w:space="0" w:color="auto"/>
        <w:right w:val="none" w:sz="0" w:space="0" w:color="auto"/>
      </w:divBdr>
    </w:div>
    <w:div w:id="716247510">
      <w:bodyDiv w:val="1"/>
      <w:marLeft w:val="0"/>
      <w:marRight w:val="0"/>
      <w:marTop w:val="0"/>
      <w:marBottom w:val="0"/>
      <w:divBdr>
        <w:top w:val="none" w:sz="0" w:space="0" w:color="auto"/>
        <w:left w:val="none" w:sz="0" w:space="0" w:color="auto"/>
        <w:bottom w:val="none" w:sz="0" w:space="0" w:color="auto"/>
        <w:right w:val="none" w:sz="0" w:space="0" w:color="auto"/>
      </w:divBdr>
    </w:div>
    <w:div w:id="778110305">
      <w:bodyDiv w:val="1"/>
      <w:marLeft w:val="0"/>
      <w:marRight w:val="0"/>
      <w:marTop w:val="0"/>
      <w:marBottom w:val="0"/>
      <w:divBdr>
        <w:top w:val="none" w:sz="0" w:space="0" w:color="auto"/>
        <w:left w:val="none" w:sz="0" w:space="0" w:color="auto"/>
        <w:bottom w:val="none" w:sz="0" w:space="0" w:color="auto"/>
        <w:right w:val="none" w:sz="0" w:space="0" w:color="auto"/>
      </w:divBdr>
    </w:div>
    <w:div w:id="826555902">
      <w:bodyDiv w:val="1"/>
      <w:marLeft w:val="0"/>
      <w:marRight w:val="0"/>
      <w:marTop w:val="0"/>
      <w:marBottom w:val="0"/>
      <w:divBdr>
        <w:top w:val="none" w:sz="0" w:space="0" w:color="auto"/>
        <w:left w:val="none" w:sz="0" w:space="0" w:color="auto"/>
        <w:bottom w:val="none" w:sz="0" w:space="0" w:color="auto"/>
        <w:right w:val="none" w:sz="0" w:space="0" w:color="auto"/>
      </w:divBdr>
    </w:div>
    <w:div w:id="864561773">
      <w:bodyDiv w:val="1"/>
      <w:marLeft w:val="0"/>
      <w:marRight w:val="0"/>
      <w:marTop w:val="0"/>
      <w:marBottom w:val="0"/>
      <w:divBdr>
        <w:top w:val="none" w:sz="0" w:space="0" w:color="auto"/>
        <w:left w:val="none" w:sz="0" w:space="0" w:color="auto"/>
        <w:bottom w:val="none" w:sz="0" w:space="0" w:color="auto"/>
        <w:right w:val="none" w:sz="0" w:space="0" w:color="auto"/>
      </w:divBdr>
    </w:div>
    <w:div w:id="869993273">
      <w:bodyDiv w:val="1"/>
      <w:marLeft w:val="0"/>
      <w:marRight w:val="0"/>
      <w:marTop w:val="0"/>
      <w:marBottom w:val="0"/>
      <w:divBdr>
        <w:top w:val="none" w:sz="0" w:space="0" w:color="auto"/>
        <w:left w:val="none" w:sz="0" w:space="0" w:color="auto"/>
        <w:bottom w:val="none" w:sz="0" w:space="0" w:color="auto"/>
        <w:right w:val="none" w:sz="0" w:space="0" w:color="auto"/>
      </w:divBdr>
    </w:div>
    <w:div w:id="909776108">
      <w:bodyDiv w:val="1"/>
      <w:marLeft w:val="0"/>
      <w:marRight w:val="0"/>
      <w:marTop w:val="0"/>
      <w:marBottom w:val="0"/>
      <w:divBdr>
        <w:top w:val="none" w:sz="0" w:space="0" w:color="auto"/>
        <w:left w:val="none" w:sz="0" w:space="0" w:color="auto"/>
        <w:bottom w:val="none" w:sz="0" w:space="0" w:color="auto"/>
        <w:right w:val="none" w:sz="0" w:space="0" w:color="auto"/>
      </w:divBdr>
    </w:div>
    <w:div w:id="910504280">
      <w:bodyDiv w:val="1"/>
      <w:marLeft w:val="0"/>
      <w:marRight w:val="0"/>
      <w:marTop w:val="0"/>
      <w:marBottom w:val="0"/>
      <w:divBdr>
        <w:top w:val="none" w:sz="0" w:space="0" w:color="auto"/>
        <w:left w:val="none" w:sz="0" w:space="0" w:color="auto"/>
        <w:bottom w:val="none" w:sz="0" w:space="0" w:color="auto"/>
        <w:right w:val="none" w:sz="0" w:space="0" w:color="auto"/>
      </w:divBdr>
    </w:div>
    <w:div w:id="956450389">
      <w:bodyDiv w:val="1"/>
      <w:marLeft w:val="0"/>
      <w:marRight w:val="0"/>
      <w:marTop w:val="0"/>
      <w:marBottom w:val="0"/>
      <w:divBdr>
        <w:top w:val="none" w:sz="0" w:space="0" w:color="auto"/>
        <w:left w:val="none" w:sz="0" w:space="0" w:color="auto"/>
        <w:bottom w:val="none" w:sz="0" w:space="0" w:color="auto"/>
        <w:right w:val="none" w:sz="0" w:space="0" w:color="auto"/>
      </w:divBdr>
    </w:div>
    <w:div w:id="1042169181">
      <w:bodyDiv w:val="1"/>
      <w:marLeft w:val="0"/>
      <w:marRight w:val="0"/>
      <w:marTop w:val="0"/>
      <w:marBottom w:val="0"/>
      <w:divBdr>
        <w:top w:val="none" w:sz="0" w:space="0" w:color="auto"/>
        <w:left w:val="none" w:sz="0" w:space="0" w:color="auto"/>
        <w:bottom w:val="none" w:sz="0" w:space="0" w:color="auto"/>
        <w:right w:val="none" w:sz="0" w:space="0" w:color="auto"/>
      </w:divBdr>
    </w:div>
    <w:div w:id="1047022568">
      <w:bodyDiv w:val="1"/>
      <w:marLeft w:val="0"/>
      <w:marRight w:val="0"/>
      <w:marTop w:val="0"/>
      <w:marBottom w:val="0"/>
      <w:divBdr>
        <w:top w:val="none" w:sz="0" w:space="0" w:color="auto"/>
        <w:left w:val="none" w:sz="0" w:space="0" w:color="auto"/>
        <w:bottom w:val="none" w:sz="0" w:space="0" w:color="auto"/>
        <w:right w:val="none" w:sz="0" w:space="0" w:color="auto"/>
      </w:divBdr>
    </w:div>
    <w:div w:id="1059093915">
      <w:bodyDiv w:val="1"/>
      <w:marLeft w:val="0"/>
      <w:marRight w:val="0"/>
      <w:marTop w:val="0"/>
      <w:marBottom w:val="0"/>
      <w:divBdr>
        <w:top w:val="none" w:sz="0" w:space="0" w:color="auto"/>
        <w:left w:val="none" w:sz="0" w:space="0" w:color="auto"/>
        <w:bottom w:val="none" w:sz="0" w:space="0" w:color="auto"/>
        <w:right w:val="none" w:sz="0" w:space="0" w:color="auto"/>
      </w:divBdr>
    </w:div>
    <w:div w:id="1076436259">
      <w:bodyDiv w:val="1"/>
      <w:marLeft w:val="0"/>
      <w:marRight w:val="0"/>
      <w:marTop w:val="0"/>
      <w:marBottom w:val="0"/>
      <w:divBdr>
        <w:top w:val="none" w:sz="0" w:space="0" w:color="auto"/>
        <w:left w:val="none" w:sz="0" w:space="0" w:color="auto"/>
        <w:bottom w:val="none" w:sz="0" w:space="0" w:color="auto"/>
        <w:right w:val="none" w:sz="0" w:space="0" w:color="auto"/>
      </w:divBdr>
    </w:div>
    <w:div w:id="1086226405">
      <w:bodyDiv w:val="1"/>
      <w:marLeft w:val="0"/>
      <w:marRight w:val="0"/>
      <w:marTop w:val="0"/>
      <w:marBottom w:val="0"/>
      <w:divBdr>
        <w:top w:val="none" w:sz="0" w:space="0" w:color="auto"/>
        <w:left w:val="none" w:sz="0" w:space="0" w:color="auto"/>
        <w:bottom w:val="none" w:sz="0" w:space="0" w:color="auto"/>
        <w:right w:val="none" w:sz="0" w:space="0" w:color="auto"/>
      </w:divBdr>
    </w:div>
    <w:div w:id="1108815327">
      <w:bodyDiv w:val="1"/>
      <w:marLeft w:val="0"/>
      <w:marRight w:val="0"/>
      <w:marTop w:val="0"/>
      <w:marBottom w:val="0"/>
      <w:divBdr>
        <w:top w:val="none" w:sz="0" w:space="0" w:color="auto"/>
        <w:left w:val="none" w:sz="0" w:space="0" w:color="auto"/>
        <w:bottom w:val="none" w:sz="0" w:space="0" w:color="auto"/>
        <w:right w:val="none" w:sz="0" w:space="0" w:color="auto"/>
      </w:divBdr>
    </w:div>
    <w:div w:id="1109083108">
      <w:bodyDiv w:val="1"/>
      <w:marLeft w:val="0"/>
      <w:marRight w:val="0"/>
      <w:marTop w:val="0"/>
      <w:marBottom w:val="0"/>
      <w:divBdr>
        <w:top w:val="none" w:sz="0" w:space="0" w:color="auto"/>
        <w:left w:val="none" w:sz="0" w:space="0" w:color="auto"/>
        <w:bottom w:val="none" w:sz="0" w:space="0" w:color="auto"/>
        <w:right w:val="none" w:sz="0" w:space="0" w:color="auto"/>
      </w:divBdr>
    </w:div>
    <w:div w:id="1113280668">
      <w:bodyDiv w:val="1"/>
      <w:marLeft w:val="0"/>
      <w:marRight w:val="0"/>
      <w:marTop w:val="0"/>
      <w:marBottom w:val="0"/>
      <w:divBdr>
        <w:top w:val="none" w:sz="0" w:space="0" w:color="auto"/>
        <w:left w:val="none" w:sz="0" w:space="0" w:color="auto"/>
        <w:bottom w:val="none" w:sz="0" w:space="0" w:color="auto"/>
        <w:right w:val="none" w:sz="0" w:space="0" w:color="auto"/>
      </w:divBdr>
    </w:div>
    <w:div w:id="1143425161">
      <w:bodyDiv w:val="1"/>
      <w:marLeft w:val="0"/>
      <w:marRight w:val="0"/>
      <w:marTop w:val="0"/>
      <w:marBottom w:val="0"/>
      <w:divBdr>
        <w:top w:val="none" w:sz="0" w:space="0" w:color="auto"/>
        <w:left w:val="none" w:sz="0" w:space="0" w:color="auto"/>
        <w:bottom w:val="none" w:sz="0" w:space="0" w:color="auto"/>
        <w:right w:val="none" w:sz="0" w:space="0" w:color="auto"/>
      </w:divBdr>
    </w:div>
    <w:div w:id="1175803916">
      <w:bodyDiv w:val="1"/>
      <w:marLeft w:val="0"/>
      <w:marRight w:val="0"/>
      <w:marTop w:val="0"/>
      <w:marBottom w:val="0"/>
      <w:divBdr>
        <w:top w:val="none" w:sz="0" w:space="0" w:color="auto"/>
        <w:left w:val="none" w:sz="0" w:space="0" w:color="auto"/>
        <w:bottom w:val="none" w:sz="0" w:space="0" w:color="auto"/>
        <w:right w:val="none" w:sz="0" w:space="0" w:color="auto"/>
      </w:divBdr>
    </w:div>
    <w:div w:id="1185099742">
      <w:bodyDiv w:val="1"/>
      <w:marLeft w:val="0"/>
      <w:marRight w:val="0"/>
      <w:marTop w:val="0"/>
      <w:marBottom w:val="0"/>
      <w:divBdr>
        <w:top w:val="none" w:sz="0" w:space="0" w:color="auto"/>
        <w:left w:val="none" w:sz="0" w:space="0" w:color="auto"/>
        <w:bottom w:val="none" w:sz="0" w:space="0" w:color="auto"/>
        <w:right w:val="none" w:sz="0" w:space="0" w:color="auto"/>
      </w:divBdr>
    </w:div>
    <w:div w:id="1202285226">
      <w:bodyDiv w:val="1"/>
      <w:marLeft w:val="0"/>
      <w:marRight w:val="0"/>
      <w:marTop w:val="0"/>
      <w:marBottom w:val="0"/>
      <w:divBdr>
        <w:top w:val="none" w:sz="0" w:space="0" w:color="auto"/>
        <w:left w:val="none" w:sz="0" w:space="0" w:color="auto"/>
        <w:bottom w:val="none" w:sz="0" w:space="0" w:color="auto"/>
        <w:right w:val="none" w:sz="0" w:space="0" w:color="auto"/>
      </w:divBdr>
    </w:div>
    <w:div w:id="1206872974">
      <w:bodyDiv w:val="1"/>
      <w:marLeft w:val="0"/>
      <w:marRight w:val="0"/>
      <w:marTop w:val="0"/>
      <w:marBottom w:val="0"/>
      <w:divBdr>
        <w:top w:val="none" w:sz="0" w:space="0" w:color="auto"/>
        <w:left w:val="none" w:sz="0" w:space="0" w:color="auto"/>
        <w:bottom w:val="none" w:sz="0" w:space="0" w:color="auto"/>
        <w:right w:val="none" w:sz="0" w:space="0" w:color="auto"/>
      </w:divBdr>
    </w:div>
    <w:div w:id="1238439559">
      <w:bodyDiv w:val="1"/>
      <w:marLeft w:val="0"/>
      <w:marRight w:val="0"/>
      <w:marTop w:val="0"/>
      <w:marBottom w:val="0"/>
      <w:divBdr>
        <w:top w:val="none" w:sz="0" w:space="0" w:color="auto"/>
        <w:left w:val="none" w:sz="0" w:space="0" w:color="auto"/>
        <w:bottom w:val="none" w:sz="0" w:space="0" w:color="auto"/>
        <w:right w:val="none" w:sz="0" w:space="0" w:color="auto"/>
      </w:divBdr>
    </w:div>
    <w:div w:id="1252004451">
      <w:bodyDiv w:val="1"/>
      <w:marLeft w:val="0"/>
      <w:marRight w:val="0"/>
      <w:marTop w:val="0"/>
      <w:marBottom w:val="0"/>
      <w:divBdr>
        <w:top w:val="none" w:sz="0" w:space="0" w:color="auto"/>
        <w:left w:val="none" w:sz="0" w:space="0" w:color="auto"/>
        <w:bottom w:val="none" w:sz="0" w:space="0" w:color="auto"/>
        <w:right w:val="none" w:sz="0" w:space="0" w:color="auto"/>
      </w:divBdr>
    </w:div>
    <w:div w:id="1322737963">
      <w:bodyDiv w:val="1"/>
      <w:marLeft w:val="0"/>
      <w:marRight w:val="0"/>
      <w:marTop w:val="0"/>
      <w:marBottom w:val="0"/>
      <w:divBdr>
        <w:top w:val="none" w:sz="0" w:space="0" w:color="auto"/>
        <w:left w:val="none" w:sz="0" w:space="0" w:color="auto"/>
        <w:bottom w:val="none" w:sz="0" w:space="0" w:color="auto"/>
        <w:right w:val="none" w:sz="0" w:space="0" w:color="auto"/>
      </w:divBdr>
    </w:div>
    <w:div w:id="1426001565">
      <w:bodyDiv w:val="1"/>
      <w:marLeft w:val="0"/>
      <w:marRight w:val="0"/>
      <w:marTop w:val="0"/>
      <w:marBottom w:val="0"/>
      <w:divBdr>
        <w:top w:val="none" w:sz="0" w:space="0" w:color="auto"/>
        <w:left w:val="none" w:sz="0" w:space="0" w:color="auto"/>
        <w:bottom w:val="none" w:sz="0" w:space="0" w:color="auto"/>
        <w:right w:val="none" w:sz="0" w:space="0" w:color="auto"/>
      </w:divBdr>
    </w:div>
    <w:div w:id="1427727686">
      <w:bodyDiv w:val="1"/>
      <w:marLeft w:val="0"/>
      <w:marRight w:val="0"/>
      <w:marTop w:val="0"/>
      <w:marBottom w:val="0"/>
      <w:divBdr>
        <w:top w:val="none" w:sz="0" w:space="0" w:color="auto"/>
        <w:left w:val="none" w:sz="0" w:space="0" w:color="auto"/>
        <w:bottom w:val="none" w:sz="0" w:space="0" w:color="auto"/>
        <w:right w:val="none" w:sz="0" w:space="0" w:color="auto"/>
      </w:divBdr>
    </w:div>
    <w:div w:id="1442840915">
      <w:bodyDiv w:val="1"/>
      <w:marLeft w:val="0"/>
      <w:marRight w:val="0"/>
      <w:marTop w:val="0"/>
      <w:marBottom w:val="0"/>
      <w:divBdr>
        <w:top w:val="none" w:sz="0" w:space="0" w:color="auto"/>
        <w:left w:val="none" w:sz="0" w:space="0" w:color="auto"/>
        <w:bottom w:val="none" w:sz="0" w:space="0" w:color="auto"/>
        <w:right w:val="none" w:sz="0" w:space="0" w:color="auto"/>
      </w:divBdr>
    </w:div>
    <w:div w:id="1507939131">
      <w:bodyDiv w:val="1"/>
      <w:marLeft w:val="0"/>
      <w:marRight w:val="0"/>
      <w:marTop w:val="0"/>
      <w:marBottom w:val="0"/>
      <w:divBdr>
        <w:top w:val="none" w:sz="0" w:space="0" w:color="auto"/>
        <w:left w:val="none" w:sz="0" w:space="0" w:color="auto"/>
        <w:bottom w:val="none" w:sz="0" w:space="0" w:color="auto"/>
        <w:right w:val="none" w:sz="0" w:space="0" w:color="auto"/>
      </w:divBdr>
    </w:div>
    <w:div w:id="1537499197">
      <w:bodyDiv w:val="1"/>
      <w:marLeft w:val="0"/>
      <w:marRight w:val="0"/>
      <w:marTop w:val="0"/>
      <w:marBottom w:val="0"/>
      <w:divBdr>
        <w:top w:val="none" w:sz="0" w:space="0" w:color="auto"/>
        <w:left w:val="none" w:sz="0" w:space="0" w:color="auto"/>
        <w:bottom w:val="none" w:sz="0" w:space="0" w:color="auto"/>
        <w:right w:val="none" w:sz="0" w:space="0" w:color="auto"/>
      </w:divBdr>
      <w:divsChild>
        <w:div w:id="526993707">
          <w:marLeft w:val="0"/>
          <w:marRight w:val="0"/>
          <w:marTop w:val="0"/>
          <w:marBottom w:val="0"/>
          <w:divBdr>
            <w:top w:val="single" w:sz="2" w:space="0" w:color="E3E3E3"/>
            <w:left w:val="single" w:sz="2" w:space="0" w:color="E3E3E3"/>
            <w:bottom w:val="single" w:sz="2" w:space="0" w:color="E3E3E3"/>
            <w:right w:val="single" w:sz="2" w:space="0" w:color="E3E3E3"/>
          </w:divBdr>
          <w:divsChild>
            <w:div w:id="95835997">
              <w:marLeft w:val="0"/>
              <w:marRight w:val="0"/>
              <w:marTop w:val="0"/>
              <w:marBottom w:val="0"/>
              <w:divBdr>
                <w:top w:val="single" w:sz="2" w:space="0" w:color="E3E3E3"/>
                <w:left w:val="single" w:sz="2" w:space="0" w:color="E3E3E3"/>
                <w:bottom w:val="single" w:sz="2" w:space="0" w:color="E3E3E3"/>
                <w:right w:val="single" w:sz="2" w:space="0" w:color="E3E3E3"/>
              </w:divBdr>
              <w:divsChild>
                <w:div w:id="1653213191">
                  <w:marLeft w:val="0"/>
                  <w:marRight w:val="0"/>
                  <w:marTop w:val="0"/>
                  <w:marBottom w:val="0"/>
                  <w:divBdr>
                    <w:top w:val="single" w:sz="2" w:space="0" w:color="E3E3E3"/>
                    <w:left w:val="single" w:sz="2" w:space="0" w:color="E3E3E3"/>
                    <w:bottom w:val="single" w:sz="2" w:space="0" w:color="E3E3E3"/>
                    <w:right w:val="single" w:sz="2" w:space="0" w:color="E3E3E3"/>
                  </w:divBdr>
                  <w:divsChild>
                    <w:div w:id="1979413952">
                      <w:marLeft w:val="0"/>
                      <w:marRight w:val="0"/>
                      <w:marTop w:val="0"/>
                      <w:marBottom w:val="0"/>
                      <w:divBdr>
                        <w:top w:val="single" w:sz="2" w:space="0" w:color="E3E3E3"/>
                        <w:left w:val="single" w:sz="2" w:space="0" w:color="E3E3E3"/>
                        <w:bottom w:val="single" w:sz="2" w:space="0" w:color="E3E3E3"/>
                        <w:right w:val="single" w:sz="2" w:space="0" w:color="E3E3E3"/>
                      </w:divBdr>
                      <w:divsChild>
                        <w:div w:id="431508542">
                          <w:marLeft w:val="0"/>
                          <w:marRight w:val="0"/>
                          <w:marTop w:val="0"/>
                          <w:marBottom w:val="0"/>
                          <w:divBdr>
                            <w:top w:val="single" w:sz="2" w:space="0" w:color="E3E3E3"/>
                            <w:left w:val="single" w:sz="2" w:space="0" w:color="E3E3E3"/>
                            <w:bottom w:val="single" w:sz="2" w:space="0" w:color="E3E3E3"/>
                            <w:right w:val="single" w:sz="2" w:space="0" w:color="E3E3E3"/>
                          </w:divBdr>
                          <w:divsChild>
                            <w:div w:id="1716390663">
                              <w:marLeft w:val="0"/>
                              <w:marRight w:val="0"/>
                              <w:marTop w:val="100"/>
                              <w:marBottom w:val="100"/>
                              <w:divBdr>
                                <w:top w:val="single" w:sz="2" w:space="0" w:color="E3E3E3"/>
                                <w:left w:val="single" w:sz="2" w:space="0" w:color="E3E3E3"/>
                                <w:bottom w:val="single" w:sz="2" w:space="0" w:color="E3E3E3"/>
                                <w:right w:val="single" w:sz="2" w:space="0" w:color="E3E3E3"/>
                              </w:divBdr>
                              <w:divsChild>
                                <w:div w:id="208541320">
                                  <w:marLeft w:val="0"/>
                                  <w:marRight w:val="0"/>
                                  <w:marTop w:val="0"/>
                                  <w:marBottom w:val="0"/>
                                  <w:divBdr>
                                    <w:top w:val="single" w:sz="2" w:space="0" w:color="E3E3E3"/>
                                    <w:left w:val="single" w:sz="2" w:space="0" w:color="E3E3E3"/>
                                    <w:bottom w:val="single" w:sz="2" w:space="0" w:color="E3E3E3"/>
                                    <w:right w:val="single" w:sz="2" w:space="0" w:color="E3E3E3"/>
                                  </w:divBdr>
                                  <w:divsChild>
                                    <w:div w:id="1380860125">
                                      <w:marLeft w:val="0"/>
                                      <w:marRight w:val="0"/>
                                      <w:marTop w:val="0"/>
                                      <w:marBottom w:val="0"/>
                                      <w:divBdr>
                                        <w:top w:val="single" w:sz="2" w:space="0" w:color="E3E3E3"/>
                                        <w:left w:val="single" w:sz="2" w:space="0" w:color="E3E3E3"/>
                                        <w:bottom w:val="single" w:sz="2" w:space="0" w:color="E3E3E3"/>
                                        <w:right w:val="single" w:sz="2" w:space="0" w:color="E3E3E3"/>
                                      </w:divBdr>
                                      <w:divsChild>
                                        <w:div w:id="1015112366">
                                          <w:marLeft w:val="0"/>
                                          <w:marRight w:val="0"/>
                                          <w:marTop w:val="0"/>
                                          <w:marBottom w:val="0"/>
                                          <w:divBdr>
                                            <w:top w:val="single" w:sz="2" w:space="0" w:color="E3E3E3"/>
                                            <w:left w:val="single" w:sz="2" w:space="0" w:color="E3E3E3"/>
                                            <w:bottom w:val="single" w:sz="2" w:space="0" w:color="E3E3E3"/>
                                            <w:right w:val="single" w:sz="2" w:space="0" w:color="E3E3E3"/>
                                          </w:divBdr>
                                          <w:divsChild>
                                            <w:div w:id="661469006">
                                              <w:marLeft w:val="0"/>
                                              <w:marRight w:val="0"/>
                                              <w:marTop w:val="0"/>
                                              <w:marBottom w:val="0"/>
                                              <w:divBdr>
                                                <w:top w:val="single" w:sz="2" w:space="0" w:color="E3E3E3"/>
                                                <w:left w:val="single" w:sz="2" w:space="0" w:color="E3E3E3"/>
                                                <w:bottom w:val="single" w:sz="2" w:space="0" w:color="E3E3E3"/>
                                                <w:right w:val="single" w:sz="2" w:space="0" w:color="E3E3E3"/>
                                              </w:divBdr>
                                              <w:divsChild>
                                                <w:div w:id="1201552362">
                                                  <w:marLeft w:val="0"/>
                                                  <w:marRight w:val="0"/>
                                                  <w:marTop w:val="0"/>
                                                  <w:marBottom w:val="0"/>
                                                  <w:divBdr>
                                                    <w:top w:val="single" w:sz="2" w:space="0" w:color="E3E3E3"/>
                                                    <w:left w:val="single" w:sz="2" w:space="0" w:color="E3E3E3"/>
                                                    <w:bottom w:val="single" w:sz="2" w:space="0" w:color="E3E3E3"/>
                                                    <w:right w:val="single" w:sz="2" w:space="0" w:color="E3E3E3"/>
                                                  </w:divBdr>
                                                  <w:divsChild>
                                                    <w:div w:id="9767640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5150059">
          <w:marLeft w:val="0"/>
          <w:marRight w:val="0"/>
          <w:marTop w:val="0"/>
          <w:marBottom w:val="0"/>
          <w:divBdr>
            <w:top w:val="none" w:sz="0" w:space="0" w:color="auto"/>
            <w:left w:val="none" w:sz="0" w:space="0" w:color="auto"/>
            <w:bottom w:val="none" w:sz="0" w:space="0" w:color="auto"/>
            <w:right w:val="none" w:sz="0" w:space="0" w:color="auto"/>
          </w:divBdr>
        </w:div>
      </w:divsChild>
    </w:div>
    <w:div w:id="1547451349">
      <w:bodyDiv w:val="1"/>
      <w:marLeft w:val="0"/>
      <w:marRight w:val="0"/>
      <w:marTop w:val="0"/>
      <w:marBottom w:val="0"/>
      <w:divBdr>
        <w:top w:val="none" w:sz="0" w:space="0" w:color="auto"/>
        <w:left w:val="none" w:sz="0" w:space="0" w:color="auto"/>
        <w:bottom w:val="none" w:sz="0" w:space="0" w:color="auto"/>
        <w:right w:val="none" w:sz="0" w:space="0" w:color="auto"/>
      </w:divBdr>
    </w:div>
    <w:div w:id="1592934525">
      <w:bodyDiv w:val="1"/>
      <w:marLeft w:val="0"/>
      <w:marRight w:val="0"/>
      <w:marTop w:val="0"/>
      <w:marBottom w:val="0"/>
      <w:divBdr>
        <w:top w:val="none" w:sz="0" w:space="0" w:color="auto"/>
        <w:left w:val="none" w:sz="0" w:space="0" w:color="auto"/>
        <w:bottom w:val="none" w:sz="0" w:space="0" w:color="auto"/>
        <w:right w:val="none" w:sz="0" w:space="0" w:color="auto"/>
      </w:divBdr>
    </w:div>
    <w:div w:id="1610814502">
      <w:bodyDiv w:val="1"/>
      <w:marLeft w:val="0"/>
      <w:marRight w:val="0"/>
      <w:marTop w:val="0"/>
      <w:marBottom w:val="0"/>
      <w:divBdr>
        <w:top w:val="none" w:sz="0" w:space="0" w:color="auto"/>
        <w:left w:val="none" w:sz="0" w:space="0" w:color="auto"/>
        <w:bottom w:val="none" w:sz="0" w:space="0" w:color="auto"/>
        <w:right w:val="none" w:sz="0" w:space="0" w:color="auto"/>
      </w:divBdr>
    </w:div>
    <w:div w:id="1647660944">
      <w:bodyDiv w:val="1"/>
      <w:marLeft w:val="0"/>
      <w:marRight w:val="0"/>
      <w:marTop w:val="0"/>
      <w:marBottom w:val="0"/>
      <w:divBdr>
        <w:top w:val="none" w:sz="0" w:space="0" w:color="auto"/>
        <w:left w:val="none" w:sz="0" w:space="0" w:color="auto"/>
        <w:bottom w:val="none" w:sz="0" w:space="0" w:color="auto"/>
        <w:right w:val="none" w:sz="0" w:space="0" w:color="auto"/>
      </w:divBdr>
    </w:div>
    <w:div w:id="1677417123">
      <w:bodyDiv w:val="1"/>
      <w:marLeft w:val="0"/>
      <w:marRight w:val="0"/>
      <w:marTop w:val="0"/>
      <w:marBottom w:val="0"/>
      <w:divBdr>
        <w:top w:val="none" w:sz="0" w:space="0" w:color="auto"/>
        <w:left w:val="none" w:sz="0" w:space="0" w:color="auto"/>
        <w:bottom w:val="none" w:sz="0" w:space="0" w:color="auto"/>
        <w:right w:val="none" w:sz="0" w:space="0" w:color="auto"/>
      </w:divBdr>
    </w:div>
    <w:div w:id="1686443535">
      <w:bodyDiv w:val="1"/>
      <w:marLeft w:val="0"/>
      <w:marRight w:val="0"/>
      <w:marTop w:val="0"/>
      <w:marBottom w:val="0"/>
      <w:divBdr>
        <w:top w:val="none" w:sz="0" w:space="0" w:color="auto"/>
        <w:left w:val="none" w:sz="0" w:space="0" w:color="auto"/>
        <w:bottom w:val="none" w:sz="0" w:space="0" w:color="auto"/>
        <w:right w:val="none" w:sz="0" w:space="0" w:color="auto"/>
      </w:divBdr>
    </w:div>
    <w:div w:id="1689407444">
      <w:bodyDiv w:val="1"/>
      <w:marLeft w:val="0"/>
      <w:marRight w:val="0"/>
      <w:marTop w:val="0"/>
      <w:marBottom w:val="0"/>
      <w:divBdr>
        <w:top w:val="none" w:sz="0" w:space="0" w:color="auto"/>
        <w:left w:val="none" w:sz="0" w:space="0" w:color="auto"/>
        <w:bottom w:val="none" w:sz="0" w:space="0" w:color="auto"/>
        <w:right w:val="none" w:sz="0" w:space="0" w:color="auto"/>
      </w:divBdr>
    </w:div>
    <w:div w:id="1719356080">
      <w:bodyDiv w:val="1"/>
      <w:marLeft w:val="0"/>
      <w:marRight w:val="0"/>
      <w:marTop w:val="0"/>
      <w:marBottom w:val="0"/>
      <w:divBdr>
        <w:top w:val="none" w:sz="0" w:space="0" w:color="auto"/>
        <w:left w:val="none" w:sz="0" w:space="0" w:color="auto"/>
        <w:bottom w:val="none" w:sz="0" w:space="0" w:color="auto"/>
        <w:right w:val="none" w:sz="0" w:space="0" w:color="auto"/>
      </w:divBdr>
    </w:div>
    <w:div w:id="1726485488">
      <w:bodyDiv w:val="1"/>
      <w:marLeft w:val="0"/>
      <w:marRight w:val="0"/>
      <w:marTop w:val="0"/>
      <w:marBottom w:val="0"/>
      <w:divBdr>
        <w:top w:val="none" w:sz="0" w:space="0" w:color="auto"/>
        <w:left w:val="none" w:sz="0" w:space="0" w:color="auto"/>
        <w:bottom w:val="none" w:sz="0" w:space="0" w:color="auto"/>
        <w:right w:val="none" w:sz="0" w:space="0" w:color="auto"/>
      </w:divBdr>
    </w:div>
    <w:div w:id="1733583009">
      <w:bodyDiv w:val="1"/>
      <w:marLeft w:val="0"/>
      <w:marRight w:val="0"/>
      <w:marTop w:val="0"/>
      <w:marBottom w:val="0"/>
      <w:divBdr>
        <w:top w:val="none" w:sz="0" w:space="0" w:color="auto"/>
        <w:left w:val="none" w:sz="0" w:space="0" w:color="auto"/>
        <w:bottom w:val="none" w:sz="0" w:space="0" w:color="auto"/>
        <w:right w:val="none" w:sz="0" w:space="0" w:color="auto"/>
      </w:divBdr>
    </w:div>
    <w:div w:id="1737897282">
      <w:bodyDiv w:val="1"/>
      <w:marLeft w:val="0"/>
      <w:marRight w:val="0"/>
      <w:marTop w:val="0"/>
      <w:marBottom w:val="0"/>
      <w:divBdr>
        <w:top w:val="none" w:sz="0" w:space="0" w:color="auto"/>
        <w:left w:val="none" w:sz="0" w:space="0" w:color="auto"/>
        <w:bottom w:val="none" w:sz="0" w:space="0" w:color="auto"/>
        <w:right w:val="none" w:sz="0" w:space="0" w:color="auto"/>
      </w:divBdr>
    </w:div>
    <w:div w:id="1753548642">
      <w:bodyDiv w:val="1"/>
      <w:marLeft w:val="0"/>
      <w:marRight w:val="0"/>
      <w:marTop w:val="0"/>
      <w:marBottom w:val="0"/>
      <w:divBdr>
        <w:top w:val="none" w:sz="0" w:space="0" w:color="auto"/>
        <w:left w:val="none" w:sz="0" w:space="0" w:color="auto"/>
        <w:bottom w:val="none" w:sz="0" w:space="0" w:color="auto"/>
        <w:right w:val="none" w:sz="0" w:space="0" w:color="auto"/>
      </w:divBdr>
    </w:div>
    <w:div w:id="1765223366">
      <w:bodyDiv w:val="1"/>
      <w:marLeft w:val="0"/>
      <w:marRight w:val="0"/>
      <w:marTop w:val="0"/>
      <w:marBottom w:val="0"/>
      <w:divBdr>
        <w:top w:val="none" w:sz="0" w:space="0" w:color="auto"/>
        <w:left w:val="none" w:sz="0" w:space="0" w:color="auto"/>
        <w:bottom w:val="none" w:sz="0" w:space="0" w:color="auto"/>
        <w:right w:val="none" w:sz="0" w:space="0" w:color="auto"/>
      </w:divBdr>
    </w:div>
    <w:div w:id="1777749853">
      <w:bodyDiv w:val="1"/>
      <w:marLeft w:val="0"/>
      <w:marRight w:val="0"/>
      <w:marTop w:val="0"/>
      <w:marBottom w:val="0"/>
      <w:divBdr>
        <w:top w:val="none" w:sz="0" w:space="0" w:color="auto"/>
        <w:left w:val="none" w:sz="0" w:space="0" w:color="auto"/>
        <w:bottom w:val="none" w:sz="0" w:space="0" w:color="auto"/>
        <w:right w:val="none" w:sz="0" w:space="0" w:color="auto"/>
      </w:divBdr>
    </w:div>
    <w:div w:id="1794401920">
      <w:bodyDiv w:val="1"/>
      <w:marLeft w:val="0"/>
      <w:marRight w:val="0"/>
      <w:marTop w:val="0"/>
      <w:marBottom w:val="0"/>
      <w:divBdr>
        <w:top w:val="none" w:sz="0" w:space="0" w:color="auto"/>
        <w:left w:val="none" w:sz="0" w:space="0" w:color="auto"/>
        <w:bottom w:val="none" w:sz="0" w:space="0" w:color="auto"/>
        <w:right w:val="none" w:sz="0" w:space="0" w:color="auto"/>
      </w:divBdr>
    </w:div>
    <w:div w:id="1814757518">
      <w:bodyDiv w:val="1"/>
      <w:marLeft w:val="0"/>
      <w:marRight w:val="0"/>
      <w:marTop w:val="0"/>
      <w:marBottom w:val="0"/>
      <w:divBdr>
        <w:top w:val="none" w:sz="0" w:space="0" w:color="auto"/>
        <w:left w:val="none" w:sz="0" w:space="0" w:color="auto"/>
        <w:bottom w:val="none" w:sz="0" w:space="0" w:color="auto"/>
        <w:right w:val="none" w:sz="0" w:space="0" w:color="auto"/>
      </w:divBdr>
    </w:div>
    <w:div w:id="1815173580">
      <w:bodyDiv w:val="1"/>
      <w:marLeft w:val="0"/>
      <w:marRight w:val="0"/>
      <w:marTop w:val="0"/>
      <w:marBottom w:val="0"/>
      <w:divBdr>
        <w:top w:val="none" w:sz="0" w:space="0" w:color="auto"/>
        <w:left w:val="none" w:sz="0" w:space="0" w:color="auto"/>
        <w:bottom w:val="none" w:sz="0" w:space="0" w:color="auto"/>
        <w:right w:val="none" w:sz="0" w:space="0" w:color="auto"/>
      </w:divBdr>
    </w:div>
    <w:div w:id="1845047170">
      <w:bodyDiv w:val="1"/>
      <w:marLeft w:val="0"/>
      <w:marRight w:val="0"/>
      <w:marTop w:val="0"/>
      <w:marBottom w:val="0"/>
      <w:divBdr>
        <w:top w:val="none" w:sz="0" w:space="0" w:color="auto"/>
        <w:left w:val="none" w:sz="0" w:space="0" w:color="auto"/>
        <w:bottom w:val="none" w:sz="0" w:space="0" w:color="auto"/>
        <w:right w:val="none" w:sz="0" w:space="0" w:color="auto"/>
      </w:divBdr>
    </w:div>
    <w:div w:id="1845363836">
      <w:bodyDiv w:val="1"/>
      <w:marLeft w:val="0"/>
      <w:marRight w:val="0"/>
      <w:marTop w:val="0"/>
      <w:marBottom w:val="0"/>
      <w:divBdr>
        <w:top w:val="none" w:sz="0" w:space="0" w:color="auto"/>
        <w:left w:val="none" w:sz="0" w:space="0" w:color="auto"/>
        <w:bottom w:val="none" w:sz="0" w:space="0" w:color="auto"/>
        <w:right w:val="none" w:sz="0" w:space="0" w:color="auto"/>
      </w:divBdr>
    </w:div>
    <w:div w:id="1868566974">
      <w:bodyDiv w:val="1"/>
      <w:marLeft w:val="0"/>
      <w:marRight w:val="0"/>
      <w:marTop w:val="0"/>
      <w:marBottom w:val="0"/>
      <w:divBdr>
        <w:top w:val="none" w:sz="0" w:space="0" w:color="auto"/>
        <w:left w:val="none" w:sz="0" w:space="0" w:color="auto"/>
        <w:bottom w:val="none" w:sz="0" w:space="0" w:color="auto"/>
        <w:right w:val="none" w:sz="0" w:space="0" w:color="auto"/>
      </w:divBdr>
    </w:div>
    <w:div w:id="1883203508">
      <w:bodyDiv w:val="1"/>
      <w:marLeft w:val="0"/>
      <w:marRight w:val="0"/>
      <w:marTop w:val="0"/>
      <w:marBottom w:val="0"/>
      <w:divBdr>
        <w:top w:val="none" w:sz="0" w:space="0" w:color="auto"/>
        <w:left w:val="none" w:sz="0" w:space="0" w:color="auto"/>
        <w:bottom w:val="none" w:sz="0" w:space="0" w:color="auto"/>
        <w:right w:val="none" w:sz="0" w:space="0" w:color="auto"/>
      </w:divBdr>
      <w:divsChild>
        <w:div w:id="122313465">
          <w:marLeft w:val="0"/>
          <w:marRight w:val="0"/>
          <w:marTop w:val="0"/>
          <w:marBottom w:val="0"/>
          <w:divBdr>
            <w:top w:val="single" w:sz="2" w:space="0" w:color="E3E3E3"/>
            <w:left w:val="single" w:sz="2" w:space="0" w:color="E3E3E3"/>
            <w:bottom w:val="single" w:sz="2" w:space="0" w:color="E3E3E3"/>
            <w:right w:val="single" w:sz="2" w:space="0" w:color="E3E3E3"/>
          </w:divBdr>
          <w:divsChild>
            <w:div w:id="789207617">
              <w:marLeft w:val="0"/>
              <w:marRight w:val="0"/>
              <w:marTop w:val="100"/>
              <w:marBottom w:val="100"/>
              <w:divBdr>
                <w:top w:val="single" w:sz="2" w:space="0" w:color="E3E3E3"/>
                <w:left w:val="single" w:sz="2" w:space="0" w:color="E3E3E3"/>
                <w:bottom w:val="single" w:sz="2" w:space="0" w:color="E3E3E3"/>
                <w:right w:val="single" w:sz="2" w:space="0" w:color="E3E3E3"/>
              </w:divBdr>
              <w:divsChild>
                <w:div w:id="1804731880">
                  <w:marLeft w:val="0"/>
                  <w:marRight w:val="0"/>
                  <w:marTop w:val="0"/>
                  <w:marBottom w:val="0"/>
                  <w:divBdr>
                    <w:top w:val="single" w:sz="2" w:space="0" w:color="E3E3E3"/>
                    <w:left w:val="single" w:sz="2" w:space="0" w:color="E3E3E3"/>
                    <w:bottom w:val="single" w:sz="2" w:space="0" w:color="E3E3E3"/>
                    <w:right w:val="single" w:sz="2" w:space="0" w:color="E3E3E3"/>
                  </w:divBdr>
                  <w:divsChild>
                    <w:div w:id="130102906">
                      <w:marLeft w:val="0"/>
                      <w:marRight w:val="0"/>
                      <w:marTop w:val="0"/>
                      <w:marBottom w:val="0"/>
                      <w:divBdr>
                        <w:top w:val="single" w:sz="2" w:space="0" w:color="E3E3E3"/>
                        <w:left w:val="single" w:sz="2" w:space="0" w:color="E3E3E3"/>
                        <w:bottom w:val="single" w:sz="2" w:space="0" w:color="E3E3E3"/>
                        <w:right w:val="single" w:sz="2" w:space="0" w:color="E3E3E3"/>
                      </w:divBdr>
                      <w:divsChild>
                        <w:div w:id="1627201688">
                          <w:marLeft w:val="0"/>
                          <w:marRight w:val="0"/>
                          <w:marTop w:val="0"/>
                          <w:marBottom w:val="0"/>
                          <w:divBdr>
                            <w:top w:val="single" w:sz="2" w:space="0" w:color="E3E3E3"/>
                            <w:left w:val="single" w:sz="2" w:space="0" w:color="E3E3E3"/>
                            <w:bottom w:val="single" w:sz="2" w:space="0" w:color="E3E3E3"/>
                            <w:right w:val="single" w:sz="2" w:space="0" w:color="E3E3E3"/>
                          </w:divBdr>
                          <w:divsChild>
                            <w:div w:id="566770121">
                              <w:marLeft w:val="0"/>
                              <w:marRight w:val="0"/>
                              <w:marTop w:val="0"/>
                              <w:marBottom w:val="0"/>
                              <w:divBdr>
                                <w:top w:val="single" w:sz="2" w:space="0" w:color="E3E3E3"/>
                                <w:left w:val="single" w:sz="2" w:space="0" w:color="E3E3E3"/>
                                <w:bottom w:val="single" w:sz="2" w:space="0" w:color="E3E3E3"/>
                                <w:right w:val="single" w:sz="2" w:space="0" w:color="E3E3E3"/>
                              </w:divBdr>
                              <w:divsChild>
                                <w:div w:id="408967318">
                                  <w:marLeft w:val="0"/>
                                  <w:marRight w:val="0"/>
                                  <w:marTop w:val="0"/>
                                  <w:marBottom w:val="0"/>
                                  <w:divBdr>
                                    <w:top w:val="single" w:sz="2" w:space="0" w:color="E3E3E3"/>
                                    <w:left w:val="single" w:sz="2" w:space="0" w:color="E3E3E3"/>
                                    <w:bottom w:val="single" w:sz="2" w:space="0" w:color="E3E3E3"/>
                                    <w:right w:val="single" w:sz="2" w:space="0" w:color="E3E3E3"/>
                                  </w:divBdr>
                                  <w:divsChild>
                                    <w:div w:id="186104029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888948393">
      <w:bodyDiv w:val="1"/>
      <w:marLeft w:val="0"/>
      <w:marRight w:val="0"/>
      <w:marTop w:val="0"/>
      <w:marBottom w:val="0"/>
      <w:divBdr>
        <w:top w:val="none" w:sz="0" w:space="0" w:color="auto"/>
        <w:left w:val="none" w:sz="0" w:space="0" w:color="auto"/>
        <w:bottom w:val="none" w:sz="0" w:space="0" w:color="auto"/>
        <w:right w:val="none" w:sz="0" w:space="0" w:color="auto"/>
      </w:divBdr>
    </w:div>
    <w:div w:id="1909462761">
      <w:bodyDiv w:val="1"/>
      <w:marLeft w:val="0"/>
      <w:marRight w:val="0"/>
      <w:marTop w:val="0"/>
      <w:marBottom w:val="0"/>
      <w:divBdr>
        <w:top w:val="none" w:sz="0" w:space="0" w:color="auto"/>
        <w:left w:val="none" w:sz="0" w:space="0" w:color="auto"/>
        <w:bottom w:val="none" w:sz="0" w:space="0" w:color="auto"/>
        <w:right w:val="none" w:sz="0" w:space="0" w:color="auto"/>
      </w:divBdr>
    </w:div>
    <w:div w:id="1940719046">
      <w:bodyDiv w:val="1"/>
      <w:marLeft w:val="0"/>
      <w:marRight w:val="0"/>
      <w:marTop w:val="0"/>
      <w:marBottom w:val="0"/>
      <w:divBdr>
        <w:top w:val="none" w:sz="0" w:space="0" w:color="auto"/>
        <w:left w:val="none" w:sz="0" w:space="0" w:color="auto"/>
        <w:bottom w:val="none" w:sz="0" w:space="0" w:color="auto"/>
        <w:right w:val="none" w:sz="0" w:space="0" w:color="auto"/>
      </w:divBdr>
    </w:div>
    <w:div w:id="1996492215">
      <w:bodyDiv w:val="1"/>
      <w:marLeft w:val="0"/>
      <w:marRight w:val="0"/>
      <w:marTop w:val="0"/>
      <w:marBottom w:val="0"/>
      <w:divBdr>
        <w:top w:val="none" w:sz="0" w:space="0" w:color="auto"/>
        <w:left w:val="none" w:sz="0" w:space="0" w:color="auto"/>
        <w:bottom w:val="none" w:sz="0" w:space="0" w:color="auto"/>
        <w:right w:val="none" w:sz="0" w:space="0" w:color="auto"/>
      </w:divBdr>
    </w:div>
    <w:div w:id="2101103290">
      <w:bodyDiv w:val="1"/>
      <w:marLeft w:val="0"/>
      <w:marRight w:val="0"/>
      <w:marTop w:val="0"/>
      <w:marBottom w:val="0"/>
      <w:divBdr>
        <w:top w:val="none" w:sz="0" w:space="0" w:color="auto"/>
        <w:left w:val="none" w:sz="0" w:space="0" w:color="auto"/>
        <w:bottom w:val="none" w:sz="0" w:space="0" w:color="auto"/>
        <w:right w:val="none" w:sz="0" w:space="0" w:color="auto"/>
      </w:divBdr>
    </w:div>
    <w:div w:id="2132700059">
      <w:bodyDiv w:val="1"/>
      <w:marLeft w:val="0"/>
      <w:marRight w:val="0"/>
      <w:marTop w:val="0"/>
      <w:marBottom w:val="0"/>
      <w:divBdr>
        <w:top w:val="none" w:sz="0" w:space="0" w:color="auto"/>
        <w:left w:val="none" w:sz="0" w:space="0" w:color="auto"/>
        <w:bottom w:val="none" w:sz="0" w:space="0" w:color="auto"/>
        <w:right w:val="none" w:sz="0" w:space="0" w:color="auto"/>
      </w:divBdr>
    </w:div>
    <w:div w:id="2143646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rennova11@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jfernando@unib.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1C95-FB85-42EF-BD36-B2D5F747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8953</Words>
  <Characters>53990</Characters>
  <Application>Microsoft Office Word</Application>
  <DocSecurity>0</DocSecurity>
  <Lines>710</Lines>
  <Paragraphs>107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ZJF</cp:lastModifiedBy>
  <cp:revision>5</cp:revision>
  <dcterms:created xsi:type="dcterms:W3CDTF">2024-03-23T05:07:00Z</dcterms:created>
  <dcterms:modified xsi:type="dcterms:W3CDTF">2024-03-23T05:11:00Z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423c4d458aca834e572cc5b19d5327f8e8590db62b5fc5041b19d075dd71e4b1</vt:lpwstr>
  </property>
  <property fmtid="{D5CDD505-2E9C-101B-9397-08002B2CF9AE}" pid="3" name="Mendeley Citation Style_1">
    <vt:lpwstr>http://www.zotero.org/styles/chicago-fullnote-bibliography</vt:lpwstr>
  </property>
  <property fmtid="{D5CDD505-2E9C-101B-9397-08002B2CF9AE}" pid="4" name="Mendeley Document_1">
    <vt:lpwstr>True</vt:lpwstr>
  </property>
  <property fmtid="{D5CDD505-2E9C-101B-9397-08002B2CF9AE}" pid="5" name="Mendeley Recent Style Id 0_1">
    <vt:lpwstr>http://www.zotero.org/styles/apa</vt:lpwstr>
  </property>
  <property fmtid="{D5CDD505-2E9C-101B-9397-08002B2CF9AE}" pid="6" name="Mendeley Recent Style Id 1_1">
    <vt:lpwstr>http://www.zotero.org/styles/bluebook-law-review</vt:lpwstr>
  </property>
  <property fmtid="{D5CDD505-2E9C-101B-9397-08002B2CF9AE}" pid="7" name="Mendeley Recent Style Id 2_1">
    <vt:lpwstr>http://www.zotero.org/styles/chicago-fullnote-bibliography-16th-edition</vt:lpwstr>
  </property>
  <property fmtid="{D5CDD505-2E9C-101B-9397-08002B2CF9AE}" pid="8" name="Mendeley Recent Style Id 3_1">
    <vt:lpwstr>http://www.zotero.org/styles/chicago-author-date</vt:lpwstr>
  </property>
  <property fmtid="{D5CDD505-2E9C-101B-9397-08002B2CF9AE}" pid="9" name="Mendeley Recent Style Id 4_1">
    <vt:lpwstr>http://www.zotero.org/styles/chicago-fullnote-bibliography</vt:lpwstr>
  </property>
  <property fmtid="{D5CDD505-2E9C-101B-9397-08002B2CF9AE}" pid="10" name="Mendeley Recent Style Id 5_1">
    <vt:lpwstr>http://www.zotero.org/styles/harvard1</vt:lpwstr>
  </property>
  <property fmtid="{D5CDD505-2E9C-101B-9397-08002B2CF9AE}" pid="11" name="Mendeley Recent Style Id 6_1">
    <vt:lpwstr>http://www.zotero.org/styles/oscola</vt:lpwstr>
  </property>
  <property fmtid="{D5CDD505-2E9C-101B-9397-08002B2CF9AE}" pid="12" name="Mendeley Recent Style Id 7_1">
    <vt:lpwstr>http://www.zotero.org/styles/oscola-no-ibid</vt:lpwstr>
  </property>
  <property fmtid="{D5CDD505-2E9C-101B-9397-08002B2CF9AE}" pid="13" name="Mendeley Recent Style Id 8_1">
    <vt:lpwstr>http://www.zotero.org/styles/turabian-fullnote-bibliography-8th-edition</vt:lpwstr>
  </property>
  <property fmtid="{D5CDD505-2E9C-101B-9397-08002B2CF9AE}" pid="14" name="Mendeley Recent Style Id 9_1">
    <vt:lpwstr>http://www.zotero.org/styles/turabian-author-date</vt:lpwstr>
  </property>
  <property fmtid="{D5CDD505-2E9C-101B-9397-08002B2CF9AE}" pid="15" name="Mendeley Recent Style Name 0_1">
    <vt:lpwstr>American Psychological Association 7th edition</vt:lpwstr>
  </property>
  <property fmtid="{D5CDD505-2E9C-101B-9397-08002B2CF9AE}" pid="16" name="Mendeley Recent Style Name 1_1">
    <vt:lpwstr>Bluebook Law Review</vt:lpwstr>
  </property>
  <property fmtid="{D5CDD505-2E9C-101B-9397-08002B2CF9AE}" pid="17" name="Mendeley Recent Style Name 2_1">
    <vt:lpwstr>Chicago Manual of Style 16th edition (full note)</vt:lpwstr>
  </property>
  <property fmtid="{D5CDD505-2E9C-101B-9397-08002B2CF9AE}" pid="18" name="Mendeley Recent Style Name 3_1">
    <vt:lpwstr>Chicago Manual of Style 17th edition (author-date)</vt:lpwstr>
  </property>
  <property fmtid="{D5CDD505-2E9C-101B-9397-08002B2CF9AE}" pid="19" name="Mendeley Recent Style Name 4_1">
    <vt:lpwstr>Chicago Manual of Style 17th edition (full note)</vt:lpwstr>
  </property>
  <property fmtid="{D5CDD505-2E9C-101B-9397-08002B2CF9AE}" pid="20" name="Mendeley Recent Style Name 5_1">
    <vt:lpwstr>Harvard reference format 1 (deprecated)</vt:lpwstr>
  </property>
  <property fmtid="{D5CDD505-2E9C-101B-9397-08002B2CF9AE}" pid="21" name="Mendeley Recent Style Name 6_1">
    <vt:lpwstr>OSCOLA (Oxford University Standard for Citation of Legal Authorities)</vt:lpwstr>
  </property>
  <property fmtid="{D5CDD505-2E9C-101B-9397-08002B2CF9AE}" pid="22" name="Mendeley Recent Style Name 7_1">
    <vt:lpwstr>OSCOLA (Oxford University Standard for Citation of Legal Authorities) (no Ibid.)</vt:lpwstr>
  </property>
  <property fmtid="{D5CDD505-2E9C-101B-9397-08002B2CF9AE}" pid="23" name="Mendeley Recent Style Name 8_1">
    <vt:lpwstr>Turabian 8th edition (full note)</vt:lpwstr>
  </property>
  <property fmtid="{D5CDD505-2E9C-101B-9397-08002B2CF9AE}" pid="24" name="Mendeley Recent Style Name 9_1">
    <vt:lpwstr>Turabian 9th edition (author-date)</vt:lpwstr>
  </property>
  <property fmtid="{D5CDD505-2E9C-101B-9397-08002B2CF9AE}" pid="25" name="Mendeley Unique User Id_1">
    <vt:lpwstr>4d1d3abc-87a6-30a2-9e93-36c1ec3f8582</vt:lpwstr>
  </property>
  <property fmtid="{D5CDD505-2E9C-101B-9397-08002B2CF9AE}" pid="26" name="ZOTERO_PREF_1">
    <vt:lpwstr>&lt;data data-version="3" zotero-version="6.0.15"&gt;&lt;session id="irReNYA9"/&gt;&lt;style id="http://www.zotero.org/styles/chicago-fullnote-bibliography" locale="en-US" hasBibliography="1" bibliographyStyleHasBeenSet="1"/&gt;&lt;prefs&gt;&lt;pref name="noteType" value="1"/&gt;&lt;pref</vt:lpwstr>
  </property>
  <property fmtid="{D5CDD505-2E9C-101B-9397-08002B2CF9AE}" pid="27" name="ZOTERO_PREF_2">
    <vt:lpwstr> name="fieldType" value="Field"/&gt;&lt;/prefs&gt;&lt;/data&gt;</vt:lpwstr>
  </property>
</Properties>
</file>