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F8F71" w14:textId="77777777" w:rsidR="00D12423" w:rsidRPr="00BB1C8F" w:rsidRDefault="0007553C" w:rsidP="0007553C">
      <w:pPr>
        <w:spacing w:line="276" w:lineRule="auto"/>
        <w:jc w:val="center"/>
        <w:rPr>
          <w:i/>
          <w:sz w:val="48"/>
          <w:szCs w:val="48"/>
        </w:rPr>
      </w:pPr>
      <w:r w:rsidRPr="00BB1C8F">
        <w:rPr>
          <w:i/>
          <w:sz w:val="48"/>
          <w:szCs w:val="48"/>
        </w:rPr>
        <w:t xml:space="preserve">Consumer Dispute Resolution </w:t>
      </w:r>
    </w:p>
    <w:p w14:paraId="296865E4" w14:textId="144D3539" w:rsidR="0007553C" w:rsidRPr="00BB1C8F" w:rsidRDefault="0007553C" w:rsidP="0007553C">
      <w:pPr>
        <w:spacing w:line="276" w:lineRule="auto"/>
        <w:jc w:val="center"/>
        <w:rPr>
          <w:i/>
          <w:sz w:val="48"/>
          <w:szCs w:val="48"/>
        </w:rPr>
      </w:pPr>
      <w:r w:rsidRPr="00BB1C8F">
        <w:rPr>
          <w:i/>
          <w:sz w:val="48"/>
          <w:szCs w:val="48"/>
        </w:rPr>
        <w:t xml:space="preserve">in Indonesia and Malaysia </w:t>
      </w:r>
    </w:p>
    <w:p w14:paraId="2519AD80" w14:textId="3E2D698F" w:rsidR="0007553C" w:rsidRPr="00BB1C8F" w:rsidRDefault="0007553C" w:rsidP="0007553C">
      <w:pPr>
        <w:jc w:val="center"/>
      </w:pPr>
      <w:r w:rsidRPr="00BB1C8F">
        <w:rPr>
          <w:i/>
          <w:iCs/>
          <w:sz w:val="24"/>
          <w:szCs w:val="24"/>
        </w:rPr>
        <w:t>(Study o</w:t>
      </w:r>
      <w:r w:rsidR="00285E67" w:rsidRPr="00BB1C8F">
        <w:rPr>
          <w:i/>
          <w:iCs/>
          <w:sz w:val="24"/>
          <w:szCs w:val="24"/>
        </w:rPr>
        <w:t>n</w:t>
      </w:r>
      <w:r w:rsidRPr="00BB1C8F">
        <w:rPr>
          <w:i/>
          <w:iCs/>
          <w:sz w:val="24"/>
          <w:szCs w:val="24"/>
        </w:rPr>
        <w:t xml:space="preserve"> the Authority of BPSK and TTPM)</w:t>
      </w:r>
    </w:p>
    <w:p w14:paraId="20830E2C" w14:textId="13F14172" w:rsidR="00607475" w:rsidRPr="00BB1C8F" w:rsidRDefault="00607475" w:rsidP="00607475">
      <w:pPr>
        <w:jc w:val="center"/>
        <w:rPr>
          <w:i/>
          <w:iCs/>
          <w:sz w:val="24"/>
          <w:szCs w:val="24"/>
        </w:rPr>
      </w:pPr>
    </w:p>
    <w:p w14:paraId="5EC363B5" w14:textId="77777777" w:rsidR="00607475" w:rsidRPr="00BB1C8F" w:rsidRDefault="00607475" w:rsidP="00607475"/>
    <w:p w14:paraId="08D4F9AA" w14:textId="77777777" w:rsidR="00607475" w:rsidRPr="00BB1C8F" w:rsidRDefault="00607475" w:rsidP="00607475"/>
    <w:p w14:paraId="6D7A993D" w14:textId="77777777" w:rsidR="00607475" w:rsidRPr="00BB1C8F" w:rsidRDefault="00607475" w:rsidP="00607475">
      <w:pPr>
        <w:pStyle w:val="SubJudulTemplate"/>
        <w:rPr>
          <w:lang w:val="en-US"/>
        </w:rPr>
      </w:pPr>
      <w:r w:rsidRPr="00BB1C8F">
        <w:rPr>
          <w:lang w:val="en-US"/>
        </w:rPr>
        <w:t>1. AUTHORSHIP</w:t>
      </w:r>
    </w:p>
    <w:p w14:paraId="584EBDE9" w14:textId="5C7A0093" w:rsidR="00A30752" w:rsidRPr="00BB1C8F" w:rsidRDefault="00A30752" w:rsidP="00607475">
      <w:pPr>
        <w:spacing w:line="276" w:lineRule="auto"/>
      </w:pPr>
      <w:r w:rsidRPr="00BB1C8F">
        <w:t xml:space="preserve">Ahmad Wahidi, author, UIN Maulana Malik Ibrahim Malang, </w:t>
      </w:r>
      <w:hyperlink r:id="rId8" w:history="1">
        <w:r w:rsidRPr="00BB1C8F">
          <w:rPr>
            <w:rStyle w:val="Hyperlink"/>
          </w:rPr>
          <w:t>ahmadabdilwahid@gmail.com</w:t>
        </w:r>
      </w:hyperlink>
    </w:p>
    <w:p w14:paraId="29A42116" w14:textId="05AEB626" w:rsidR="00A30752" w:rsidRPr="00BB1C8F" w:rsidRDefault="00A30752" w:rsidP="00607475">
      <w:pPr>
        <w:spacing w:line="276" w:lineRule="auto"/>
      </w:pPr>
      <w:r w:rsidRPr="00BB1C8F">
        <w:t xml:space="preserve">Musataklima, </w:t>
      </w:r>
      <w:r w:rsidR="00285E67" w:rsidRPr="00BB1C8F">
        <w:t>c</w:t>
      </w:r>
      <w:r w:rsidRPr="00BB1C8F">
        <w:t xml:space="preserve">o-author, UIN Maulana Malik Ibrahim Malang, </w:t>
      </w:r>
      <w:hyperlink r:id="rId9" w:history="1">
        <w:r w:rsidR="00DA6A61" w:rsidRPr="00BB1C8F">
          <w:rPr>
            <w:rStyle w:val="Hyperlink"/>
          </w:rPr>
          <w:t>musa@syariah.uin-malang.ac.id</w:t>
        </w:r>
      </w:hyperlink>
    </w:p>
    <w:p w14:paraId="4C911D3E" w14:textId="5719A81E" w:rsidR="00A30752" w:rsidRPr="00BB1C8F" w:rsidRDefault="00A30752" w:rsidP="00607475">
      <w:pPr>
        <w:spacing w:line="276" w:lineRule="auto"/>
      </w:pPr>
      <w:r w:rsidRPr="00BB1C8F">
        <w:t xml:space="preserve">Nur Jannai, co-author, UIN Maulana Malik Ibrahim Malang, </w:t>
      </w:r>
      <w:hyperlink r:id="rId10" w:history="1">
        <w:r w:rsidR="00285E67" w:rsidRPr="00BB1C8F">
          <w:rPr>
            <w:rStyle w:val="Hyperlink"/>
          </w:rPr>
          <w:t>nurjannani@syariah.uin-malang.ac.id</w:t>
        </w:r>
      </w:hyperlink>
    </w:p>
    <w:p w14:paraId="5AA69741" w14:textId="77777777" w:rsidR="00607475" w:rsidRPr="00BB1C8F" w:rsidRDefault="00607475" w:rsidP="00607475"/>
    <w:p w14:paraId="44056E2E" w14:textId="77777777" w:rsidR="00607475" w:rsidRPr="00BB1C8F" w:rsidRDefault="00607475" w:rsidP="00607475">
      <w:pPr>
        <w:pStyle w:val="SubJudulTemplate"/>
        <w:rPr>
          <w:lang w:val="en-US"/>
        </w:rPr>
      </w:pPr>
      <w:r w:rsidRPr="00BB1C8F">
        <w:rPr>
          <w:lang w:val="en-US"/>
        </w:rPr>
        <w:t>2. ACKNOWLEDGMENT</w:t>
      </w:r>
    </w:p>
    <w:p w14:paraId="5AD9AB6C" w14:textId="77777777" w:rsidR="00E66C60" w:rsidRPr="00BB1C8F" w:rsidRDefault="00E66C60" w:rsidP="00E66C60">
      <w:pPr>
        <w:spacing w:line="276" w:lineRule="auto"/>
      </w:pPr>
      <w:r w:rsidRPr="00BB1C8F">
        <w:t>The completion of this research certainly cannot be separated from the contributions of all parties who have helped either directly or indirectly, therefore we express our deepest gratitude to:</w:t>
      </w:r>
    </w:p>
    <w:p w14:paraId="6B923D93" w14:textId="029B2CDC" w:rsidR="00E66C60" w:rsidRPr="00BB1C8F" w:rsidRDefault="00E66C60" w:rsidP="00E66C60">
      <w:pPr>
        <w:pStyle w:val="ListParagraph"/>
        <w:numPr>
          <w:ilvl w:val="0"/>
          <w:numId w:val="16"/>
        </w:numPr>
        <w:spacing w:line="276" w:lineRule="auto"/>
      </w:pPr>
      <w:r w:rsidRPr="00BB1C8F">
        <w:t>Prof. Dr. H. M. Zainuddin, MA, as the Chancellor of UIN Maulana Malik Ibrahim Malang who has given us the opportunity to conduct this research.</w:t>
      </w:r>
    </w:p>
    <w:p w14:paraId="64512D75" w14:textId="16EAA4A8" w:rsidR="00E66C60" w:rsidRPr="00BB1C8F" w:rsidRDefault="00E66C60" w:rsidP="00E66C60">
      <w:pPr>
        <w:pStyle w:val="ListParagraph"/>
        <w:numPr>
          <w:ilvl w:val="0"/>
          <w:numId w:val="16"/>
        </w:numPr>
        <w:spacing w:line="276" w:lineRule="auto"/>
      </w:pPr>
      <w:r w:rsidRPr="00BB1C8F">
        <w:t>Prof. Dr. H. Agus Maimun, M.Pd. as the head of LP2M UIN Maulana Malik Ibrahim Malang who has facilitated this research activity to completion</w:t>
      </w:r>
    </w:p>
    <w:p w14:paraId="1949C17D" w14:textId="2EF701CB" w:rsidR="00E66C60" w:rsidRPr="00BB1C8F" w:rsidRDefault="00E66C60" w:rsidP="00E66C60">
      <w:pPr>
        <w:pStyle w:val="ListParagraph"/>
        <w:numPr>
          <w:ilvl w:val="0"/>
          <w:numId w:val="16"/>
        </w:numPr>
        <w:spacing w:line="276" w:lineRule="auto"/>
      </w:pPr>
      <w:r w:rsidRPr="00BB1C8F">
        <w:t>Dr. Fakhruddin, M.HI. as a reviewer who has provided many inputs and directions in completing this research</w:t>
      </w:r>
    </w:p>
    <w:p w14:paraId="3D90A609" w14:textId="6030ACE3" w:rsidR="00E66C60" w:rsidRPr="00BB1C8F" w:rsidRDefault="00E66C60" w:rsidP="00E66C60">
      <w:pPr>
        <w:pStyle w:val="ListParagraph"/>
        <w:numPr>
          <w:ilvl w:val="0"/>
          <w:numId w:val="16"/>
        </w:numPr>
        <w:spacing w:line="276" w:lineRule="auto"/>
      </w:pPr>
      <w:r w:rsidRPr="00BB1C8F">
        <w:t>Dr. Abid Rohmanu, M.HI. as the reviewer who has taken the time and opportunity to provide direction and input for the completion of this research</w:t>
      </w:r>
    </w:p>
    <w:p w14:paraId="713E8800" w14:textId="3C934DFD" w:rsidR="00E66C60" w:rsidRPr="00BB1C8F" w:rsidRDefault="00E66C60" w:rsidP="00E66C60">
      <w:pPr>
        <w:pStyle w:val="ListParagraph"/>
        <w:numPr>
          <w:ilvl w:val="0"/>
          <w:numId w:val="16"/>
        </w:numPr>
        <w:spacing w:line="276" w:lineRule="auto"/>
      </w:pPr>
      <w:r w:rsidRPr="00BB1C8F">
        <w:t>Dr. Sudirman, M.A. As the Dean of the Sharia Faculty of UIN Maulana Malik Ibrahim Malang who has given us permission and the opportunity to conduct this research</w:t>
      </w:r>
    </w:p>
    <w:p w14:paraId="75513C4E" w14:textId="3DDFC103" w:rsidR="00607475" w:rsidRPr="00BB1C8F" w:rsidRDefault="00E66C60" w:rsidP="00E66C60">
      <w:pPr>
        <w:pStyle w:val="ListParagraph"/>
        <w:numPr>
          <w:ilvl w:val="0"/>
          <w:numId w:val="16"/>
        </w:numPr>
        <w:spacing w:line="276" w:lineRule="auto"/>
      </w:pPr>
      <w:r w:rsidRPr="00BB1C8F">
        <w:t>All colleagues of teaching staff and educational staff of UIN Maulana Malik Ibrahim Malang who have contributed directly or indirectly to the completion of this research</w:t>
      </w:r>
    </w:p>
    <w:p w14:paraId="4883775E" w14:textId="77777777" w:rsidR="00607475" w:rsidRPr="00BB1C8F" w:rsidRDefault="00607475" w:rsidP="00607475">
      <w:pPr>
        <w:pStyle w:val="SubJudulTemplate"/>
        <w:rPr>
          <w:lang w:val="en-US"/>
        </w:rPr>
      </w:pPr>
      <w:r w:rsidRPr="00BB1C8F">
        <w:rPr>
          <w:lang w:val="en-US"/>
        </w:rPr>
        <w:t>3. SPONSORSHIP</w:t>
      </w:r>
    </w:p>
    <w:p w14:paraId="768734E0" w14:textId="622DA935" w:rsidR="00607475" w:rsidRPr="00BB1C8F" w:rsidRDefault="000257E7" w:rsidP="00607475">
      <w:pPr>
        <w:spacing w:line="276" w:lineRule="auto"/>
      </w:pPr>
      <w:r w:rsidRPr="00BB1C8F">
        <w:t>BOPTN 2022</w:t>
      </w:r>
      <w:r w:rsidR="00607475" w:rsidRPr="00BB1C8F">
        <w:t>.</w:t>
      </w:r>
    </w:p>
    <w:p w14:paraId="3C046C83" w14:textId="77777777" w:rsidR="00607475" w:rsidRPr="00BB1C8F" w:rsidRDefault="00607475" w:rsidP="00607475">
      <w:pPr>
        <w:ind w:firstLine="0"/>
        <w:jc w:val="left"/>
        <w:rPr>
          <w:b/>
          <w:bCs/>
          <w:sz w:val="24"/>
          <w:szCs w:val="24"/>
        </w:rPr>
      </w:pPr>
    </w:p>
    <w:p w14:paraId="10C3B03D" w14:textId="77777777" w:rsidR="00607475" w:rsidRPr="00BB1C8F" w:rsidRDefault="00607475" w:rsidP="00607475">
      <w:pPr>
        <w:pStyle w:val="SubJudulTemplate"/>
        <w:rPr>
          <w:lang w:val="en-US"/>
        </w:rPr>
      </w:pPr>
      <w:r w:rsidRPr="00BB1C8F">
        <w:rPr>
          <w:lang w:val="en-US"/>
        </w:rPr>
        <w:t>4. CONFLICT OF INTEREST</w:t>
      </w:r>
    </w:p>
    <w:p w14:paraId="3E4CD50C" w14:textId="18BD729E" w:rsidR="00607475" w:rsidRPr="00BB1C8F" w:rsidRDefault="000257E7" w:rsidP="000257E7">
      <w:pPr>
        <w:spacing w:line="276" w:lineRule="auto"/>
      </w:pPr>
      <w:r w:rsidRPr="00BB1C8F">
        <w:t>N</w:t>
      </w:r>
      <w:r w:rsidR="00607475" w:rsidRPr="00BB1C8F">
        <w:t xml:space="preserve">o conflict of interest exists </w:t>
      </w:r>
    </w:p>
    <w:p w14:paraId="36E2E51A" w14:textId="77777777" w:rsidR="005B64B6" w:rsidRPr="00BB1C8F" w:rsidRDefault="005B64B6" w:rsidP="000257E7">
      <w:pPr>
        <w:spacing w:line="276" w:lineRule="auto"/>
      </w:pPr>
    </w:p>
    <w:p w14:paraId="2C59AD49" w14:textId="421E1FF9" w:rsidR="00607475" w:rsidRPr="00BB1C8F" w:rsidRDefault="00607475" w:rsidP="005B64B6">
      <w:pPr>
        <w:pStyle w:val="SubJudulTemplate"/>
        <w:rPr>
          <w:lang w:val="en-US"/>
        </w:rPr>
      </w:pPr>
      <w:r w:rsidRPr="00BB1C8F">
        <w:rPr>
          <w:lang w:val="en-US"/>
        </w:rPr>
        <w:t>5. SHORT BIOGRAPHY</w:t>
      </w:r>
    </w:p>
    <w:p w14:paraId="61D0D0D7" w14:textId="5FECD7CD" w:rsidR="00E9677E" w:rsidRPr="00BB1C8F" w:rsidRDefault="00E9677E" w:rsidP="00E9677E">
      <w:pPr>
        <w:spacing w:line="276" w:lineRule="auto"/>
        <w:ind w:firstLine="0"/>
      </w:pPr>
      <w:bookmarkStart w:id="0" w:name="_Hlk124882132"/>
      <w:r w:rsidRPr="00BB1C8F">
        <w:rPr>
          <w:b/>
          <w:bCs/>
        </w:rPr>
        <w:t>Ahmad Wahid</w:t>
      </w:r>
      <w:r w:rsidRPr="00BB1C8F">
        <w:t>, born in Sidoarjo, June 5, 1977. Completed Bachelor of Arabic Language Education (Tarbiyah) at the Faculty of Tarbiyah STAIN, Malang, 2000. Master of Islamic Law from Postgraduate School of IAIN Sunan Ampel, Surabaya, 2004. Completed doctoral studies of Islamic Studies Study Program at UIN Postgraduate Program Sunan Ampel Surabaya, 2021. The author is a permanent lecturer at the Sharia Faculty of UIN Maulana Malik Ibrahim Malang from 2006 until now.</w:t>
      </w:r>
      <w:r w:rsidRPr="00BB1C8F">
        <w:t xml:space="preserve"> </w:t>
      </w:r>
      <w:r w:rsidRPr="00BB1C8F">
        <w:t>E-mail:</w:t>
      </w:r>
      <w:r w:rsidRPr="00BB1C8F">
        <w:t xml:space="preserve"> </w:t>
      </w:r>
      <w:hyperlink r:id="rId11" w:history="1">
        <w:r w:rsidRPr="00BB1C8F">
          <w:rPr>
            <w:rStyle w:val="Hyperlink"/>
          </w:rPr>
          <w:t>ahmadabdilwahid@gmail.com</w:t>
        </w:r>
      </w:hyperlink>
      <w:r w:rsidRPr="00BB1C8F">
        <w:t xml:space="preserve"> </w:t>
      </w:r>
    </w:p>
    <w:p w14:paraId="22E8BA73" w14:textId="77777777" w:rsidR="00E9677E" w:rsidRPr="00BB1C8F" w:rsidRDefault="00E9677E" w:rsidP="00E9677E">
      <w:pPr>
        <w:spacing w:line="276" w:lineRule="auto"/>
        <w:ind w:firstLine="0"/>
      </w:pPr>
    </w:p>
    <w:p w14:paraId="5545884C" w14:textId="77777777" w:rsidR="00E9677E" w:rsidRPr="00BB1C8F" w:rsidRDefault="00E9677E" w:rsidP="00E9677E">
      <w:pPr>
        <w:spacing w:line="276" w:lineRule="auto"/>
        <w:ind w:firstLine="0"/>
      </w:pPr>
      <w:r w:rsidRPr="00BB1C8F">
        <w:rPr>
          <w:b/>
          <w:bCs/>
        </w:rPr>
        <w:t>Musataklima,</w:t>
      </w:r>
      <w:r w:rsidRPr="00BB1C8F">
        <w:t>was born in Sumenep on April 20, 1983. Completed his Bachelor's Degree at the Sharia Faculty of UIN Malang in 2006, Master's Degree was taken at UIN Sunan Kalijaga Yogyakarta Postgraduate, and Since 2019 he has taken his Doctoral Degree at the Faculty of Law, Indonesian Islamic University (UII) Yogyakarta. The author is a permanent lecturer at the Sharia Faculty of UIN Maulana Malik Ibrahim Malang since 2010 until now..email.</w:t>
      </w:r>
      <w:hyperlink r:id="rId12" w:history="1">
        <w:r w:rsidRPr="00BB1C8F">
          <w:rPr>
            <w:rStyle w:val="Hyperlink"/>
          </w:rPr>
          <w:t>musa@syariah.uin-malang.ac.id</w:t>
        </w:r>
      </w:hyperlink>
    </w:p>
    <w:p w14:paraId="678AA020" w14:textId="77777777" w:rsidR="00E9677E" w:rsidRPr="00BB1C8F" w:rsidRDefault="00E9677E" w:rsidP="00E9677E">
      <w:pPr>
        <w:spacing w:line="276" w:lineRule="auto"/>
        <w:ind w:firstLine="0"/>
        <w:rPr>
          <w:b/>
          <w:bCs/>
        </w:rPr>
      </w:pPr>
    </w:p>
    <w:p w14:paraId="4C2DE7A2" w14:textId="77777777" w:rsidR="00E9677E" w:rsidRPr="00BB1C8F" w:rsidRDefault="00E9677E" w:rsidP="00E9677E">
      <w:pPr>
        <w:spacing w:line="276" w:lineRule="auto"/>
        <w:ind w:firstLine="0"/>
      </w:pPr>
      <w:r w:rsidRPr="00BB1C8F">
        <w:rPr>
          <w:b/>
          <w:bCs/>
        </w:rPr>
        <w:t>Nur Jannani</w:t>
      </w:r>
      <w:r w:rsidRPr="00BB1C8F">
        <w:t>, born in Sumenep, October 8, 1981. Completed his Bachelor of al-Ahwal al-Syakshiyah at the Sharia Faculty of UIN Malang, 2006. Completed his Masters in Law in the 2011 Post-Graduate Program of Brawijaya University. The author is a permanent lecturer at the Sharia Faculty of UIN Maulana Malik Ibrahim Malang since 2014 to now. E-mail:</w:t>
      </w:r>
      <w:hyperlink r:id="rId13" w:history="1">
        <w:r w:rsidRPr="00BB1C8F">
          <w:rPr>
            <w:rStyle w:val="Hyperlink"/>
          </w:rPr>
          <w:t>nurjannani@syariah.uin-malang.ac.id</w:t>
        </w:r>
      </w:hyperlink>
    </w:p>
    <w:p w14:paraId="062B248B" w14:textId="0C6A2C5E" w:rsidR="00285E67" w:rsidRPr="00BB1C8F" w:rsidRDefault="00285E67" w:rsidP="001F79C2">
      <w:pPr>
        <w:spacing w:line="276" w:lineRule="auto"/>
        <w:ind w:firstLine="0"/>
      </w:pPr>
    </w:p>
    <w:bookmarkEnd w:id="0"/>
    <w:p w14:paraId="29A6D6D5" w14:textId="77777777" w:rsidR="001F79C2" w:rsidRPr="00BB1C8F" w:rsidRDefault="001F79C2" w:rsidP="001F79C2">
      <w:pPr>
        <w:spacing w:line="276" w:lineRule="auto"/>
        <w:ind w:firstLine="0"/>
      </w:pPr>
    </w:p>
    <w:p w14:paraId="11AC76D3" w14:textId="77777777" w:rsidR="00607475" w:rsidRPr="00BB1C8F" w:rsidRDefault="00607475" w:rsidP="00607475"/>
    <w:p w14:paraId="174DA3C6" w14:textId="77777777" w:rsidR="001F09ED" w:rsidRPr="00BB1C8F" w:rsidRDefault="001F09ED">
      <w:pPr>
        <w:spacing w:after="0"/>
        <w:ind w:firstLine="0"/>
        <w:contextualSpacing w:val="0"/>
        <w:jc w:val="left"/>
        <w:rPr>
          <w:i/>
          <w:sz w:val="48"/>
          <w:szCs w:val="48"/>
        </w:rPr>
      </w:pPr>
      <w:r w:rsidRPr="00BB1C8F">
        <w:br w:type="page"/>
      </w:r>
    </w:p>
    <w:p w14:paraId="3D1639AD" w14:textId="77777777" w:rsidR="0053193C" w:rsidRPr="00BB1C8F" w:rsidRDefault="0053193C">
      <w:pPr>
        <w:pStyle w:val="Title"/>
        <w:spacing w:beforeAutospacing="0" w:after="0" w:afterAutospacing="0" w:line="276" w:lineRule="auto"/>
        <w:sectPr w:rsidR="0053193C" w:rsidRPr="00BB1C8F">
          <w:footnotePr>
            <w:numRestart w:val="eachSect"/>
          </w:footnotePr>
          <w:type w:val="continuous"/>
          <w:pgSz w:w="11906" w:h="16838"/>
          <w:pgMar w:top="1985" w:right="1418" w:bottom="1418" w:left="1418" w:header="0" w:footer="0" w:gutter="0"/>
          <w:cols w:space="720"/>
          <w:formProt w:val="0"/>
          <w:docGrid w:linePitch="360"/>
        </w:sectPr>
      </w:pPr>
    </w:p>
    <w:p w14:paraId="796A364F" w14:textId="77777777" w:rsidR="005B64B6" w:rsidRPr="00BB1C8F" w:rsidRDefault="005B64B6" w:rsidP="005B64B6">
      <w:pPr>
        <w:pStyle w:val="Title"/>
        <w:spacing w:beforeAutospacing="0" w:after="0" w:afterAutospacing="0" w:line="276" w:lineRule="auto"/>
      </w:pPr>
      <w:r w:rsidRPr="00BB1C8F">
        <w:lastRenderedPageBreak/>
        <w:t>Consumer Dispute Resolution in Indonesia and Malaysia</w:t>
      </w:r>
    </w:p>
    <w:p w14:paraId="7AB26457" w14:textId="77777777" w:rsidR="005B64B6" w:rsidRPr="00BB1C8F" w:rsidRDefault="005B64B6" w:rsidP="005B64B6">
      <w:pPr>
        <w:pStyle w:val="Title"/>
        <w:spacing w:beforeAutospacing="0" w:after="0" w:afterAutospacing="0" w:line="276" w:lineRule="auto"/>
        <w:rPr>
          <w:sz w:val="24"/>
          <w:szCs w:val="24"/>
        </w:rPr>
      </w:pPr>
      <w:r w:rsidRPr="00BB1C8F">
        <w:rPr>
          <w:sz w:val="24"/>
          <w:szCs w:val="24"/>
        </w:rPr>
        <w:t>(Study on the Authority of BPSK and TTPM)</w:t>
      </w:r>
    </w:p>
    <w:p w14:paraId="1EC45FE6" w14:textId="77777777" w:rsidR="00864FF8" w:rsidRPr="00BB1C8F" w:rsidRDefault="00864FF8">
      <w:pPr>
        <w:spacing w:after="0" w:line="276" w:lineRule="auto"/>
      </w:pPr>
    </w:p>
    <w:p w14:paraId="1EC45FE7" w14:textId="77777777" w:rsidR="00864FF8" w:rsidRPr="00BB1C8F" w:rsidRDefault="00864FF8">
      <w:pPr>
        <w:spacing w:after="0" w:line="276" w:lineRule="auto"/>
      </w:pPr>
    </w:p>
    <w:p w14:paraId="1EC45FE8" w14:textId="57A9F860" w:rsidR="00864FF8" w:rsidRPr="00BB1C8F" w:rsidRDefault="00873C94" w:rsidP="00530E28">
      <w:pPr>
        <w:pStyle w:val="Heading1"/>
        <w:numPr>
          <w:ilvl w:val="0"/>
          <w:numId w:val="0"/>
        </w:numPr>
        <w:rPr>
          <w:lang w:val="en-US"/>
        </w:rPr>
      </w:pPr>
      <w:r w:rsidRPr="00BB1C8F">
        <w:rPr>
          <w:lang w:val="en-US"/>
        </w:rPr>
        <w:t>Abstract</w:t>
      </w:r>
    </w:p>
    <w:p w14:paraId="494C4EA2" w14:textId="77777777" w:rsidR="00803550" w:rsidRPr="00BB1C8F" w:rsidRDefault="00803550" w:rsidP="00803550">
      <w:pPr>
        <w:ind w:right="-1" w:firstLine="0"/>
      </w:pPr>
      <w:bookmarkStart w:id="1" w:name="_Hlk124784742"/>
      <w:r w:rsidRPr="00BB1C8F">
        <w:t>Violation of consumer rights is the cause of disputes. Consumer disputes are normatively defined as consumer disputes with business actors, in which consumers make demands for compensation due to damage, pollution and/or as a result of consuming products sold by business actors. The existing conditions of Malaysian consumers, consumer dispute resolution in Malaysia and its regulations which are always undergoing improvements, are rational reasons to be made the subject of comparison. The purpose of this study is to explore the factors behind the success of consumer dispute resolution in Malaysia, in this case TTPM, which can be adopted in Indonesia to reconstruct BPSK so that it can be more successful in resolving consumer disputes. The success rate of TTPM is higher in resolving consumer disputes compared to BPSK due to 3 things; TTPM's authority is specific to dispute resolution and only accepts claims with clear value limitations, while BPSK's authority has no limitations on the value of complaints, it's just that in imposing administrative sanctions the value is limited, parties who do not comply with BPSK's decisions, BPSK's decisions are initial evidence to carry out an investigation whether or not a crime is committed in the non-compliance. Meanwhile, non-compliance with the TTPM decision has been considered a criminal act with criminal sanctions of imprisonment and fines. And the settlement mechanism at BPSK is by means of mediation, conciliation and independent arbitration, so that cases that come in cannot be guaranteed to be resolved by the birth of a decision</w:t>
      </w:r>
      <w:bookmarkEnd w:id="1"/>
      <w:r w:rsidRPr="00BB1C8F">
        <w:t>.</w:t>
      </w:r>
    </w:p>
    <w:p w14:paraId="0F718BAC" w14:textId="77777777" w:rsidR="00803550" w:rsidRPr="00BB1C8F" w:rsidRDefault="00803550" w:rsidP="00803550">
      <w:pPr>
        <w:ind w:left="426" w:right="424"/>
      </w:pPr>
    </w:p>
    <w:p w14:paraId="120811C4" w14:textId="77777777" w:rsidR="00803550" w:rsidRPr="00BB1C8F" w:rsidRDefault="00803550" w:rsidP="00803550">
      <w:pPr>
        <w:spacing w:line="360" w:lineRule="auto"/>
        <w:ind w:firstLine="0"/>
      </w:pPr>
      <w:r w:rsidRPr="00BB1C8F">
        <w:t>Keywords: BPSK, Consumer Dispute, Resolution, TTPM</w:t>
      </w:r>
    </w:p>
    <w:p w14:paraId="7A1D5538" w14:textId="77777777" w:rsidR="00803550" w:rsidRPr="00BB1C8F" w:rsidRDefault="00803550" w:rsidP="00803550">
      <w:pPr>
        <w:pStyle w:val="ListParagraph"/>
        <w:numPr>
          <w:ilvl w:val="0"/>
          <w:numId w:val="18"/>
        </w:numPr>
        <w:suppressAutoHyphens w:val="0"/>
        <w:spacing w:after="160" w:line="360" w:lineRule="auto"/>
        <w:ind w:left="426" w:hanging="426"/>
        <w:jc w:val="left"/>
        <w:rPr>
          <w:b/>
          <w:bCs/>
          <w:szCs w:val="22"/>
        </w:rPr>
      </w:pPr>
      <w:r w:rsidRPr="00BB1C8F">
        <w:rPr>
          <w:b/>
          <w:bCs/>
          <w:szCs w:val="22"/>
        </w:rPr>
        <w:t>Introduction</w:t>
      </w:r>
    </w:p>
    <w:p w14:paraId="525B2DA5" w14:textId="77777777" w:rsidR="00803550" w:rsidRPr="00BB1C8F" w:rsidRDefault="00803550" w:rsidP="00803550">
      <w:pPr>
        <w:spacing w:line="360" w:lineRule="auto"/>
        <w:ind w:left="426" w:firstLine="708"/>
        <w:rPr>
          <w:szCs w:val="22"/>
        </w:rPr>
      </w:pPr>
      <w:r w:rsidRPr="00BB1C8F">
        <w:rPr>
          <w:szCs w:val="22"/>
        </w:rPr>
        <w:t>Indonesia and Malaysia as ASEAN members, by regulation already have national laws for consumer protection, namely for Indonesia is Law no. 8 of 1999 concerning Consumer Protection (hereinafter written UUPK), which until now has not been amended. As for Malaysia, the 1999 User Protection Act (Deed 599) has been amended 5 (five) times. The two laws in the two countries above are regulatory instruments to provide protection for consumers in their countries.</w:t>
      </w:r>
    </w:p>
    <w:p w14:paraId="0EF2E6CA" w14:textId="77777777" w:rsidR="00803550" w:rsidRPr="00BB1C8F" w:rsidRDefault="00803550" w:rsidP="00803550">
      <w:pPr>
        <w:spacing w:line="360" w:lineRule="auto"/>
        <w:ind w:left="426" w:firstLine="708"/>
        <w:rPr>
          <w:szCs w:val="22"/>
        </w:rPr>
      </w:pPr>
      <w:r w:rsidRPr="00BB1C8F">
        <w:rPr>
          <w:szCs w:val="22"/>
        </w:rPr>
        <w:t>The law above has three dimensions of protection, namely pre-transaction, during transaction and post-transaction legal protection, or if it is contextualized in the opinion of Philipus M. Hadjon preventive legal protection to prevent the emergence of disputes and repressive legal protection for dispute settlement.</w:t>
      </w:r>
      <w:r w:rsidRPr="00BB1C8F">
        <w:rPr>
          <w:rStyle w:val="FootnoteReference"/>
          <w:szCs w:val="22"/>
        </w:rPr>
        <w:footnoteReference w:id="1"/>
      </w:r>
      <w:r w:rsidRPr="00BB1C8F">
        <w:rPr>
          <w:szCs w:val="22"/>
        </w:rPr>
        <w:t>The stipulation of rights and obligations in the law is a means of preventive protection, while the dispute resolution design adopted includes protection in a repressive dimension.</w:t>
      </w:r>
    </w:p>
    <w:p w14:paraId="178C90AD" w14:textId="77777777" w:rsidR="00803550" w:rsidRPr="00BB1C8F" w:rsidRDefault="00803550" w:rsidP="00803550">
      <w:pPr>
        <w:pStyle w:val="ListParagraph"/>
        <w:spacing w:after="0" w:line="360" w:lineRule="auto"/>
        <w:ind w:left="425" w:firstLine="698"/>
        <w:rPr>
          <w:szCs w:val="22"/>
        </w:rPr>
      </w:pPr>
      <w:r w:rsidRPr="00BB1C8F">
        <w:rPr>
          <w:szCs w:val="22"/>
        </w:rPr>
        <w:lastRenderedPageBreak/>
        <w:t>The National Consumer Protection Agency (BPKN) recorded that it had received 3,555 consumer complaints from 2017 to 19 October 2020.</w:t>
      </w:r>
      <w:r w:rsidRPr="00BB1C8F">
        <w:rPr>
          <w:rStyle w:val="FootnoteReference"/>
          <w:szCs w:val="22"/>
        </w:rPr>
        <w:footnoteReference w:id="2"/>
      </w:r>
      <w:r w:rsidRPr="00BB1C8F">
        <w:rPr>
          <w:szCs w:val="22"/>
        </w:rPr>
        <w:t>The Indonesian Consumers Foundation (YLKI) in 2019 received 1,871 complaints, consisting of 563 cases in the individual category and 1,308 cases in the group/collective category.</w:t>
      </w:r>
      <w:r w:rsidRPr="00BB1C8F">
        <w:rPr>
          <w:rStyle w:val="FootnoteReference"/>
          <w:szCs w:val="22"/>
        </w:rPr>
        <w:footnoteReference w:id="3"/>
      </w:r>
      <w:r w:rsidRPr="00BB1C8F">
        <w:rPr>
          <w:szCs w:val="22"/>
        </w:rPr>
        <w:t>In 2020, consumer complaints at YLKI experienced a total increase to 3,692 from a total of 1,871 in the previous year.</w:t>
      </w:r>
      <w:r w:rsidRPr="00BB1C8F">
        <w:rPr>
          <w:rStyle w:val="FootnoteReference"/>
          <w:szCs w:val="22"/>
        </w:rPr>
        <w:footnoteReference w:id="4"/>
      </w:r>
      <w:r w:rsidRPr="00BB1C8F">
        <w:rPr>
          <w:szCs w:val="22"/>
        </w:rPr>
        <w:t>In January-August 2021 the Directorate General of Consumer Protection and Commerce Order, Ministry of Trade reported a recapitulation of complaints by sector: (1) food medicine 4 complaints, (2) electronics/vehicles 11 complaints, (3) financial services 75 complaints, (4) e- commerce 6,914 complaints, (5) housing 16 complaints, (6) telecommunication 7 complaints, (7) transportation 73 complaints, and (8) others 140 complaints.</w:t>
      </w:r>
      <w:r w:rsidRPr="00BB1C8F">
        <w:rPr>
          <w:rStyle w:val="FootnoteReference"/>
          <w:szCs w:val="22"/>
        </w:rPr>
        <w:footnoteReference w:id="5"/>
      </w:r>
    </w:p>
    <w:p w14:paraId="069706A8" w14:textId="77777777" w:rsidR="00803550" w:rsidRPr="00BB1C8F" w:rsidRDefault="00803550" w:rsidP="00803550">
      <w:pPr>
        <w:spacing w:line="360" w:lineRule="auto"/>
        <w:ind w:left="425" w:firstLine="708"/>
        <w:rPr>
          <w:szCs w:val="22"/>
        </w:rPr>
      </w:pPr>
      <w:r w:rsidRPr="00BB1C8F">
        <w:rPr>
          <w:szCs w:val="22"/>
        </w:rPr>
        <w:t>The empirical reality of the consumer complaint case above illustrates that consumer rights are vulnerable to being violated, and this indicates that preventive consumer protection has failed. These complaints are evidence of non-compliance by business actors with their obligations and at the same time there is a violation of consumer rights.</w:t>
      </w:r>
    </w:p>
    <w:p w14:paraId="6AE70B48" w14:textId="77777777" w:rsidR="00803550" w:rsidRPr="00BB1C8F" w:rsidRDefault="00803550" w:rsidP="00803550">
      <w:pPr>
        <w:spacing w:line="360" w:lineRule="auto"/>
        <w:ind w:left="425" w:firstLine="708"/>
        <w:rPr>
          <w:szCs w:val="22"/>
        </w:rPr>
      </w:pPr>
      <w:r w:rsidRPr="00BB1C8F">
        <w:rPr>
          <w:szCs w:val="22"/>
        </w:rPr>
        <w:t>Violation of consumer rights above is the cause of disputes. Consumer disputes are normatively defined as consumer disputes with business actors, in which consumers make demands for compensation due to damage, pollution and/or as a result of consuming products sold by business actors.</w:t>
      </w:r>
      <w:r w:rsidRPr="00BB1C8F">
        <w:rPr>
          <w:rStyle w:val="FootnoteReference"/>
          <w:szCs w:val="22"/>
        </w:rPr>
        <w:footnoteReference w:id="6"/>
      </w:r>
      <w:r w:rsidRPr="00BB1C8F">
        <w:rPr>
          <w:szCs w:val="22"/>
        </w:rPr>
        <w:t>Consumer complaints involving third parties above (BPKN, YLKI and DITJEN PKTN), from Rijkschoeff's point of view, have entered the realm of dispute resolution in a pre-juridical pattern.</w:t>
      </w:r>
      <w:r w:rsidRPr="00BB1C8F">
        <w:rPr>
          <w:rStyle w:val="FootnoteReference"/>
          <w:szCs w:val="22"/>
        </w:rPr>
        <w:footnoteReference w:id="7"/>
      </w:r>
    </w:p>
    <w:p w14:paraId="3CA8C876" w14:textId="77777777" w:rsidR="00803550" w:rsidRPr="00BB1C8F" w:rsidRDefault="00803550" w:rsidP="00803550">
      <w:pPr>
        <w:spacing w:line="360" w:lineRule="auto"/>
        <w:ind w:left="425" w:firstLine="708"/>
        <w:rPr>
          <w:szCs w:val="22"/>
        </w:rPr>
      </w:pPr>
      <w:r w:rsidRPr="00BB1C8F">
        <w:rPr>
          <w:szCs w:val="22"/>
        </w:rPr>
        <w:t xml:space="preserve">Regarding the consumer disputes above, UUPK adapts two settlement approaches, namely settlement in court and out of court. BPSK is designed to handle disputes other than courts </w:t>
      </w:r>
      <w:r w:rsidRPr="00BB1C8F">
        <w:rPr>
          <w:szCs w:val="22"/>
        </w:rPr>
        <w:lastRenderedPageBreak/>
        <w:t>efficiently, quickly, cheaply and professionally.</w:t>
      </w:r>
      <w:r w:rsidRPr="00BB1C8F">
        <w:rPr>
          <w:rStyle w:val="FootnoteReference"/>
          <w:szCs w:val="22"/>
        </w:rPr>
        <w:footnoteReference w:id="8"/>
      </w:r>
      <w:r w:rsidRPr="00BB1C8F">
        <w:rPr>
          <w:szCs w:val="22"/>
        </w:rPr>
        <w:t>BPSK in resolving consumer disputes with three mechanisms, namely mediation or arbitration or conciliation,</w:t>
      </w:r>
      <w:r w:rsidRPr="00BB1C8F">
        <w:rPr>
          <w:rStyle w:val="FootnoteReference"/>
          <w:szCs w:val="22"/>
        </w:rPr>
        <w:footnoteReference w:id="9"/>
      </w:r>
      <w:r w:rsidRPr="00BB1C8F">
        <w:rPr>
          <w:szCs w:val="22"/>
        </w:rPr>
        <w:t>the three are not tiered.</w:t>
      </w:r>
      <w:r w:rsidRPr="00BB1C8F">
        <w:rPr>
          <w:rStyle w:val="FootnoteReference"/>
          <w:szCs w:val="22"/>
        </w:rPr>
        <w:footnoteReference w:id="10"/>
      </w:r>
    </w:p>
    <w:p w14:paraId="321F21B9" w14:textId="77777777" w:rsidR="00803550" w:rsidRPr="00BB1C8F" w:rsidRDefault="00803550" w:rsidP="00803550">
      <w:pPr>
        <w:spacing w:line="360" w:lineRule="auto"/>
        <w:ind w:left="425" w:firstLine="708"/>
        <w:rPr>
          <w:szCs w:val="22"/>
        </w:rPr>
      </w:pPr>
      <w:r w:rsidRPr="00BB1C8F">
        <w:rPr>
          <w:szCs w:val="22"/>
        </w:rPr>
        <w:t>However, the BPSK arbitration decision has not been able to provide consumer protection, because according to Kurniawan an annulment can be filed at the District Court, even up to cassation to the Supreme Court.</w:t>
      </w:r>
      <w:r w:rsidRPr="00BB1C8F">
        <w:rPr>
          <w:rStyle w:val="FootnoteReference"/>
          <w:szCs w:val="22"/>
        </w:rPr>
        <w:footnoteReference w:id="11"/>
      </w:r>
      <w:r w:rsidRPr="00BB1C8F">
        <w:rPr>
          <w:szCs w:val="22"/>
        </w:rPr>
        <w:t>And the decision does not have a head of decision with the decree "For the sake of Justice Based on Belief in the One and Only God", so it does not have the power of execution.</w:t>
      </w:r>
      <w:r w:rsidRPr="00BB1C8F">
        <w:rPr>
          <w:rStyle w:val="FootnoteReference"/>
          <w:szCs w:val="22"/>
        </w:rPr>
        <w:footnoteReference w:id="12"/>
      </w:r>
    </w:p>
    <w:p w14:paraId="6F5D7B4A" w14:textId="77777777" w:rsidR="00803550" w:rsidRPr="00BB1C8F" w:rsidRDefault="00803550" w:rsidP="00803550">
      <w:pPr>
        <w:spacing w:line="360" w:lineRule="auto"/>
        <w:ind w:left="425" w:firstLine="708"/>
        <w:rPr>
          <w:szCs w:val="22"/>
        </w:rPr>
      </w:pPr>
      <w:r w:rsidRPr="00BB1C8F">
        <w:rPr>
          <w:szCs w:val="22"/>
        </w:rPr>
        <w:t>Against the Supreme Court's cassation decision there was a review of 40 (forty) decisions. The study found that there were several reasons why the BPSK decision was set aside at the cassation level by the Supreme Court, namely:</w:t>
      </w:r>
      <w:r w:rsidRPr="00BB1C8F">
        <w:rPr>
          <w:rStyle w:val="FootnoteReference"/>
          <w:szCs w:val="22"/>
        </w:rPr>
        <w:footnoteReference w:id="13"/>
      </w:r>
      <w:r w:rsidRPr="00BB1C8F">
        <w:rPr>
          <w:szCs w:val="22"/>
        </w:rPr>
        <w:t>(1) The BPSK Arbitrator Council is not authorized to adjudicate the contents of the contract, (2) to decide on disputes that are not included in consumer disputes, (3) decisions regarding personal disputes in the form of defaults and unlawful acts, (4) dispute decisions that do not contain elements of serious losses resulting from the consumption of goods and/or services that have been enjoyed by consumers, (5) cases of bank debt disputes that are not included in consumer disputes.</w:t>
      </w:r>
    </w:p>
    <w:p w14:paraId="704FB1DA" w14:textId="77777777" w:rsidR="00803550" w:rsidRPr="00BB1C8F" w:rsidRDefault="00803550" w:rsidP="00803550">
      <w:pPr>
        <w:spacing w:line="360" w:lineRule="auto"/>
        <w:ind w:left="425" w:firstLine="708"/>
        <w:rPr>
          <w:szCs w:val="22"/>
        </w:rPr>
      </w:pPr>
      <w:r w:rsidRPr="00BB1C8F">
        <w:rPr>
          <w:szCs w:val="22"/>
          <w:lang w:eastAsia="zh-CN"/>
        </w:rPr>
        <w:t>The BPSK decision which was canceled by the Supreme Court above (as well as the decision which was canceled at the District Court level) has implications for consumer protection itself. Consumers' hopes to get their rights from business actors have failed, thus consumers do not get adequate legal protection in countries that are based on law. This case in turn could have a parallel impact on reducing the level of consumer confidence in BPSK as an alternative institution, in the end the goal of the UUPK to provide an easy, fast and low-cost consumer dispute resolution mechanism was not realized.</w:t>
      </w:r>
      <w:r w:rsidRPr="00BB1C8F">
        <w:rPr>
          <w:rStyle w:val="FootnoteReference"/>
          <w:szCs w:val="22"/>
        </w:rPr>
        <w:footnoteReference w:id="14"/>
      </w:r>
      <w:r w:rsidRPr="00BB1C8F">
        <w:rPr>
          <w:szCs w:val="22"/>
        </w:rPr>
        <w:t>This exacerbates the level of empowerment of Indonesian consumers, based on The Report of the ASEAN Consumer Empowerment Index, Indonesian consumers are in a powerless position.</w:t>
      </w:r>
      <w:r w:rsidRPr="00BB1C8F">
        <w:rPr>
          <w:rStyle w:val="FootnoteReference"/>
          <w:szCs w:val="22"/>
        </w:rPr>
        <w:footnoteReference w:id="15"/>
      </w:r>
      <w:r w:rsidRPr="00BB1C8F">
        <w:rPr>
          <w:szCs w:val="22"/>
        </w:rPr>
        <w:t xml:space="preserve"> </w:t>
      </w:r>
    </w:p>
    <w:p w14:paraId="3C66EEA8" w14:textId="77777777" w:rsidR="00803550" w:rsidRPr="00BB1C8F" w:rsidRDefault="00803550" w:rsidP="00803550">
      <w:pPr>
        <w:spacing w:line="360" w:lineRule="auto"/>
        <w:ind w:left="425" w:firstLine="708"/>
        <w:rPr>
          <w:szCs w:val="22"/>
        </w:rPr>
      </w:pPr>
      <w:r w:rsidRPr="00BB1C8F">
        <w:rPr>
          <w:szCs w:val="22"/>
        </w:rPr>
        <w:lastRenderedPageBreak/>
        <w:t>Based on field data in the 2015-2019 range, BPSK reaped a significant failure rate in resolving consumer disputes, namely 578 cases, as shown in the table below:</w:t>
      </w:r>
      <w:r w:rsidRPr="00BB1C8F">
        <w:rPr>
          <w:rStyle w:val="FootnoteReference"/>
          <w:szCs w:val="22"/>
        </w:rPr>
        <w:footnoteReference w:id="16"/>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
        <w:gridCol w:w="789"/>
        <w:gridCol w:w="1003"/>
        <w:gridCol w:w="8"/>
        <w:gridCol w:w="831"/>
        <w:gridCol w:w="784"/>
        <w:gridCol w:w="8"/>
        <w:gridCol w:w="25"/>
        <w:gridCol w:w="1101"/>
        <w:gridCol w:w="8"/>
        <w:gridCol w:w="984"/>
        <w:gridCol w:w="8"/>
        <w:gridCol w:w="1051"/>
        <w:gridCol w:w="1134"/>
        <w:gridCol w:w="709"/>
        <w:gridCol w:w="725"/>
        <w:gridCol w:w="8"/>
        <w:gridCol w:w="33"/>
        <w:gridCol w:w="935"/>
      </w:tblGrid>
      <w:tr w:rsidR="00BB1C8F" w:rsidRPr="00BB1C8F" w14:paraId="6DBC07C7" w14:textId="77777777" w:rsidTr="00BB1C8F">
        <w:trPr>
          <w:jc w:val="center"/>
        </w:trPr>
        <w:tc>
          <w:tcPr>
            <w:tcW w:w="766" w:type="dxa"/>
            <w:vMerge w:val="restart"/>
            <w:shd w:val="clear" w:color="auto" w:fill="auto"/>
          </w:tcPr>
          <w:p w14:paraId="53DE839D" w14:textId="77777777" w:rsidR="00803550" w:rsidRPr="00BB1C8F" w:rsidRDefault="00803550" w:rsidP="00BB1C8F">
            <w:pPr>
              <w:ind w:firstLine="0"/>
              <w:rPr>
                <w:sz w:val="18"/>
                <w:szCs w:val="18"/>
              </w:rPr>
            </w:pPr>
            <w:r w:rsidRPr="00BB1C8F">
              <w:rPr>
                <w:sz w:val="18"/>
                <w:szCs w:val="18"/>
              </w:rPr>
              <w:t>year</w:t>
            </w:r>
          </w:p>
        </w:tc>
        <w:tc>
          <w:tcPr>
            <w:tcW w:w="789" w:type="dxa"/>
            <w:vMerge w:val="restart"/>
            <w:shd w:val="clear" w:color="auto" w:fill="auto"/>
          </w:tcPr>
          <w:p w14:paraId="1A6BFD0C" w14:textId="77777777" w:rsidR="00803550" w:rsidRPr="00BB1C8F" w:rsidRDefault="00803550" w:rsidP="00BB1C8F">
            <w:pPr>
              <w:ind w:firstLine="0"/>
              <w:rPr>
                <w:sz w:val="18"/>
                <w:szCs w:val="18"/>
              </w:rPr>
            </w:pPr>
            <w:r w:rsidRPr="00BB1C8F">
              <w:rPr>
                <w:sz w:val="18"/>
                <w:szCs w:val="18"/>
              </w:rPr>
              <w:t>BPS report</w:t>
            </w:r>
          </w:p>
        </w:tc>
        <w:tc>
          <w:tcPr>
            <w:tcW w:w="2659" w:type="dxa"/>
            <w:gridSpan w:val="6"/>
            <w:shd w:val="clear" w:color="auto" w:fill="auto"/>
          </w:tcPr>
          <w:p w14:paraId="3BD77520" w14:textId="77777777" w:rsidR="00803550" w:rsidRPr="00BB1C8F" w:rsidRDefault="00803550" w:rsidP="00BB1C8F">
            <w:pPr>
              <w:ind w:firstLine="0"/>
              <w:rPr>
                <w:sz w:val="18"/>
                <w:szCs w:val="18"/>
              </w:rPr>
            </w:pPr>
            <w:r w:rsidRPr="00BB1C8F">
              <w:rPr>
                <w:sz w:val="18"/>
                <w:szCs w:val="18"/>
              </w:rPr>
              <w:t>Enter</w:t>
            </w:r>
          </w:p>
        </w:tc>
        <w:tc>
          <w:tcPr>
            <w:tcW w:w="4286" w:type="dxa"/>
            <w:gridSpan w:val="6"/>
            <w:shd w:val="clear" w:color="auto" w:fill="auto"/>
          </w:tcPr>
          <w:p w14:paraId="53B51634" w14:textId="77777777" w:rsidR="00803550" w:rsidRPr="00BB1C8F" w:rsidRDefault="00803550" w:rsidP="00BB1C8F">
            <w:pPr>
              <w:ind w:firstLine="0"/>
              <w:rPr>
                <w:sz w:val="18"/>
                <w:szCs w:val="18"/>
              </w:rPr>
            </w:pPr>
            <w:r w:rsidRPr="00BB1C8F">
              <w:rPr>
                <w:sz w:val="18"/>
                <w:szCs w:val="18"/>
              </w:rPr>
              <w:t>Finished</w:t>
            </w:r>
          </w:p>
        </w:tc>
        <w:tc>
          <w:tcPr>
            <w:tcW w:w="709" w:type="dxa"/>
            <w:shd w:val="clear" w:color="auto" w:fill="auto"/>
          </w:tcPr>
          <w:p w14:paraId="6521B0F7" w14:textId="77777777" w:rsidR="00803550" w:rsidRPr="00BB1C8F" w:rsidRDefault="00803550" w:rsidP="00BB1C8F">
            <w:pPr>
              <w:ind w:firstLine="0"/>
              <w:rPr>
                <w:sz w:val="18"/>
                <w:szCs w:val="18"/>
              </w:rPr>
            </w:pPr>
            <w:r w:rsidRPr="00BB1C8F">
              <w:rPr>
                <w:sz w:val="18"/>
                <w:szCs w:val="18"/>
              </w:rPr>
              <w:t>Fail</w:t>
            </w:r>
          </w:p>
        </w:tc>
        <w:tc>
          <w:tcPr>
            <w:tcW w:w="766" w:type="dxa"/>
            <w:gridSpan w:val="3"/>
            <w:shd w:val="clear" w:color="auto" w:fill="auto"/>
          </w:tcPr>
          <w:p w14:paraId="588ED908" w14:textId="77777777" w:rsidR="00803550" w:rsidRPr="00BB1C8F" w:rsidRDefault="00803550" w:rsidP="00BB1C8F">
            <w:pPr>
              <w:ind w:firstLine="0"/>
              <w:rPr>
                <w:sz w:val="18"/>
                <w:szCs w:val="18"/>
              </w:rPr>
            </w:pPr>
            <w:r w:rsidRPr="00BB1C8F">
              <w:rPr>
                <w:sz w:val="18"/>
                <w:szCs w:val="18"/>
              </w:rPr>
              <w:t>In the process</w:t>
            </w:r>
          </w:p>
        </w:tc>
        <w:tc>
          <w:tcPr>
            <w:tcW w:w="935" w:type="dxa"/>
            <w:shd w:val="clear" w:color="auto" w:fill="auto"/>
          </w:tcPr>
          <w:p w14:paraId="7B28F7EC" w14:textId="77777777" w:rsidR="00803550" w:rsidRPr="00BB1C8F" w:rsidRDefault="00803550" w:rsidP="00BB1C8F">
            <w:pPr>
              <w:ind w:firstLine="0"/>
              <w:rPr>
                <w:sz w:val="18"/>
                <w:szCs w:val="18"/>
              </w:rPr>
            </w:pPr>
            <w:r w:rsidRPr="00BB1C8F">
              <w:rPr>
                <w:sz w:val="18"/>
                <w:szCs w:val="18"/>
              </w:rPr>
              <w:t>Objection filed</w:t>
            </w:r>
          </w:p>
        </w:tc>
      </w:tr>
      <w:tr w:rsidR="00BB1C8F" w:rsidRPr="00BB1C8F" w14:paraId="16B61CDD" w14:textId="77777777" w:rsidTr="00BB1C8F">
        <w:trPr>
          <w:jc w:val="center"/>
        </w:trPr>
        <w:tc>
          <w:tcPr>
            <w:tcW w:w="766" w:type="dxa"/>
            <w:vMerge/>
            <w:shd w:val="clear" w:color="auto" w:fill="auto"/>
          </w:tcPr>
          <w:p w14:paraId="61833EA0" w14:textId="77777777" w:rsidR="00803550" w:rsidRPr="00BB1C8F" w:rsidRDefault="00803550" w:rsidP="00250022">
            <w:pPr>
              <w:rPr>
                <w:sz w:val="18"/>
                <w:szCs w:val="18"/>
              </w:rPr>
            </w:pPr>
          </w:p>
        </w:tc>
        <w:tc>
          <w:tcPr>
            <w:tcW w:w="789" w:type="dxa"/>
            <w:vMerge/>
            <w:shd w:val="clear" w:color="auto" w:fill="auto"/>
          </w:tcPr>
          <w:p w14:paraId="0306582B" w14:textId="77777777" w:rsidR="00803550" w:rsidRPr="00BB1C8F" w:rsidRDefault="00803550" w:rsidP="00250022">
            <w:pPr>
              <w:rPr>
                <w:sz w:val="18"/>
                <w:szCs w:val="18"/>
              </w:rPr>
            </w:pPr>
          </w:p>
        </w:tc>
        <w:tc>
          <w:tcPr>
            <w:tcW w:w="1003" w:type="dxa"/>
            <w:shd w:val="clear" w:color="auto" w:fill="auto"/>
          </w:tcPr>
          <w:p w14:paraId="25712D82" w14:textId="77777777" w:rsidR="00803550" w:rsidRPr="00BB1C8F" w:rsidRDefault="00803550" w:rsidP="00250022">
            <w:pPr>
              <w:rPr>
                <w:sz w:val="18"/>
                <w:szCs w:val="18"/>
              </w:rPr>
            </w:pPr>
            <w:r w:rsidRPr="00BB1C8F">
              <w:rPr>
                <w:sz w:val="18"/>
                <w:szCs w:val="18"/>
              </w:rPr>
              <w:t>Goods</w:t>
            </w:r>
          </w:p>
        </w:tc>
        <w:tc>
          <w:tcPr>
            <w:tcW w:w="839" w:type="dxa"/>
            <w:gridSpan w:val="2"/>
            <w:shd w:val="clear" w:color="auto" w:fill="auto"/>
          </w:tcPr>
          <w:p w14:paraId="01EB9D70" w14:textId="77777777" w:rsidR="00803550" w:rsidRPr="00BB1C8F" w:rsidRDefault="00803550" w:rsidP="00BB1C8F">
            <w:pPr>
              <w:ind w:firstLine="0"/>
              <w:rPr>
                <w:sz w:val="18"/>
                <w:szCs w:val="18"/>
              </w:rPr>
            </w:pPr>
            <w:r w:rsidRPr="00BB1C8F">
              <w:rPr>
                <w:sz w:val="18"/>
                <w:szCs w:val="18"/>
              </w:rPr>
              <w:t>Service</w:t>
            </w:r>
          </w:p>
        </w:tc>
        <w:tc>
          <w:tcPr>
            <w:tcW w:w="792" w:type="dxa"/>
            <w:gridSpan w:val="2"/>
            <w:shd w:val="clear" w:color="auto" w:fill="auto"/>
          </w:tcPr>
          <w:p w14:paraId="47038790" w14:textId="77777777" w:rsidR="00803550" w:rsidRPr="00BB1C8F" w:rsidRDefault="00803550" w:rsidP="00BB1C8F">
            <w:pPr>
              <w:ind w:hanging="18"/>
              <w:rPr>
                <w:sz w:val="18"/>
                <w:szCs w:val="18"/>
              </w:rPr>
            </w:pPr>
            <w:r w:rsidRPr="00BB1C8F">
              <w:rPr>
                <w:sz w:val="18"/>
                <w:szCs w:val="18"/>
              </w:rPr>
              <w:t>Amount</w:t>
            </w:r>
          </w:p>
        </w:tc>
        <w:tc>
          <w:tcPr>
            <w:tcW w:w="1134" w:type="dxa"/>
            <w:gridSpan w:val="3"/>
            <w:shd w:val="clear" w:color="auto" w:fill="auto"/>
          </w:tcPr>
          <w:p w14:paraId="6D7469CB" w14:textId="77777777" w:rsidR="00803550" w:rsidRPr="00BB1C8F" w:rsidRDefault="00803550" w:rsidP="00BB1C8F">
            <w:pPr>
              <w:ind w:firstLine="21"/>
              <w:rPr>
                <w:sz w:val="18"/>
                <w:szCs w:val="18"/>
              </w:rPr>
            </w:pPr>
            <w:r w:rsidRPr="00BB1C8F">
              <w:rPr>
                <w:sz w:val="18"/>
                <w:szCs w:val="18"/>
              </w:rPr>
              <w:t>Conciliation</w:t>
            </w:r>
          </w:p>
        </w:tc>
        <w:tc>
          <w:tcPr>
            <w:tcW w:w="992" w:type="dxa"/>
            <w:gridSpan w:val="2"/>
            <w:shd w:val="clear" w:color="auto" w:fill="auto"/>
          </w:tcPr>
          <w:p w14:paraId="260B705B" w14:textId="77777777" w:rsidR="00803550" w:rsidRPr="00BB1C8F" w:rsidRDefault="00803550" w:rsidP="00BB1C8F">
            <w:pPr>
              <w:ind w:firstLine="0"/>
              <w:rPr>
                <w:sz w:val="18"/>
                <w:szCs w:val="18"/>
              </w:rPr>
            </w:pPr>
            <w:r w:rsidRPr="00BB1C8F">
              <w:rPr>
                <w:sz w:val="18"/>
                <w:szCs w:val="18"/>
              </w:rPr>
              <w:t>Mediation</w:t>
            </w:r>
          </w:p>
        </w:tc>
        <w:tc>
          <w:tcPr>
            <w:tcW w:w="1051" w:type="dxa"/>
            <w:shd w:val="clear" w:color="auto" w:fill="auto"/>
          </w:tcPr>
          <w:p w14:paraId="1FE22435" w14:textId="77777777" w:rsidR="00803550" w:rsidRPr="00BB1C8F" w:rsidRDefault="00803550" w:rsidP="00BB1C8F">
            <w:pPr>
              <w:ind w:hanging="53"/>
              <w:rPr>
                <w:sz w:val="18"/>
                <w:szCs w:val="18"/>
              </w:rPr>
            </w:pPr>
            <w:r w:rsidRPr="00BB1C8F">
              <w:rPr>
                <w:sz w:val="18"/>
                <w:szCs w:val="18"/>
              </w:rPr>
              <w:t>Arbitration</w:t>
            </w:r>
          </w:p>
        </w:tc>
        <w:tc>
          <w:tcPr>
            <w:tcW w:w="1134" w:type="dxa"/>
            <w:shd w:val="clear" w:color="auto" w:fill="auto"/>
          </w:tcPr>
          <w:p w14:paraId="4193D43B" w14:textId="77777777" w:rsidR="00803550" w:rsidRPr="00BB1C8F" w:rsidRDefault="00803550" w:rsidP="00BB1C8F">
            <w:pPr>
              <w:ind w:hanging="82"/>
              <w:rPr>
                <w:sz w:val="18"/>
                <w:szCs w:val="18"/>
              </w:rPr>
            </w:pPr>
            <w:r w:rsidRPr="00BB1C8F">
              <w:rPr>
                <w:sz w:val="18"/>
                <w:szCs w:val="18"/>
              </w:rPr>
              <w:t>Amount</w:t>
            </w:r>
          </w:p>
        </w:tc>
        <w:tc>
          <w:tcPr>
            <w:tcW w:w="709" w:type="dxa"/>
            <w:shd w:val="clear" w:color="auto" w:fill="auto"/>
          </w:tcPr>
          <w:p w14:paraId="5F41A024" w14:textId="77777777" w:rsidR="00803550" w:rsidRPr="00BB1C8F" w:rsidRDefault="00803550" w:rsidP="00250022">
            <w:pPr>
              <w:rPr>
                <w:sz w:val="18"/>
                <w:szCs w:val="18"/>
              </w:rPr>
            </w:pPr>
          </w:p>
        </w:tc>
        <w:tc>
          <w:tcPr>
            <w:tcW w:w="733" w:type="dxa"/>
            <w:gridSpan w:val="2"/>
            <w:shd w:val="clear" w:color="auto" w:fill="auto"/>
          </w:tcPr>
          <w:p w14:paraId="73A97492" w14:textId="77777777" w:rsidR="00803550" w:rsidRPr="00BB1C8F" w:rsidRDefault="00803550" w:rsidP="00250022">
            <w:pPr>
              <w:rPr>
                <w:sz w:val="18"/>
                <w:szCs w:val="18"/>
              </w:rPr>
            </w:pPr>
          </w:p>
        </w:tc>
        <w:tc>
          <w:tcPr>
            <w:tcW w:w="968" w:type="dxa"/>
            <w:gridSpan w:val="2"/>
            <w:shd w:val="clear" w:color="auto" w:fill="auto"/>
          </w:tcPr>
          <w:p w14:paraId="46E9E9AB" w14:textId="77777777" w:rsidR="00803550" w:rsidRPr="00BB1C8F" w:rsidRDefault="00803550" w:rsidP="00250022">
            <w:pPr>
              <w:rPr>
                <w:sz w:val="18"/>
                <w:szCs w:val="18"/>
              </w:rPr>
            </w:pPr>
          </w:p>
        </w:tc>
      </w:tr>
      <w:tr w:rsidR="00BB1C8F" w:rsidRPr="00BB1C8F" w14:paraId="665C8663" w14:textId="77777777" w:rsidTr="00BB1C8F">
        <w:trPr>
          <w:jc w:val="center"/>
        </w:trPr>
        <w:tc>
          <w:tcPr>
            <w:tcW w:w="766" w:type="dxa"/>
            <w:shd w:val="clear" w:color="auto" w:fill="auto"/>
          </w:tcPr>
          <w:p w14:paraId="637E18A9" w14:textId="77777777" w:rsidR="00803550" w:rsidRPr="00BB1C8F" w:rsidRDefault="00803550" w:rsidP="00BB1C8F">
            <w:pPr>
              <w:ind w:firstLine="0"/>
              <w:rPr>
                <w:sz w:val="18"/>
                <w:szCs w:val="18"/>
              </w:rPr>
            </w:pPr>
            <w:r w:rsidRPr="00BB1C8F">
              <w:rPr>
                <w:sz w:val="18"/>
                <w:szCs w:val="18"/>
              </w:rPr>
              <w:t>2015</w:t>
            </w:r>
          </w:p>
        </w:tc>
        <w:tc>
          <w:tcPr>
            <w:tcW w:w="789" w:type="dxa"/>
            <w:shd w:val="clear" w:color="auto" w:fill="auto"/>
          </w:tcPr>
          <w:p w14:paraId="7784E515" w14:textId="77777777" w:rsidR="00803550" w:rsidRPr="00BB1C8F" w:rsidRDefault="00803550" w:rsidP="00BB1C8F">
            <w:pPr>
              <w:ind w:firstLine="0"/>
              <w:rPr>
                <w:sz w:val="18"/>
                <w:szCs w:val="18"/>
              </w:rPr>
            </w:pPr>
            <w:r w:rsidRPr="00BB1C8F">
              <w:rPr>
                <w:sz w:val="18"/>
                <w:szCs w:val="18"/>
              </w:rPr>
              <w:t>46</w:t>
            </w:r>
          </w:p>
        </w:tc>
        <w:tc>
          <w:tcPr>
            <w:tcW w:w="1003" w:type="dxa"/>
            <w:shd w:val="clear" w:color="auto" w:fill="auto"/>
          </w:tcPr>
          <w:p w14:paraId="405540BA" w14:textId="77777777" w:rsidR="00803550" w:rsidRPr="00BB1C8F" w:rsidRDefault="00803550" w:rsidP="00BB1C8F">
            <w:pPr>
              <w:ind w:firstLine="0"/>
              <w:rPr>
                <w:sz w:val="18"/>
                <w:szCs w:val="18"/>
              </w:rPr>
            </w:pPr>
            <w:r w:rsidRPr="00BB1C8F">
              <w:rPr>
                <w:sz w:val="18"/>
                <w:szCs w:val="18"/>
              </w:rPr>
              <w:t>182</w:t>
            </w:r>
          </w:p>
        </w:tc>
        <w:tc>
          <w:tcPr>
            <w:tcW w:w="839" w:type="dxa"/>
            <w:gridSpan w:val="2"/>
            <w:shd w:val="clear" w:color="auto" w:fill="auto"/>
          </w:tcPr>
          <w:p w14:paraId="21A10134" w14:textId="77777777" w:rsidR="00803550" w:rsidRPr="00BB1C8F" w:rsidRDefault="00803550" w:rsidP="00BB1C8F">
            <w:pPr>
              <w:ind w:firstLine="0"/>
              <w:rPr>
                <w:sz w:val="18"/>
                <w:szCs w:val="18"/>
              </w:rPr>
            </w:pPr>
            <w:r w:rsidRPr="00BB1C8F">
              <w:rPr>
                <w:sz w:val="18"/>
                <w:szCs w:val="18"/>
              </w:rPr>
              <w:t>1.145</w:t>
            </w:r>
          </w:p>
        </w:tc>
        <w:tc>
          <w:tcPr>
            <w:tcW w:w="792" w:type="dxa"/>
            <w:gridSpan w:val="2"/>
            <w:shd w:val="clear" w:color="auto" w:fill="auto"/>
          </w:tcPr>
          <w:p w14:paraId="38B7F55E" w14:textId="77777777" w:rsidR="00803550" w:rsidRPr="00BB1C8F" w:rsidRDefault="00803550" w:rsidP="00BB1C8F">
            <w:pPr>
              <w:ind w:firstLine="0"/>
              <w:rPr>
                <w:sz w:val="18"/>
                <w:szCs w:val="18"/>
              </w:rPr>
            </w:pPr>
            <w:r w:rsidRPr="00BB1C8F">
              <w:rPr>
                <w:sz w:val="18"/>
                <w:szCs w:val="18"/>
              </w:rPr>
              <w:t>1,534</w:t>
            </w:r>
          </w:p>
        </w:tc>
        <w:tc>
          <w:tcPr>
            <w:tcW w:w="1134" w:type="dxa"/>
            <w:gridSpan w:val="3"/>
            <w:shd w:val="clear" w:color="auto" w:fill="auto"/>
          </w:tcPr>
          <w:p w14:paraId="044CE9F3" w14:textId="77777777" w:rsidR="00803550" w:rsidRPr="00BB1C8F" w:rsidRDefault="00803550" w:rsidP="00BB1C8F">
            <w:pPr>
              <w:ind w:firstLine="0"/>
              <w:rPr>
                <w:sz w:val="18"/>
                <w:szCs w:val="18"/>
              </w:rPr>
            </w:pPr>
            <w:r w:rsidRPr="00BB1C8F">
              <w:rPr>
                <w:sz w:val="18"/>
                <w:szCs w:val="18"/>
              </w:rPr>
              <w:t>84</w:t>
            </w:r>
          </w:p>
        </w:tc>
        <w:tc>
          <w:tcPr>
            <w:tcW w:w="992" w:type="dxa"/>
            <w:gridSpan w:val="2"/>
            <w:shd w:val="clear" w:color="auto" w:fill="auto"/>
          </w:tcPr>
          <w:p w14:paraId="15B7B7BE" w14:textId="77777777" w:rsidR="00803550" w:rsidRPr="00BB1C8F" w:rsidRDefault="00803550" w:rsidP="00BB1C8F">
            <w:pPr>
              <w:ind w:firstLine="0"/>
              <w:rPr>
                <w:sz w:val="18"/>
                <w:szCs w:val="18"/>
              </w:rPr>
            </w:pPr>
            <w:r w:rsidRPr="00BB1C8F">
              <w:rPr>
                <w:sz w:val="18"/>
                <w:szCs w:val="18"/>
              </w:rPr>
              <w:t>414</w:t>
            </w:r>
          </w:p>
        </w:tc>
        <w:tc>
          <w:tcPr>
            <w:tcW w:w="1051" w:type="dxa"/>
            <w:shd w:val="clear" w:color="auto" w:fill="auto"/>
          </w:tcPr>
          <w:p w14:paraId="4410AACC" w14:textId="77777777" w:rsidR="00803550" w:rsidRPr="00BB1C8F" w:rsidRDefault="00803550" w:rsidP="00BB1C8F">
            <w:pPr>
              <w:ind w:firstLine="0"/>
              <w:rPr>
                <w:sz w:val="18"/>
                <w:szCs w:val="18"/>
              </w:rPr>
            </w:pPr>
            <w:r w:rsidRPr="00BB1C8F">
              <w:rPr>
                <w:sz w:val="18"/>
                <w:szCs w:val="18"/>
              </w:rPr>
              <w:t>480</w:t>
            </w:r>
          </w:p>
        </w:tc>
        <w:tc>
          <w:tcPr>
            <w:tcW w:w="1134" w:type="dxa"/>
            <w:shd w:val="clear" w:color="auto" w:fill="auto"/>
          </w:tcPr>
          <w:p w14:paraId="4E75257B" w14:textId="77777777" w:rsidR="00803550" w:rsidRPr="00BB1C8F" w:rsidRDefault="00803550" w:rsidP="00BB1C8F">
            <w:pPr>
              <w:ind w:firstLine="0"/>
              <w:rPr>
                <w:sz w:val="18"/>
                <w:szCs w:val="18"/>
              </w:rPr>
            </w:pPr>
            <w:r w:rsidRPr="00BB1C8F">
              <w:rPr>
                <w:sz w:val="18"/>
                <w:szCs w:val="18"/>
              </w:rPr>
              <w:t>1,376</w:t>
            </w:r>
          </w:p>
        </w:tc>
        <w:tc>
          <w:tcPr>
            <w:tcW w:w="709" w:type="dxa"/>
            <w:shd w:val="clear" w:color="auto" w:fill="auto"/>
          </w:tcPr>
          <w:p w14:paraId="7F2BC38F" w14:textId="77777777" w:rsidR="00803550" w:rsidRPr="00BB1C8F" w:rsidRDefault="00803550" w:rsidP="00BB1C8F">
            <w:pPr>
              <w:ind w:firstLine="0"/>
              <w:rPr>
                <w:sz w:val="18"/>
                <w:szCs w:val="18"/>
              </w:rPr>
            </w:pPr>
            <w:r w:rsidRPr="00BB1C8F">
              <w:rPr>
                <w:sz w:val="18"/>
                <w:szCs w:val="18"/>
              </w:rPr>
              <w:t>135</w:t>
            </w:r>
          </w:p>
        </w:tc>
        <w:tc>
          <w:tcPr>
            <w:tcW w:w="733" w:type="dxa"/>
            <w:gridSpan w:val="2"/>
            <w:shd w:val="clear" w:color="auto" w:fill="auto"/>
          </w:tcPr>
          <w:p w14:paraId="4CFA4A05" w14:textId="77777777" w:rsidR="00803550" w:rsidRPr="00BB1C8F" w:rsidRDefault="00803550" w:rsidP="00BB1C8F">
            <w:pPr>
              <w:ind w:firstLine="0"/>
              <w:rPr>
                <w:sz w:val="18"/>
                <w:szCs w:val="18"/>
              </w:rPr>
            </w:pPr>
            <w:r w:rsidRPr="00BB1C8F">
              <w:rPr>
                <w:sz w:val="18"/>
                <w:szCs w:val="18"/>
              </w:rPr>
              <w:t>88</w:t>
            </w:r>
          </w:p>
        </w:tc>
        <w:tc>
          <w:tcPr>
            <w:tcW w:w="968" w:type="dxa"/>
            <w:gridSpan w:val="2"/>
            <w:shd w:val="clear" w:color="auto" w:fill="auto"/>
          </w:tcPr>
          <w:p w14:paraId="38F6926F" w14:textId="77777777" w:rsidR="00803550" w:rsidRPr="00BB1C8F" w:rsidRDefault="00803550" w:rsidP="00BB1C8F">
            <w:pPr>
              <w:ind w:firstLine="0"/>
              <w:rPr>
                <w:sz w:val="18"/>
                <w:szCs w:val="18"/>
              </w:rPr>
            </w:pPr>
            <w:r w:rsidRPr="00BB1C8F">
              <w:rPr>
                <w:sz w:val="18"/>
                <w:szCs w:val="18"/>
              </w:rPr>
              <w:t>45</w:t>
            </w:r>
          </w:p>
        </w:tc>
      </w:tr>
      <w:tr w:rsidR="00BB1C8F" w:rsidRPr="00BB1C8F" w14:paraId="0D55DACE" w14:textId="77777777" w:rsidTr="00BB1C8F">
        <w:trPr>
          <w:jc w:val="center"/>
        </w:trPr>
        <w:tc>
          <w:tcPr>
            <w:tcW w:w="766" w:type="dxa"/>
            <w:shd w:val="clear" w:color="auto" w:fill="auto"/>
          </w:tcPr>
          <w:p w14:paraId="069C6A8C" w14:textId="77777777" w:rsidR="00803550" w:rsidRPr="00BB1C8F" w:rsidRDefault="00803550" w:rsidP="00BB1C8F">
            <w:pPr>
              <w:ind w:firstLine="0"/>
              <w:rPr>
                <w:sz w:val="18"/>
                <w:szCs w:val="18"/>
              </w:rPr>
            </w:pPr>
            <w:r w:rsidRPr="00BB1C8F">
              <w:rPr>
                <w:sz w:val="18"/>
                <w:szCs w:val="18"/>
              </w:rPr>
              <w:t>2016</w:t>
            </w:r>
          </w:p>
        </w:tc>
        <w:tc>
          <w:tcPr>
            <w:tcW w:w="789" w:type="dxa"/>
            <w:shd w:val="clear" w:color="auto" w:fill="auto"/>
          </w:tcPr>
          <w:p w14:paraId="39B02386" w14:textId="77777777" w:rsidR="00803550" w:rsidRPr="00BB1C8F" w:rsidRDefault="00803550" w:rsidP="00BB1C8F">
            <w:pPr>
              <w:ind w:firstLine="0"/>
              <w:rPr>
                <w:sz w:val="18"/>
                <w:szCs w:val="18"/>
              </w:rPr>
            </w:pPr>
            <w:r w:rsidRPr="00BB1C8F">
              <w:rPr>
                <w:sz w:val="18"/>
                <w:szCs w:val="18"/>
              </w:rPr>
              <w:t>47</w:t>
            </w:r>
          </w:p>
        </w:tc>
        <w:tc>
          <w:tcPr>
            <w:tcW w:w="1003" w:type="dxa"/>
            <w:shd w:val="clear" w:color="auto" w:fill="auto"/>
          </w:tcPr>
          <w:p w14:paraId="354F9B08" w14:textId="77777777" w:rsidR="00803550" w:rsidRPr="00BB1C8F" w:rsidRDefault="00803550" w:rsidP="00BB1C8F">
            <w:pPr>
              <w:ind w:firstLine="0"/>
              <w:rPr>
                <w:sz w:val="18"/>
                <w:szCs w:val="18"/>
              </w:rPr>
            </w:pPr>
            <w:r w:rsidRPr="00BB1C8F">
              <w:rPr>
                <w:sz w:val="18"/>
                <w:szCs w:val="18"/>
              </w:rPr>
              <w:t>173</w:t>
            </w:r>
          </w:p>
        </w:tc>
        <w:tc>
          <w:tcPr>
            <w:tcW w:w="839" w:type="dxa"/>
            <w:gridSpan w:val="2"/>
            <w:shd w:val="clear" w:color="auto" w:fill="auto"/>
          </w:tcPr>
          <w:p w14:paraId="49FB4318" w14:textId="77777777" w:rsidR="00803550" w:rsidRPr="00BB1C8F" w:rsidRDefault="00803550" w:rsidP="00BB1C8F">
            <w:pPr>
              <w:ind w:firstLine="0"/>
              <w:rPr>
                <w:sz w:val="18"/>
                <w:szCs w:val="18"/>
              </w:rPr>
            </w:pPr>
            <w:r w:rsidRPr="00BB1C8F">
              <w:rPr>
                <w:sz w:val="18"/>
                <w:szCs w:val="18"/>
              </w:rPr>
              <w:t>355</w:t>
            </w:r>
          </w:p>
        </w:tc>
        <w:tc>
          <w:tcPr>
            <w:tcW w:w="792" w:type="dxa"/>
            <w:gridSpan w:val="2"/>
            <w:shd w:val="clear" w:color="auto" w:fill="auto"/>
          </w:tcPr>
          <w:p w14:paraId="4749CA9B" w14:textId="77777777" w:rsidR="00803550" w:rsidRPr="00BB1C8F" w:rsidRDefault="00803550" w:rsidP="00BB1C8F">
            <w:pPr>
              <w:ind w:firstLine="0"/>
              <w:rPr>
                <w:sz w:val="18"/>
                <w:szCs w:val="18"/>
              </w:rPr>
            </w:pPr>
            <w:r w:rsidRPr="00BB1C8F">
              <w:rPr>
                <w:sz w:val="18"/>
                <w:szCs w:val="18"/>
              </w:rPr>
              <w:t>728</w:t>
            </w:r>
          </w:p>
        </w:tc>
        <w:tc>
          <w:tcPr>
            <w:tcW w:w="1134" w:type="dxa"/>
            <w:gridSpan w:val="3"/>
            <w:shd w:val="clear" w:color="auto" w:fill="auto"/>
          </w:tcPr>
          <w:p w14:paraId="74EE82CF" w14:textId="77777777" w:rsidR="00803550" w:rsidRPr="00BB1C8F" w:rsidRDefault="00803550" w:rsidP="00BB1C8F">
            <w:pPr>
              <w:ind w:firstLine="0"/>
              <w:rPr>
                <w:sz w:val="18"/>
                <w:szCs w:val="18"/>
              </w:rPr>
            </w:pPr>
            <w:r w:rsidRPr="00BB1C8F">
              <w:rPr>
                <w:sz w:val="18"/>
                <w:szCs w:val="18"/>
              </w:rPr>
              <w:t>98</w:t>
            </w:r>
          </w:p>
        </w:tc>
        <w:tc>
          <w:tcPr>
            <w:tcW w:w="992" w:type="dxa"/>
            <w:gridSpan w:val="2"/>
            <w:shd w:val="clear" w:color="auto" w:fill="auto"/>
          </w:tcPr>
          <w:p w14:paraId="7D1D2B9E" w14:textId="77777777" w:rsidR="00803550" w:rsidRPr="00BB1C8F" w:rsidRDefault="00803550" w:rsidP="00BB1C8F">
            <w:pPr>
              <w:ind w:firstLine="0"/>
              <w:rPr>
                <w:sz w:val="18"/>
                <w:szCs w:val="18"/>
              </w:rPr>
            </w:pPr>
            <w:r w:rsidRPr="00BB1C8F">
              <w:rPr>
                <w:sz w:val="18"/>
                <w:szCs w:val="18"/>
              </w:rPr>
              <w:t>370</w:t>
            </w:r>
          </w:p>
        </w:tc>
        <w:tc>
          <w:tcPr>
            <w:tcW w:w="1051" w:type="dxa"/>
            <w:shd w:val="clear" w:color="auto" w:fill="auto"/>
          </w:tcPr>
          <w:p w14:paraId="631F464E" w14:textId="77777777" w:rsidR="00803550" w:rsidRPr="00BB1C8F" w:rsidRDefault="00803550" w:rsidP="00BB1C8F">
            <w:pPr>
              <w:ind w:firstLine="0"/>
              <w:rPr>
                <w:sz w:val="18"/>
                <w:szCs w:val="18"/>
              </w:rPr>
            </w:pPr>
            <w:r w:rsidRPr="00BB1C8F">
              <w:rPr>
                <w:sz w:val="18"/>
                <w:szCs w:val="18"/>
              </w:rPr>
              <w:t>164</w:t>
            </w:r>
          </w:p>
        </w:tc>
        <w:tc>
          <w:tcPr>
            <w:tcW w:w="1134" w:type="dxa"/>
            <w:shd w:val="clear" w:color="auto" w:fill="auto"/>
          </w:tcPr>
          <w:p w14:paraId="41D90C8E" w14:textId="77777777" w:rsidR="00803550" w:rsidRPr="00BB1C8F" w:rsidRDefault="00803550" w:rsidP="00BB1C8F">
            <w:pPr>
              <w:ind w:firstLine="0"/>
              <w:rPr>
                <w:sz w:val="18"/>
                <w:szCs w:val="18"/>
              </w:rPr>
            </w:pPr>
            <w:r w:rsidRPr="00BB1C8F">
              <w:rPr>
                <w:sz w:val="18"/>
                <w:szCs w:val="18"/>
              </w:rPr>
              <w:t>632</w:t>
            </w:r>
          </w:p>
        </w:tc>
        <w:tc>
          <w:tcPr>
            <w:tcW w:w="709" w:type="dxa"/>
            <w:shd w:val="clear" w:color="auto" w:fill="auto"/>
          </w:tcPr>
          <w:p w14:paraId="3EC384D8" w14:textId="77777777" w:rsidR="00803550" w:rsidRPr="00BB1C8F" w:rsidRDefault="00803550" w:rsidP="00BB1C8F">
            <w:pPr>
              <w:ind w:firstLine="0"/>
              <w:rPr>
                <w:sz w:val="18"/>
                <w:szCs w:val="18"/>
              </w:rPr>
            </w:pPr>
            <w:r w:rsidRPr="00BB1C8F">
              <w:rPr>
                <w:sz w:val="18"/>
                <w:szCs w:val="18"/>
              </w:rPr>
              <w:t>141</w:t>
            </w:r>
          </w:p>
        </w:tc>
        <w:tc>
          <w:tcPr>
            <w:tcW w:w="733" w:type="dxa"/>
            <w:gridSpan w:val="2"/>
            <w:shd w:val="clear" w:color="auto" w:fill="auto"/>
          </w:tcPr>
          <w:p w14:paraId="6DCC2377" w14:textId="77777777" w:rsidR="00803550" w:rsidRPr="00BB1C8F" w:rsidRDefault="00803550" w:rsidP="00BB1C8F">
            <w:pPr>
              <w:ind w:firstLine="0"/>
              <w:rPr>
                <w:sz w:val="18"/>
                <w:szCs w:val="18"/>
              </w:rPr>
            </w:pPr>
            <w:r w:rsidRPr="00BB1C8F">
              <w:rPr>
                <w:sz w:val="18"/>
                <w:szCs w:val="18"/>
              </w:rPr>
              <w:t>93</w:t>
            </w:r>
          </w:p>
        </w:tc>
        <w:tc>
          <w:tcPr>
            <w:tcW w:w="968" w:type="dxa"/>
            <w:gridSpan w:val="2"/>
            <w:shd w:val="clear" w:color="auto" w:fill="auto"/>
          </w:tcPr>
          <w:p w14:paraId="4B7973A2" w14:textId="77777777" w:rsidR="00803550" w:rsidRPr="00BB1C8F" w:rsidRDefault="00803550" w:rsidP="00BB1C8F">
            <w:pPr>
              <w:ind w:firstLine="0"/>
              <w:rPr>
                <w:sz w:val="18"/>
                <w:szCs w:val="18"/>
              </w:rPr>
            </w:pPr>
            <w:r w:rsidRPr="00BB1C8F">
              <w:rPr>
                <w:sz w:val="18"/>
                <w:szCs w:val="18"/>
              </w:rPr>
              <w:t>27</w:t>
            </w:r>
          </w:p>
        </w:tc>
      </w:tr>
      <w:tr w:rsidR="00BB1C8F" w:rsidRPr="00BB1C8F" w14:paraId="56489D36" w14:textId="77777777" w:rsidTr="00BB1C8F">
        <w:trPr>
          <w:jc w:val="center"/>
        </w:trPr>
        <w:tc>
          <w:tcPr>
            <w:tcW w:w="766" w:type="dxa"/>
            <w:shd w:val="clear" w:color="auto" w:fill="auto"/>
          </w:tcPr>
          <w:p w14:paraId="31B7D938" w14:textId="77777777" w:rsidR="00803550" w:rsidRPr="00BB1C8F" w:rsidRDefault="00803550" w:rsidP="00BB1C8F">
            <w:pPr>
              <w:ind w:firstLine="0"/>
              <w:rPr>
                <w:sz w:val="18"/>
                <w:szCs w:val="18"/>
              </w:rPr>
            </w:pPr>
            <w:r w:rsidRPr="00BB1C8F">
              <w:rPr>
                <w:sz w:val="18"/>
                <w:szCs w:val="18"/>
              </w:rPr>
              <w:t>2017</w:t>
            </w:r>
          </w:p>
        </w:tc>
        <w:tc>
          <w:tcPr>
            <w:tcW w:w="789" w:type="dxa"/>
            <w:shd w:val="clear" w:color="auto" w:fill="auto"/>
          </w:tcPr>
          <w:p w14:paraId="7514FEA6" w14:textId="77777777" w:rsidR="00803550" w:rsidRPr="00BB1C8F" w:rsidRDefault="00803550" w:rsidP="00BB1C8F">
            <w:pPr>
              <w:ind w:firstLine="0"/>
              <w:rPr>
                <w:sz w:val="18"/>
                <w:szCs w:val="18"/>
              </w:rPr>
            </w:pPr>
            <w:r w:rsidRPr="00BB1C8F">
              <w:rPr>
                <w:sz w:val="18"/>
                <w:szCs w:val="18"/>
              </w:rPr>
              <w:t>58</w:t>
            </w:r>
          </w:p>
        </w:tc>
        <w:tc>
          <w:tcPr>
            <w:tcW w:w="1003" w:type="dxa"/>
            <w:shd w:val="clear" w:color="auto" w:fill="auto"/>
          </w:tcPr>
          <w:p w14:paraId="417A272E" w14:textId="77777777" w:rsidR="00803550" w:rsidRPr="00BB1C8F" w:rsidRDefault="00803550" w:rsidP="00BB1C8F">
            <w:pPr>
              <w:ind w:firstLine="0"/>
              <w:rPr>
                <w:sz w:val="18"/>
                <w:szCs w:val="18"/>
              </w:rPr>
            </w:pPr>
            <w:r w:rsidRPr="00BB1C8F">
              <w:rPr>
                <w:sz w:val="18"/>
                <w:szCs w:val="18"/>
              </w:rPr>
              <w:t>179</w:t>
            </w:r>
          </w:p>
        </w:tc>
        <w:tc>
          <w:tcPr>
            <w:tcW w:w="839" w:type="dxa"/>
            <w:gridSpan w:val="2"/>
            <w:shd w:val="clear" w:color="auto" w:fill="auto"/>
          </w:tcPr>
          <w:p w14:paraId="063DF9BD" w14:textId="77777777" w:rsidR="00803550" w:rsidRPr="00BB1C8F" w:rsidRDefault="00803550" w:rsidP="00BB1C8F">
            <w:pPr>
              <w:ind w:firstLine="0"/>
              <w:rPr>
                <w:sz w:val="18"/>
                <w:szCs w:val="18"/>
              </w:rPr>
            </w:pPr>
            <w:r w:rsidRPr="00BB1C8F">
              <w:rPr>
                <w:sz w:val="18"/>
                <w:szCs w:val="18"/>
              </w:rPr>
              <w:t>585</w:t>
            </w:r>
          </w:p>
        </w:tc>
        <w:tc>
          <w:tcPr>
            <w:tcW w:w="792" w:type="dxa"/>
            <w:gridSpan w:val="2"/>
            <w:shd w:val="clear" w:color="auto" w:fill="auto"/>
          </w:tcPr>
          <w:p w14:paraId="12A27BF7" w14:textId="77777777" w:rsidR="00803550" w:rsidRPr="00BB1C8F" w:rsidRDefault="00803550" w:rsidP="00BB1C8F">
            <w:pPr>
              <w:ind w:firstLine="0"/>
              <w:rPr>
                <w:sz w:val="18"/>
                <w:szCs w:val="18"/>
              </w:rPr>
            </w:pPr>
            <w:r w:rsidRPr="00BB1C8F">
              <w:rPr>
                <w:sz w:val="18"/>
                <w:szCs w:val="18"/>
              </w:rPr>
              <w:t>762</w:t>
            </w:r>
          </w:p>
        </w:tc>
        <w:tc>
          <w:tcPr>
            <w:tcW w:w="1134" w:type="dxa"/>
            <w:gridSpan w:val="3"/>
            <w:shd w:val="clear" w:color="auto" w:fill="auto"/>
          </w:tcPr>
          <w:p w14:paraId="7E7A5DF6" w14:textId="77777777" w:rsidR="00803550" w:rsidRPr="00BB1C8F" w:rsidRDefault="00803550" w:rsidP="00BB1C8F">
            <w:pPr>
              <w:ind w:firstLine="0"/>
              <w:rPr>
                <w:sz w:val="18"/>
                <w:szCs w:val="18"/>
              </w:rPr>
            </w:pPr>
            <w:r w:rsidRPr="00BB1C8F">
              <w:rPr>
                <w:sz w:val="18"/>
                <w:szCs w:val="18"/>
              </w:rPr>
              <w:t>55</w:t>
            </w:r>
          </w:p>
        </w:tc>
        <w:tc>
          <w:tcPr>
            <w:tcW w:w="992" w:type="dxa"/>
            <w:gridSpan w:val="2"/>
            <w:shd w:val="clear" w:color="auto" w:fill="auto"/>
          </w:tcPr>
          <w:p w14:paraId="37739F27" w14:textId="77777777" w:rsidR="00803550" w:rsidRPr="00BB1C8F" w:rsidRDefault="00803550" w:rsidP="00BB1C8F">
            <w:pPr>
              <w:ind w:firstLine="0"/>
              <w:rPr>
                <w:sz w:val="18"/>
                <w:szCs w:val="18"/>
              </w:rPr>
            </w:pPr>
            <w:r w:rsidRPr="00BB1C8F">
              <w:rPr>
                <w:sz w:val="18"/>
                <w:szCs w:val="18"/>
              </w:rPr>
              <w:t>447</w:t>
            </w:r>
          </w:p>
        </w:tc>
        <w:tc>
          <w:tcPr>
            <w:tcW w:w="1051" w:type="dxa"/>
            <w:shd w:val="clear" w:color="auto" w:fill="auto"/>
          </w:tcPr>
          <w:p w14:paraId="69AD6D83" w14:textId="77777777" w:rsidR="00803550" w:rsidRPr="00BB1C8F" w:rsidRDefault="00803550" w:rsidP="00BB1C8F">
            <w:pPr>
              <w:ind w:firstLine="0"/>
              <w:rPr>
                <w:sz w:val="18"/>
                <w:szCs w:val="18"/>
              </w:rPr>
            </w:pPr>
            <w:r w:rsidRPr="00BB1C8F">
              <w:rPr>
                <w:sz w:val="18"/>
                <w:szCs w:val="18"/>
              </w:rPr>
              <w:t>144</w:t>
            </w:r>
          </w:p>
        </w:tc>
        <w:tc>
          <w:tcPr>
            <w:tcW w:w="1134" w:type="dxa"/>
            <w:shd w:val="clear" w:color="auto" w:fill="auto"/>
          </w:tcPr>
          <w:p w14:paraId="3D4F2C55" w14:textId="77777777" w:rsidR="00803550" w:rsidRPr="00BB1C8F" w:rsidRDefault="00803550" w:rsidP="00BB1C8F">
            <w:pPr>
              <w:ind w:firstLine="0"/>
              <w:rPr>
                <w:sz w:val="18"/>
                <w:szCs w:val="18"/>
              </w:rPr>
            </w:pPr>
            <w:r w:rsidRPr="00BB1C8F">
              <w:rPr>
                <w:sz w:val="18"/>
                <w:szCs w:val="18"/>
              </w:rPr>
              <w:t>646</w:t>
            </w:r>
          </w:p>
        </w:tc>
        <w:tc>
          <w:tcPr>
            <w:tcW w:w="709" w:type="dxa"/>
            <w:shd w:val="clear" w:color="auto" w:fill="auto"/>
          </w:tcPr>
          <w:p w14:paraId="21648861" w14:textId="77777777" w:rsidR="00803550" w:rsidRPr="00BB1C8F" w:rsidRDefault="00803550" w:rsidP="00BB1C8F">
            <w:pPr>
              <w:ind w:firstLine="0"/>
              <w:rPr>
                <w:sz w:val="18"/>
                <w:szCs w:val="18"/>
              </w:rPr>
            </w:pPr>
            <w:r w:rsidRPr="00BB1C8F">
              <w:rPr>
                <w:sz w:val="18"/>
                <w:szCs w:val="18"/>
              </w:rPr>
              <w:t>92</w:t>
            </w:r>
          </w:p>
        </w:tc>
        <w:tc>
          <w:tcPr>
            <w:tcW w:w="733" w:type="dxa"/>
            <w:gridSpan w:val="2"/>
            <w:shd w:val="clear" w:color="auto" w:fill="auto"/>
          </w:tcPr>
          <w:p w14:paraId="28D0C05D" w14:textId="77777777" w:rsidR="00803550" w:rsidRPr="00BB1C8F" w:rsidRDefault="00803550" w:rsidP="00BB1C8F">
            <w:pPr>
              <w:ind w:firstLine="0"/>
              <w:rPr>
                <w:sz w:val="18"/>
                <w:szCs w:val="18"/>
              </w:rPr>
            </w:pPr>
            <w:r w:rsidRPr="00BB1C8F">
              <w:rPr>
                <w:sz w:val="18"/>
                <w:szCs w:val="18"/>
              </w:rPr>
              <w:t>24</w:t>
            </w:r>
          </w:p>
        </w:tc>
        <w:tc>
          <w:tcPr>
            <w:tcW w:w="968" w:type="dxa"/>
            <w:gridSpan w:val="2"/>
            <w:shd w:val="clear" w:color="auto" w:fill="auto"/>
          </w:tcPr>
          <w:p w14:paraId="6B70826E" w14:textId="77777777" w:rsidR="00803550" w:rsidRPr="00BB1C8F" w:rsidRDefault="00803550" w:rsidP="00BB1C8F">
            <w:pPr>
              <w:ind w:firstLine="0"/>
              <w:rPr>
                <w:sz w:val="18"/>
                <w:szCs w:val="18"/>
              </w:rPr>
            </w:pPr>
            <w:r w:rsidRPr="00BB1C8F">
              <w:rPr>
                <w:sz w:val="18"/>
                <w:szCs w:val="18"/>
              </w:rPr>
              <w:t>24</w:t>
            </w:r>
          </w:p>
        </w:tc>
      </w:tr>
      <w:tr w:rsidR="00BB1C8F" w:rsidRPr="00BB1C8F" w14:paraId="7694199E" w14:textId="77777777" w:rsidTr="00BB1C8F">
        <w:trPr>
          <w:jc w:val="center"/>
        </w:trPr>
        <w:tc>
          <w:tcPr>
            <w:tcW w:w="766" w:type="dxa"/>
            <w:shd w:val="clear" w:color="auto" w:fill="auto"/>
          </w:tcPr>
          <w:p w14:paraId="3AC40625" w14:textId="77777777" w:rsidR="00803550" w:rsidRPr="00BB1C8F" w:rsidRDefault="00803550" w:rsidP="00BB1C8F">
            <w:pPr>
              <w:ind w:firstLine="0"/>
              <w:rPr>
                <w:sz w:val="18"/>
                <w:szCs w:val="18"/>
              </w:rPr>
            </w:pPr>
            <w:r w:rsidRPr="00BB1C8F">
              <w:rPr>
                <w:sz w:val="18"/>
                <w:szCs w:val="18"/>
              </w:rPr>
              <w:t>2018</w:t>
            </w:r>
          </w:p>
        </w:tc>
        <w:tc>
          <w:tcPr>
            <w:tcW w:w="789" w:type="dxa"/>
            <w:shd w:val="clear" w:color="auto" w:fill="auto"/>
          </w:tcPr>
          <w:p w14:paraId="0D2C9801" w14:textId="77777777" w:rsidR="00803550" w:rsidRPr="00BB1C8F" w:rsidRDefault="00803550" w:rsidP="00BB1C8F">
            <w:pPr>
              <w:ind w:firstLine="0"/>
              <w:rPr>
                <w:sz w:val="18"/>
                <w:szCs w:val="18"/>
              </w:rPr>
            </w:pPr>
            <w:r w:rsidRPr="00BB1C8F">
              <w:rPr>
                <w:sz w:val="18"/>
                <w:szCs w:val="18"/>
              </w:rPr>
              <w:t>62</w:t>
            </w:r>
          </w:p>
        </w:tc>
        <w:tc>
          <w:tcPr>
            <w:tcW w:w="1003" w:type="dxa"/>
            <w:shd w:val="clear" w:color="auto" w:fill="auto"/>
          </w:tcPr>
          <w:p w14:paraId="02D01AAF" w14:textId="77777777" w:rsidR="00803550" w:rsidRPr="00BB1C8F" w:rsidRDefault="00803550" w:rsidP="00BB1C8F">
            <w:pPr>
              <w:ind w:firstLine="0"/>
              <w:rPr>
                <w:sz w:val="18"/>
                <w:szCs w:val="18"/>
              </w:rPr>
            </w:pPr>
            <w:r w:rsidRPr="00BB1C8F">
              <w:rPr>
                <w:sz w:val="18"/>
                <w:szCs w:val="18"/>
              </w:rPr>
              <w:t>291</w:t>
            </w:r>
          </w:p>
        </w:tc>
        <w:tc>
          <w:tcPr>
            <w:tcW w:w="839" w:type="dxa"/>
            <w:gridSpan w:val="2"/>
            <w:shd w:val="clear" w:color="auto" w:fill="auto"/>
          </w:tcPr>
          <w:p w14:paraId="049C6785" w14:textId="77777777" w:rsidR="00803550" w:rsidRPr="00BB1C8F" w:rsidRDefault="00803550" w:rsidP="00BB1C8F">
            <w:pPr>
              <w:ind w:firstLine="0"/>
              <w:rPr>
                <w:sz w:val="18"/>
                <w:szCs w:val="18"/>
              </w:rPr>
            </w:pPr>
            <w:r w:rsidRPr="00BB1C8F">
              <w:rPr>
                <w:sz w:val="18"/>
                <w:szCs w:val="18"/>
              </w:rPr>
              <w:t>886</w:t>
            </w:r>
          </w:p>
        </w:tc>
        <w:tc>
          <w:tcPr>
            <w:tcW w:w="792" w:type="dxa"/>
            <w:gridSpan w:val="2"/>
            <w:shd w:val="clear" w:color="auto" w:fill="auto"/>
          </w:tcPr>
          <w:p w14:paraId="7F3C18C8" w14:textId="77777777" w:rsidR="00803550" w:rsidRPr="00BB1C8F" w:rsidRDefault="00803550" w:rsidP="00BB1C8F">
            <w:pPr>
              <w:ind w:firstLine="0"/>
              <w:rPr>
                <w:sz w:val="18"/>
                <w:szCs w:val="18"/>
              </w:rPr>
            </w:pPr>
            <w:r w:rsidRPr="00BB1C8F">
              <w:rPr>
                <w:sz w:val="18"/>
                <w:szCs w:val="18"/>
              </w:rPr>
              <w:t>1.157</w:t>
            </w:r>
          </w:p>
        </w:tc>
        <w:tc>
          <w:tcPr>
            <w:tcW w:w="1134" w:type="dxa"/>
            <w:gridSpan w:val="3"/>
            <w:shd w:val="clear" w:color="auto" w:fill="auto"/>
          </w:tcPr>
          <w:p w14:paraId="3F8F9BB8" w14:textId="77777777" w:rsidR="00803550" w:rsidRPr="00BB1C8F" w:rsidRDefault="00803550" w:rsidP="00BB1C8F">
            <w:pPr>
              <w:ind w:firstLine="0"/>
              <w:rPr>
                <w:sz w:val="18"/>
                <w:szCs w:val="18"/>
              </w:rPr>
            </w:pPr>
            <w:r w:rsidRPr="00BB1C8F">
              <w:rPr>
                <w:sz w:val="18"/>
                <w:szCs w:val="18"/>
              </w:rPr>
              <w:t>105</w:t>
            </w:r>
          </w:p>
        </w:tc>
        <w:tc>
          <w:tcPr>
            <w:tcW w:w="992" w:type="dxa"/>
            <w:gridSpan w:val="2"/>
            <w:shd w:val="clear" w:color="auto" w:fill="auto"/>
          </w:tcPr>
          <w:p w14:paraId="0355C221" w14:textId="77777777" w:rsidR="00803550" w:rsidRPr="00BB1C8F" w:rsidRDefault="00803550" w:rsidP="00BB1C8F">
            <w:pPr>
              <w:ind w:firstLine="0"/>
              <w:rPr>
                <w:sz w:val="18"/>
                <w:szCs w:val="18"/>
              </w:rPr>
            </w:pPr>
            <w:r w:rsidRPr="00BB1C8F">
              <w:rPr>
                <w:sz w:val="18"/>
                <w:szCs w:val="18"/>
              </w:rPr>
              <w:t>618</w:t>
            </w:r>
          </w:p>
        </w:tc>
        <w:tc>
          <w:tcPr>
            <w:tcW w:w="1051" w:type="dxa"/>
            <w:shd w:val="clear" w:color="auto" w:fill="auto"/>
          </w:tcPr>
          <w:p w14:paraId="0C052F21" w14:textId="77777777" w:rsidR="00803550" w:rsidRPr="00BB1C8F" w:rsidRDefault="00803550" w:rsidP="00BB1C8F">
            <w:pPr>
              <w:ind w:firstLine="0"/>
              <w:rPr>
                <w:sz w:val="18"/>
                <w:szCs w:val="18"/>
              </w:rPr>
            </w:pPr>
            <w:r w:rsidRPr="00BB1C8F">
              <w:rPr>
                <w:sz w:val="18"/>
                <w:szCs w:val="18"/>
              </w:rPr>
              <w:t>197</w:t>
            </w:r>
          </w:p>
        </w:tc>
        <w:tc>
          <w:tcPr>
            <w:tcW w:w="1134" w:type="dxa"/>
            <w:shd w:val="clear" w:color="auto" w:fill="auto"/>
          </w:tcPr>
          <w:p w14:paraId="3DEDAEE0" w14:textId="77777777" w:rsidR="00803550" w:rsidRPr="00BB1C8F" w:rsidRDefault="00803550" w:rsidP="00BB1C8F">
            <w:pPr>
              <w:ind w:firstLine="0"/>
              <w:rPr>
                <w:sz w:val="18"/>
                <w:szCs w:val="18"/>
              </w:rPr>
            </w:pPr>
            <w:r w:rsidRPr="00BB1C8F">
              <w:rPr>
                <w:sz w:val="18"/>
                <w:szCs w:val="18"/>
              </w:rPr>
              <w:t>320</w:t>
            </w:r>
          </w:p>
        </w:tc>
        <w:tc>
          <w:tcPr>
            <w:tcW w:w="709" w:type="dxa"/>
            <w:shd w:val="clear" w:color="auto" w:fill="auto"/>
          </w:tcPr>
          <w:p w14:paraId="625A8F74" w14:textId="77777777" w:rsidR="00803550" w:rsidRPr="00BB1C8F" w:rsidRDefault="00803550" w:rsidP="00BB1C8F">
            <w:pPr>
              <w:ind w:firstLine="0"/>
              <w:rPr>
                <w:sz w:val="18"/>
                <w:szCs w:val="18"/>
              </w:rPr>
            </w:pPr>
            <w:r w:rsidRPr="00BB1C8F">
              <w:rPr>
                <w:sz w:val="18"/>
                <w:szCs w:val="18"/>
              </w:rPr>
              <w:t>126</w:t>
            </w:r>
          </w:p>
        </w:tc>
        <w:tc>
          <w:tcPr>
            <w:tcW w:w="733" w:type="dxa"/>
            <w:gridSpan w:val="2"/>
            <w:shd w:val="clear" w:color="auto" w:fill="auto"/>
          </w:tcPr>
          <w:p w14:paraId="473E4B4D" w14:textId="77777777" w:rsidR="00803550" w:rsidRPr="00BB1C8F" w:rsidRDefault="00803550" w:rsidP="00BB1C8F">
            <w:pPr>
              <w:ind w:firstLine="0"/>
              <w:rPr>
                <w:sz w:val="18"/>
                <w:szCs w:val="18"/>
              </w:rPr>
            </w:pPr>
            <w:r w:rsidRPr="00BB1C8F">
              <w:rPr>
                <w:sz w:val="18"/>
                <w:szCs w:val="18"/>
              </w:rPr>
              <w:t>99</w:t>
            </w:r>
          </w:p>
        </w:tc>
        <w:tc>
          <w:tcPr>
            <w:tcW w:w="968" w:type="dxa"/>
            <w:gridSpan w:val="2"/>
            <w:shd w:val="clear" w:color="auto" w:fill="auto"/>
          </w:tcPr>
          <w:p w14:paraId="3BDBB3F9" w14:textId="77777777" w:rsidR="00803550" w:rsidRPr="00BB1C8F" w:rsidRDefault="00803550" w:rsidP="00BB1C8F">
            <w:pPr>
              <w:ind w:firstLine="0"/>
              <w:rPr>
                <w:sz w:val="18"/>
                <w:szCs w:val="18"/>
              </w:rPr>
            </w:pPr>
            <w:r w:rsidRPr="00BB1C8F">
              <w:rPr>
                <w:sz w:val="18"/>
                <w:szCs w:val="18"/>
              </w:rPr>
              <w:t>27</w:t>
            </w:r>
          </w:p>
        </w:tc>
      </w:tr>
      <w:tr w:rsidR="00BB1C8F" w:rsidRPr="00BB1C8F" w14:paraId="42D89B27" w14:textId="77777777" w:rsidTr="00BB1C8F">
        <w:trPr>
          <w:jc w:val="center"/>
        </w:trPr>
        <w:tc>
          <w:tcPr>
            <w:tcW w:w="766" w:type="dxa"/>
            <w:shd w:val="clear" w:color="auto" w:fill="auto"/>
          </w:tcPr>
          <w:p w14:paraId="2AA7AB26" w14:textId="77777777" w:rsidR="00803550" w:rsidRPr="00BB1C8F" w:rsidRDefault="00803550" w:rsidP="00BB1C8F">
            <w:pPr>
              <w:ind w:firstLine="0"/>
              <w:rPr>
                <w:sz w:val="18"/>
                <w:szCs w:val="18"/>
              </w:rPr>
            </w:pPr>
            <w:r w:rsidRPr="00BB1C8F">
              <w:rPr>
                <w:sz w:val="18"/>
                <w:szCs w:val="18"/>
              </w:rPr>
              <w:t>2019</w:t>
            </w:r>
          </w:p>
        </w:tc>
        <w:tc>
          <w:tcPr>
            <w:tcW w:w="789" w:type="dxa"/>
            <w:shd w:val="clear" w:color="auto" w:fill="auto"/>
          </w:tcPr>
          <w:p w14:paraId="7D5DA83E" w14:textId="77777777" w:rsidR="00803550" w:rsidRPr="00BB1C8F" w:rsidRDefault="00803550" w:rsidP="00BB1C8F">
            <w:pPr>
              <w:ind w:firstLine="0"/>
              <w:rPr>
                <w:sz w:val="18"/>
                <w:szCs w:val="18"/>
              </w:rPr>
            </w:pPr>
            <w:r w:rsidRPr="00BB1C8F">
              <w:rPr>
                <w:sz w:val="18"/>
                <w:szCs w:val="18"/>
              </w:rPr>
              <w:t>42</w:t>
            </w:r>
          </w:p>
        </w:tc>
        <w:tc>
          <w:tcPr>
            <w:tcW w:w="1003" w:type="dxa"/>
            <w:shd w:val="clear" w:color="auto" w:fill="auto"/>
          </w:tcPr>
          <w:p w14:paraId="0D0C51C1" w14:textId="77777777" w:rsidR="00803550" w:rsidRPr="00BB1C8F" w:rsidRDefault="00803550" w:rsidP="00BB1C8F">
            <w:pPr>
              <w:ind w:firstLine="0"/>
              <w:rPr>
                <w:sz w:val="18"/>
                <w:szCs w:val="18"/>
              </w:rPr>
            </w:pPr>
            <w:r w:rsidRPr="00BB1C8F">
              <w:rPr>
                <w:sz w:val="18"/>
                <w:szCs w:val="18"/>
              </w:rPr>
              <w:t>277</w:t>
            </w:r>
          </w:p>
        </w:tc>
        <w:tc>
          <w:tcPr>
            <w:tcW w:w="839" w:type="dxa"/>
            <w:gridSpan w:val="2"/>
            <w:shd w:val="clear" w:color="auto" w:fill="auto"/>
          </w:tcPr>
          <w:p w14:paraId="2CA91D13" w14:textId="77777777" w:rsidR="00803550" w:rsidRPr="00BB1C8F" w:rsidRDefault="00803550" w:rsidP="00BB1C8F">
            <w:pPr>
              <w:ind w:firstLine="0"/>
              <w:rPr>
                <w:sz w:val="18"/>
                <w:szCs w:val="18"/>
              </w:rPr>
            </w:pPr>
            <w:r w:rsidRPr="00BB1C8F">
              <w:rPr>
                <w:sz w:val="18"/>
                <w:szCs w:val="18"/>
              </w:rPr>
              <w:t>772</w:t>
            </w:r>
          </w:p>
        </w:tc>
        <w:tc>
          <w:tcPr>
            <w:tcW w:w="792" w:type="dxa"/>
            <w:gridSpan w:val="2"/>
            <w:shd w:val="clear" w:color="auto" w:fill="auto"/>
          </w:tcPr>
          <w:p w14:paraId="6ECD3213" w14:textId="77777777" w:rsidR="00803550" w:rsidRPr="00BB1C8F" w:rsidRDefault="00803550" w:rsidP="00BB1C8F">
            <w:pPr>
              <w:ind w:firstLine="0"/>
              <w:rPr>
                <w:sz w:val="18"/>
                <w:szCs w:val="18"/>
              </w:rPr>
            </w:pPr>
            <w:r w:rsidRPr="00BB1C8F">
              <w:rPr>
                <w:sz w:val="18"/>
                <w:szCs w:val="18"/>
              </w:rPr>
              <w:t>1,049</w:t>
            </w:r>
          </w:p>
        </w:tc>
        <w:tc>
          <w:tcPr>
            <w:tcW w:w="1134" w:type="dxa"/>
            <w:gridSpan w:val="3"/>
            <w:shd w:val="clear" w:color="auto" w:fill="auto"/>
          </w:tcPr>
          <w:p w14:paraId="5106EA61" w14:textId="77777777" w:rsidR="00803550" w:rsidRPr="00BB1C8F" w:rsidRDefault="00803550" w:rsidP="00BB1C8F">
            <w:pPr>
              <w:ind w:firstLine="0"/>
              <w:rPr>
                <w:sz w:val="18"/>
                <w:szCs w:val="18"/>
              </w:rPr>
            </w:pPr>
            <w:r w:rsidRPr="00BB1C8F">
              <w:rPr>
                <w:sz w:val="18"/>
                <w:szCs w:val="18"/>
              </w:rPr>
              <w:t>38</w:t>
            </w:r>
          </w:p>
        </w:tc>
        <w:tc>
          <w:tcPr>
            <w:tcW w:w="992" w:type="dxa"/>
            <w:gridSpan w:val="2"/>
            <w:shd w:val="clear" w:color="auto" w:fill="auto"/>
          </w:tcPr>
          <w:p w14:paraId="115A5F3C" w14:textId="77777777" w:rsidR="00803550" w:rsidRPr="00BB1C8F" w:rsidRDefault="00803550" w:rsidP="00BB1C8F">
            <w:pPr>
              <w:ind w:firstLine="0"/>
              <w:rPr>
                <w:sz w:val="18"/>
                <w:szCs w:val="18"/>
              </w:rPr>
            </w:pPr>
            <w:r w:rsidRPr="00BB1C8F">
              <w:rPr>
                <w:sz w:val="18"/>
                <w:szCs w:val="18"/>
              </w:rPr>
              <w:t>748</w:t>
            </w:r>
          </w:p>
        </w:tc>
        <w:tc>
          <w:tcPr>
            <w:tcW w:w="1051" w:type="dxa"/>
            <w:shd w:val="clear" w:color="auto" w:fill="auto"/>
          </w:tcPr>
          <w:p w14:paraId="53044C06" w14:textId="77777777" w:rsidR="00803550" w:rsidRPr="00BB1C8F" w:rsidRDefault="00803550" w:rsidP="00BB1C8F">
            <w:pPr>
              <w:ind w:firstLine="0"/>
              <w:rPr>
                <w:sz w:val="18"/>
                <w:szCs w:val="18"/>
              </w:rPr>
            </w:pPr>
            <w:r w:rsidRPr="00BB1C8F">
              <w:rPr>
                <w:sz w:val="18"/>
                <w:szCs w:val="18"/>
              </w:rPr>
              <w:t>106</w:t>
            </w:r>
          </w:p>
        </w:tc>
        <w:tc>
          <w:tcPr>
            <w:tcW w:w="1134" w:type="dxa"/>
            <w:shd w:val="clear" w:color="auto" w:fill="auto"/>
          </w:tcPr>
          <w:p w14:paraId="66E56A1A" w14:textId="77777777" w:rsidR="00803550" w:rsidRPr="00BB1C8F" w:rsidRDefault="00803550" w:rsidP="00BB1C8F">
            <w:pPr>
              <w:ind w:firstLine="0"/>
              <w:rPr>
                <w:sz w:val="18"/>
                <w:szCs w:val="18"/>
              </w:rPr>
            </w:pPr>
            <w:r w:rsidRPr="00BB1C8F">
              <w:rPr>
                <w:sz w:val="18"/>
                <w:szCs w:val="18"/>
              </w:rPr>
              <w:t>892</w:t>
            </w:r>
          </w:p>
        </w:tc>
        <w:tc>
          <w:tcPr>
            <w:tcW w:w="709" w:type="dxa"/>
            <w:shd w:val="clear" w:color="auto" w:fill="auto"/>
          </w:tcPr>
          <w:p w14:paraId="0A24652E" w14:textId="77777777" w:rsidR="00803550" w:rsidRPr="00BB1C8F" w:rsidRDefault="00803550" w:rsidP="00BB1C8F">
            <w:pPr>
              <w:ind w:firstLine="0"/>
              <w:rPr>
                <w:sz w:val="18"/>
                <w:szCs w:val="18"/>
              </w:rPr>
            </w:pPr>
            <w:r w:rsidRPr="00BB1C8F">
              <w:rPr>
                <w:sz w:val="18"/>
                <w:szCs w:val="18"/>
              </w:rPr>
              <w:t>84</w:t>
            </w:r>
          </w:p>
        </w:tc>
        <w:tc>
          <w:tcPr>
            <w:tcW w:w="733" w:type="dxa"/>
            <w:gridSpan w:val="2"/>
            <w:shd w:val="clear" w:color="auto" w:fill="auto"/>
          </w:tcPr>
          <w:p w14:paraId="314A413F" w14:textId="77777777" w:rsidR="00803550" w:rsidRPr="00BB1C8F" w:rsidRDefault="00803550" w:rsidP="00BB1C8F">
            <w:pPr>
              <w:ind w:firstLine="0"/>
              <w:rPr>
                <w:sz w:val="18"/>
                <w:szCs w:val="18"/>
              </w:rPr>
            </w:pPr>
            <w:r w:rsidRPr="00BB1C8F">
              <w:rPr>
                <w:sz w:val="18"/>
                <w:szCs w:val="18"/>
              </w:rPr>
              <w:t>56</w:t>
            </w:r>
          </w:p>
        </w:tc>
        <w:tc>
          <w:tcPr>
            <w:tcW w:w="968" w:type="dxa"/>
            <w:gridSpan w:val="2"/>
            <w:shd w:val="clear" w:color="auto" w:fill="auto"/>
          </w:tcPr>
          <w:p w14:paraId="08B5D5D2" w14:textId="77777777" w:rsidR="00803550" w:rsidRPr="00BB1C8F" w:rsidRDefault="00803550" w:rsidP="00BB1C8F">
            <w:pPr>
              <w:ind w:firstLine="0"/>
              <w:rPr>
                <w:sz w:val="18"/>
                <w:szCs w:val="18"/>
              </w:rPr>
            </w:pPr>
            <w:r w:rsidRPr="00BB1C8F">
              <w:rPr>
                <w:sz w:val="18"/>
                <w:szCs w:val="18"/>
              </w:rPr>
              <w:t>27</w:t>
            </w:r>
          </w:p>
        </w:tc>
      </w:tr>
      <w:tr w:rsidR="00BB1C8F" w:rsidRPr="00BB1C8F" w14:paraId="644096C6" w14:textId="77777777" w:rsidTr="00BB1C8F">
        <w:trPr>
          <w:jc w:val="center"/>
        </w:trPr>
        <w:tc>
          <w:tcPr>
            <w:tcW w:w="1555" w:type="dxa"/>
            <w:gridSpan w:val="2"/>
            <w:shd w:val="clear" w:color="auto" w:fill="auto"/>
          </w:tcPr>
          <w:p w14:paraId="0AC4F40C" w14:textId="77777777" w:rsidR="00803550" w:rsidRPr="00BB1C8F" w:rsidRDefault="00803550" w:rsidP="00BB1C8F">
            <w:pPr>
              <w:ind w:firstLine="0"/>
              <w:rPr>
                <w:sz w:val="18"/>
                <w:szCs w:val="18"/>
              </w:rPr>
            </w:pPr>
            <w:r w:rsidRPr="00BB1C8F">
              <w:rPr>
                <w:sz w:val="18"/>
                <w:szCs w:val="18"/>
              </w:rPr>
              <w:t>TOTAL</w:t>
            </w:r>
          </w:p>
        </w:tc>
        <w:tc>
          <w:tcPr>
            <w:tcW w:w="1011" w:type="dxa"/>
            <w:gridSpan w:val="2"/>
            <w:shd w:val="clear" w:color="auto" w:fill="auto"/>
          </w:tcPr>
          <w:p w14:paraId="40D331C6" w14:textId="77777777" w:rsidR="00803550" w:rsidRPr="00BB1C8F" w:rsidRDefault="00803550" w:rsidP="00BB1C8F">
            <w:pPr>
              <w:ind w:firstLine="0"/>
              <w:rPr>
                <w:sz w:val="18"/>
                <w:szCs w:val="18"/>
              </w:rPr>
            </w:pPr>
            <w:r w:rsidRPr="00BB1C8F">
              <w:rPr>
                <w:sz w:val="18"/>
                <w:szCs w:val="18"/>
              </w:rPr>
              <w:t>1,309</w:t>
            </w:r>
          </w:p>
        </w:tc>
        <w:tc>
          <w:tcPr>
            <w:tcW w:w="831" w:type="dxa"/>
            <w:shd w:val="clear" w:color="auto" w:fill="auto"/>
          </w:tcPr>
          <w:p w14:paraId="0129425D" w14:textId="77777777" w:rsidR="00803550" w:rsidRPr="00BB1C8F" w:rsidRDefault="00803550" w:rsidP="00BB1C8F">
            <w:pPr>
              <w:ind w:firstLine="0"/>
              <w:rPr>
                <w:sz w:val="18"/>
                <w:szCs w:val="18"/>
              </w:rPr>
            </w:pPr>
            <w:r w:rsidRPr="00BB1C8F">
              <w:rPr>
                <w:sz w:val="18"/>
                <w:szCs w:val="18"/>
              </w:rPr>
              <w:t>4,121</w:t>
            </w:r>
          </w:p>
        </w:tc>
        <w:tc>
          <w:tcPr>
            <w:tcW w:w="784" w:type="dxa"/>
            <w:shd w:val="clear" w:color="auto" w:fill="auto"/>
          </w:tcPr>
          <w:p w14:paraId="26E39D90" w14:textId="77777777" w:rsidR="00803550" w:rsidRPr="00BB1C8F" w:rsidRDefault="00803550" w:rsidP="00BB1C8F">
            <w:pPr>
              <w:ind w:firstLine="0"/>
              <w:rPr>
                <w:sz w:val="18"/>
                <w:szCs w:val="18"/>
              </w:rPr>
            </w:pPr>
            <w:r w:rsidRPr="00BB1C8F">
              <w:rPr>
                <w:sz w:val="18"/>
                <w:szCs w:val="18"/>
              </w:rPr>
              <w:t>5,230</w:t>
            </w:r>
          </w:p>
        </w:tc>
        <w:tc>
          <w:tcPr>
            <w:tcW w:w="1134" w:type="dxa"/>
            <w:gridSpan w:val="3"/>
            <w:shd w:val="clear" w:color="auto" w:fill="auto"/>
          </w:tcPr>
          <w:p w14:paraId="05206480" w14:textId="77777777" w:rsidR="00803550" w:rsidRPr="00BB1C8F" w:rsidRDefault="00803550" w:rsidP="00BB1C8F">
            <w:pPr>
              <w:ind w:firstLine="0"/>
              <w:rPr>
                <w:sz w:val="18"/>
                <w:szCs w:val="18"/>
              </w:rPr>
            </w:pPr>
            <w:r w:rsidRPr="00BB1C8F">
              <w:rPr>
                <w:sz w:val="18"/>
                <w:szCs w:val="18"/>
              </w:rPr>
              <w:t>380</w:t>
            </w:r>
          </w:p>
        </w:tc>
        <w:tc>
          <w:tcPr>
            <w:tcW w:w="992" w:type="dxa"/>
            <w:gridSpan w:val="2"/>
            <w:shd w:val="clear" w:color="auto" w:fill="auto"/>
          </w:tcPr>
          <w:p w14:paraId="46BC308B" w14:textId="77777777" w:rsidR="00803550" w:rsidRPr="00BB1C8F" w:rsidRDefault="00803550" w:rsidP="00BB1C8F">
            <w:pPr>
              <w:ind w:firstLine="0"/>
              <w:rPr>
                <w:sz w:val="18"/>
                <w:szCs w:val="18"/>
              </w:rPr>
            </w:pPr>
            <w:r w:rsidRPr="00BB1C8F">
              <w:rPr>
                <w:sz w:val="18"/>
                <w:szCs w:val="18"/>
              </w:rPr>
              <w:t>2,597</w:t>
            </w:r>
          </w:p>
        </w:tc>
        <w:tc>
          <w:tcPr>
            <w:tcW w:w="1059" w:type="dxa"/>
            <w:gridSpan w:val="2"/>
            <w:shd w:val="clear" w:color="auto" w:fill="auto"/>
          </w:tcPr>
          <w:p w14:paraId="3C9F22DE" w14:textId="77777777" w:rsidR="00803550" w:rsidRPr="00BB1C8F" w:rsidRDefault="00803550" w:rsidP="00BB1C8F">
            <w:pPr>
              <w:ind w:firstLine="0"/>
              <w:rPr>
                <w:sz w:val="18"/>
                <w:szCs w:val="18"/>
              </w:rPr>
            </w:pPr>
            <w:r w:rsidRPr="00BB1C8F">
              <w:rPr>
                <w:sz w:val="18"/>
                <w:szCs w:val="18"/>
              </w:rPr>
              <w:t>1,491</w:t>
            </w:r>
          </w:p>
        </w:tc>
        <w:tc>
          <w:tcPr>
            <w:tcW w:w="1134" w:type="dxa"/>
            <w:shd w:val="clear" w:color="auto" w:fill="auto"/>
          </w:tcPr>
          <w:p w14:paraId="4009830D" w14:textId="77777777" w:rsidR="00803550" w:rsidRPr="00BB1C8F" w:rsidRDefault="00803550" w:rsidP="00BB1C8F">
            <w:pPr>
              <w:ind w:firstLine="0"/>
              <w:rPr>
                <w:sz w:val="18"/>
                <w:szCs w:val="18"/>
              </w:rPr>
            </w:pPr>
            <w:r w:rsidRPr="00BB1C8F">
              <w:rPr>
                <w:sz w:val="18"/>
                <w:szCs w:val="18"/>
              </w:rPr>
              <w:t>4,468</w:t>
            </w:r>
          </w:p>
        </w:tc>
        <w:tc>
          <w:tcPr>
            <w:tcW w:w="709" w:type="dxa"/>
            <w:shd w:val="clear" w:color="auto" w:fill="auto"/>
          </w:tcPr>
          <w:p w14:paraId="47F572D9" w14:textId="77777777" w:rsidR="00803550" w:rsidRPr="00BB1C8F" w:rsidRDefault="00803550" w:rsidP="00BB1C8F">
            <w:pPr>
              <w:ind w:firstLine="0"/>
              <w:rPr>
                <w:sz w:val="18"/>
                <w:szCs w:val="18"/>
              </w:rPr>
            </w:pPr>
            <w:r w:rsidRPr="00BB1C8F">
              <w:rPr>
                <w:sz w:val="18"/>
                <w:szCs w:val="18"/>
              </w:rPr>
              <w:t>578</w:t>
            </w:r>
          </w:p>
        </w:tc>
        <w:tc>
          <w:tcPr>
            <w:tcW w:w="725" w:type="dxa"/>
            <w:shd w:val="clear" w:color="auto" w:fill="auto"/>
          </w:tcPr>
          <w:p w14:paraId="2E43C29A" w14:textId="77777777" w:rsidR="00803550" w:rsidRPr="00BB1C8F" w:rsidRDefault="00803550" w:rsidP="00BB1C8F">
            <w:pPr>
              <w:ind w:firstLine="0"/>
              <w:rPr>
                <w:sz w:val="18"/>
                <w:szCs w:val="18"/>
              </w:rPr>
            </w:pPr>
            <w:r w:rsidRPr="00BB1C8F">
              <w:rPr>
                <w:sz w:val="18"/>
                <w:szCs w:val="18"/>
              </w:rPr>
              <w:t>340</w:t>
            </w:r>
          </w:p>
        </w:tc>
        <w:tc>
          <w:tcPr>
            <w:tcW w:w="976" w:type="dxa"/>
            <w:gridSpan w:val="3"/>
            <w:shd w:val="clear" w:color="auto" w:fill="auto"/>
          </w:tcPr>
          <w:p w14:paraId="788D6AA1" w14:textId="77777777" w:rsidR="00803550" w:rsidRPr="00BB1C8F" w:rsidRDefault="00803550" w:rsidP="00BB1C8F">
            <w:pPr>
              <w:ind w:firstLine="0"/>
              <w:rPr>
                <w:sz w:val="18"/>
                <w:szCs w:val="18"/>
              </w:rPr>
            </w:pPr>
            <w:r w:rsidRPr="00BB1C8F">
              <w:rPr>
                <w:sz w:val="18"/>
                <w:szCs w:val="18"/>
              </w:rPr>
              <w:t>151</w:t>
            </w:r>
          </w:p>
        </w:tc>
      </w:tr>
    </w:tbl>
    <w:p w14:paraId="1CE5268A" w14:textId="77777777" w:rsidR="00803550" w:rsidRPr="00BB1C8F" w:rsidRDefault="00803550" w:rsidP="00803550">
      <w:pPr>
        <w:spacing w:line="360" w:lineRule="auto"/>
        <w:ind w:left="425" w:firstLine="708"/>
        <w:rPr>
          <w:szCs w:val="22"/>
        </w:rPr>
      </w:pPr>
      <w:r w:rsidRPr="00BB1C8F">
        <w:rPr>
          <w:szCs w:val="22"/>
        </w:rPr>
        <w:t>Meanwhile, the number of decisions objected to in the last 5 (five) years, namely 151. However, based on the second report, the Supreme Court cassation panel for the last five months (before this news was released on 4/10/2017), has annulled 127 BPSK decisions.</w:t>
      </w:r>
      <w:r w:rsidRPr="00BB1C8F">
        <w:rPr>
          <w:rStyle w:val="FootnoteReference"/>
          <w:szCs w:val="22"/>
        </w:rPr>
        <w:footnoteReference w:id="17"/>
      </w:r>
      <w:r w:rsidRPr="00BB1C8F">
        <w:rPr>
          <w:szCs w:val="22"/>
        </w:rPr>
        <w:t>Meanwhile, based on the Supreme Court's decision directory page, data on civil decisions specifically for consumer protection were obtained as many as 1,389. A total of 830 cassation decisions were inkracht and the remaining 828,611 decisions were first level.</w:t>
      </w:r>
      <w:r w:rsidRPr="00BB1C8F">
        <w:rPr>
          <w:rStyle w:val="FootnoteReference"/>
          <w:szCs w:val="22"/>
        </w:rPr>
        <w:footnoteReference w:id="18"/>
      </w:r>
    </w:p>
    <w:p w14:paraId="1E04323C" w14:textId="77777777" w:rsidR="00803550" w:rsidRPr="00BB1C8F" w:rsidRDefault="00803550" w:rsidP="00803550">
      <w:pPr>
        <w:spacing w:line="360" w:lineRule="auto"/>
        <w:ind w:left="425" w:firstLine="708"/>
        <w:rPr>
          <w:szCs w:val="22"/>
        </w:rPr>
      </w:pPr>
      <w:r w:rsidRPr="00BB1C8F">
        <w:rPr>
          <w:szCs w:val="22"/>
        </w:rPr>
        <w:t>Based on the empirical facts above, of course it will cause disappointment for consumers who will and have used BPSK. According to the author, it is important to see consumer dispute resolution practices in other countries as a comparison in carrying out legal reforms,</w:t>
      </w:r>
      <w:r w:rsidRPr="00BB1C8F">
        <w:rPr>
          <w:rStyle w:val="FootnoteReference"/>
          <w:szCs w:val="22"/>
        </w:rPr>
        <w:footnoteReference w:id="19"/>
      </w:r>
      <w:r w:rsidRPr="00BB1C8F">
        <w:rPr>
          <w:szCs w:val="22"/>
        </w:rPr>
        <w:t>Malaysia, for example, has a protection law that is the same year it was enacted as a consumer protection law in Indonesia, namely 1999, and also has a consumer dispute resolution institution similar to BPSK, namely the Malaysian User Claims Tribunal (TTPM),</w:t>
      </w:r>
      <w:r w:rsidRPr="00BB1C8F">
        <w:rPr>
          <w:rStyle w:val="FootnoteReference"/>
          <w:szCs w:val="22"/>
        </w:rPr>
        <w:footnoteReference w:id="20"/>
      </w:r>
      <w:r w:rsidRPr="00BB1C8F">
        <w:rPr>
          <w:szCs w:val="22"/>
        </w:rPr>
        <w:t>formed under the User Protection Act 1999.</w:t>
      </w:r>
      <w:r w:rsidRPr="00BB1C8F">
        <w:rPr>
          <w:rStyle w:val="FootnoteReference"/>
          <w:szCs w:val="22"/>
        </w:rPr>
        <w:footnoteReference w:id="21"/>
      </w:r>
    </w:p>
    <w:p w14:paraId="2207E0D2" w14:textId="77777777" w:rsidR="00803550" w:rsidRPr="00BB1C8F" w:rsidRDefault="00803550" w:rsidP="00803550">
      <w:pPr>
        <w:spacing w:line="360" w:lineRule="auto"/>
        <w:ind w:left="425" w:firstLine="708"/>
        <w:rPr>
          <w:szCs w:val="22"/>
        </w:rPr>
      </w:pPr>
      <w:r w:rsidRPr="00BB1C8F">
        <w:rPr>
          <w:szCs w:val="22"/>
        </w:rPr>
        <w:t>The 1999 Malaysia User Protection Act, even though it was ratified in the same year as the Indonesian consumer protection law, has currently undergone 8 (eight) amendments, namely in 2002, 2003, 2007, 2010, 2015, 2017 and 2019. One of the materials amended is an increase in the amount of losses that can be settled in TTPM, which was initially limited to a maximum of RM.10,000 to RM.25,000 (amendment 2003), then from RM. 25,000 to RM.50,000 (2019 amendment).</w:t>
      </w:r>
      <w:r w:rsidRPr="00BB1C8F">
        <w:rPr>
          <w:rStyle w:val="FootnoteReference"/>
          <w:szCs w:val="22"/>
        </w:rPr>
        <w:footnoteReference w:id="22"/>
      </w:r>
    </w:p>
    <w:p w14:paraId="23489489" w14:textId="77777777" w:rsidR="00803550" w:rsidRPr="00BB1C8F" w:rsidRDefault="00803550" w:rsidP="00803550">
      <w:pPr>
        <w:spacing w:line="360" w:lineRule="auto"/>
        <w:ind w:left="425" w:firstLine="708"/>
        <w:rPr>
          <w:szCs w:val="22"/>
        </w:rPr>
      </w:pPr>
      <w:r w:rsidRPr="00BB1C8F">
        <w:rPr>
          <w:szCs w:val="22"/>
        </w:rPr>
        <w:lastRenderedPageBreak/>
        <w:t>During the 2000-2005 period, TTPM did not fail in resolving consumer disputes, as shown in the table below:</w:t>
      </w:r>
      <w:r w:rsidRPr="00BB1C8F">
        <w:rPr>
          <w:rStyle w:val="FootnoteReference"/>
          <w:szCs w:val="22"/>
        </w:rPr>
        <w:footnoteReference w:id="23"/>
      </w:r>
    </w:p>
    <w:tbl>
      <w:tblPr>
        <w:tblW w:w="0" w:type="auto"/>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849"/>
        <w:gridCol w:w="918"/>
        <w:gridCol w:w="980"/>
        <w:gridCol w:w="820"/>
        <w:gridCol w:w="1161"/>
        <w:gridCol w:w="833"/>
        <w:gridCol w:w="1052"/>
        <w:gridCol w:w="1202"/>
      </w:tblGrid>
      <w:tr w:rsidR="00803550" w:rsidRPr="00BB1C8F" w14:paraId="362F287D" w14:textId="77777777" w:rsidTr="00250022">
        <w:tc>
          <w:tcPr>
            <w:tcW w:w="795" w:type="dxa"/>
            <w:vMerge w:val="restart"/>
            <w:shd w:val="clear" w:color="auto" w:fill="auto"/>
          </w:tcPr>
          <w:p w14:paraId="327700BF" w14:textId="77777777" w:rsidR="00803550" w:rsidRPr="00BB1C8F" w:rsidRDefault="00803550" w:rsidP="00250022">
            <w:pPr>
              <w:rPr>
                <w:sz w:val="16"/>
                <w:szCs w:val="16"/>
              </w:rPr>
            </w:pPr>
            <w:r w:rsidRPr="00BB1C8F">
              <w:rPr>
                <w:sz w:val="16"/>
                <w:szCs w:val="16"/>
              </w:rPr>
              <w:t>Year</w:t>
            </w:r>
          </w:p>
        </w:tc>
        <w:tc>
          <w:tcPr>
            <w:tcW w:w="1033" w:type="dxa"/>
            <w:vMerge w:val="restart"/>
            <w:shd w:val="clear" w:color="auto" w:fill="auto"/>
          </w:tcPr>
          <w:p w14:paraId="1A6462FA" w14:textId="77777777" w:rsidR="00803550" w:rsidRPr="00BB1C8F" w:rsidRDefault="00803550" w:rsidP="00250022">
            <w:pPr>
              <w:rPr>
                <w:sz w:val="16"/>
                <w:szCs w:val="16"/>
              </w:rPr>
            </w:pPr>
            <w:r w:rsidRPr="00BB1C8F">
              <w:rPr>
                <w:sz w:val="16"/>
                <w:szCs w:val="16"/>
              </w:rPr>
              <w:t>Total Claims</w:t>
            </w:r>
          </w:p>
        </w:tc>
        <w:tc>
          <w:tcPr>
            <w:tcW w:w="1463" w:type="dxa"/>
            <w:gridSpan w:val="2"/>
            <w:shd w:val="clear" w:color="auto" w:fill="auto"/>
          </w:tcPr>
          <w:p w14:paraId="1835BE28" w14:textId="77777777" w:rsidR="00803550" w:rsidRPr="00BB1C8F" w:rsidRDefault="00803550" w:rsidP="00250022">
            <w:pPr>
              <w:rPr>
                <w:sz w:val="16"/>
                <w:szCs w:val="16"/>
              </w:rPr>
            </w:pPr>
            <w:r w:rsidRPr="00BB1C8F">
              <w:rPr>
                <w:sz w:val="16"/>
                <w:szCs w:val="16"/>
              </w:rPr>
              <w:t>Claim Type</w:t>
            </w:r>
          </w:p>
        </w:tc>
        <w:tc>
          <w:tcPr>
            <w:tcW w:w="2973" w:type="dxa"/>
            <w:gridSpan w:val="3"/>
            <w:shd w:val="clear" w:color="auto" w:fill="auto"/>
          </w:tcPr>
          <w:p w14:paraId="60CCB3E2" w14:textId="77777777" w:rsidR="00803550" w:rsidRPr="00BB1C8F" w:rsidRDefault="00803550" w:rsidP="00250022">
            <w:pPr>
              <w:rPr>
                <w:sz w:val="16"/>
                <w:szCs w:val="16"/>
              </w:rPr>
            </w:pPr>
            <w:r w:rsidRPr="00BB1C8F">
              <w:rPr>
                <w:sz w:val="16"/>
                <w:szCs w:val="16"/>
              </w:rPr>
              <w:t>Settlement Method</w:t>
            </w:r>
          </w:p>
        </w:tc>
        <w:tc>
          <w:tcPr>
            <w:tcW w:w="870" w:type="dxa"/>
            <w:vMerge w:val="restart"/>
            <w:shd w:val="clear" w:color="auto" w:fill="auto"/>
          </w:tcPr>
          <w:p w14:paraId="281DDD83" w14:textId="77777777" w:rsidR="00803550" w:rsidRPr="00BB1C8F" w:rsidRDefault="00803550" w:rsidP="00250022">
            <w:pPr>
              <w:rPr>
                <w:sz w:val="16"/>
                <w:szCs w:val="16"/>
              </w:rPr>
            </w:pPr>
            <w:r w:rsidRPr="00BB1C8F">
              <w:rPr>
                <w:sz w:val="16"/>
                <w:szCs w:val="16"/>
              </w:rPr>
              <w:t>Finished amount</w:t>
            </w:r>
          </w:p>
        </w:tc>
        <w:tc>
          <w:tcPr>
            <w:tcW w:w="594" w:type="dxa"/>
            <w:vMerge w:val="restart"/>
            <w:shd w:val="clear" w:color="auto" w:fill="auto"/>
          </w:tcPr>
          <w:p w14:paraId="1CC7C076" w14:textId="77777777" w:rsidR="00803550" w:rsidRPr="00BB1C8F" w:rsidRDefault="00803550" w:rsidP="00250022">
            <w:pPr>
              <w:rPr>
                <w:sz w:val="16"/>
                <w:szCs w:val="16"/>
              </w:rPr>
            </w:pPr>
            <w:r w:rsidRPr="00BB1C8F">
              <w:rPr>
                <w:sz w:val="16"/>
                <w:szCs w:val="16"/>
              </w:rPr>
              <w:t>Remainder</w:t>
            </w:r>
          </w:p>
        </w:tc>
      </w:tr>
      <w:tr w:rsidR="00803550" w:rsidRPr="00BB1C8F" w14:paraId="2E446B6F" w14:textId="77777777" w:rsidTr="00250022">
        <w:tc>
          <w:tcPr>
            <w:tcW w:w="795" w:type="dxa"/>
            <w:vMerge/>
            <w:shd w:val="clear" w:color="auto" w:fill="auto"/>
          </w:tcPr>
          <w:p w14:paraId="4A311109" w14:textId="77777777" w:rsidR="00803550" w:rsidRPr="00BB1C8F" w:rsidRDefault="00803550" w:rsidP="00250022">
            <w:pPr>
              <w:rPr>
                <w:sz w:val="16"/>
                <w:szCs w:val="16"/>
              </w:rPr>
            </w:pPr>
          </w:p>
        </w:tc>
        <w:tc>
          <w:tcPr>
            <w:tcW w:w="1033" w:type="dxa"/>
            <w:vMerge/>
            <w:shd w:val="clear" w:color="auto" w:fill="auto"/>
          </w:tcPr>
          <w:p w14:paraId="57676700" w14:textId="77777777" w:rsidR="00803550" w:rsidRPr="00BB1C8F" w:rsidRDefault="00803550" w:rsidP="00250022">
            <w:pPr>
              <w:rPr>
                <w:sz w:val="16"/>
                <w:szCs w:val="16"/>
              </w:rPr>
            </w:pPr>
          </w:p>
        </w:tc>
        <w:tc>
          <w:tcPr>
            <w:tcW w:w="870" w:type="dxa"/>
            <w:shd w:val="clear" w:color="auto" w:fill="auto"/>
          </w:tcPr>
          <w:p w14:paraId="34E757F2" w14:textId="77777777" w:rsidR="00803550" w:rsidRPr="00BB1C8F" w:rsidRDefault="00803550" w:rsidP="00250022">
            <w:pPr>
              <w:rPr>
                <w:sz w:val="16"/>
                <w:szCs w:val="16"/>
              </w:rPr>
            </w:pPr>
            <w:r w:rsidRPr="00BB1C8F">
              <w:rPr>
                <w:sz w:val="16"/>
                <w:szCs w:val="16"/>
              </w:rPr>
              <w:t>Goods</w:t>
            </w:r>
          </w:p>
        </w:tc>
        <w:tc>
          <w:tcPr>
            <w:tcW w:w="593" w:type="dxa"/>
            <w:shd w:val="clear" w:color="auto" w:fill="auto"/>
          </w:tcPr>
          <w:p w14:paraId="2A25BCCD" w14:textId="77777777" w:rsidR="00803550" w:rsidRPr="00BB1C8F" w:rsidRDefault="00803550" w:rsidP="00250022">
            <w:pPr>
              <w:rPr>
                <w:sz w:val="16"/>
                <w:szCs w:val="16"/>
              </w:rPr>
            </w:pPr>
            <w:r w:rsidRPr="00BB1C8F">
              <w:rPr>
                <w:sz w:val="16"/>
                <w:szCs w:val="16"/>
              </w:rPr>
              <w:t>Service</w:t>
            </w:r>
          </w:p>
        </w:tc>
        <w:tc>
          <w:tcPr>
            <w:tcW w:w="706" w:type="dxa"/>
            <w:shd w:val="clear" w:color="auto" w:fill="auto"/>
          </w:tcPr>
          <w:p w14:paraId="04C8CECE" w14:textId="77777777" w:rsidR="00803550" w:rsidRPr="00BB1C8F" w:rsidRDefault="00803550" w:rsidP="00250022">
            <w:pPr>
              <w:rPr>
                <w:sz w:val="16"/>
                <w:szCs w:val="16"/>
              </w:rPr>
            </w:pPr>
            <w:r w:rsidRPr="00BB1C8F">
              <w:rPr>
                <w:sz w:val="16"/>
                <w:szCs w:val="16"/>
              </w:rPr>
              <w:t>Pull Back</w:t>
            </w:r>
          </w:p>
        </w:tc>
        <w:tc>
          <w:tcPr>
            <w:tcW w:w="1215" w:type="dxa"/>
            <w:shd w:val="clear" w:color="auto" w:fill="auto"/>
          </w:tcPr>
          <w:p w14:paraId="26B26F82" w14:textId="77777777" w:rsidR="00803550" w:rsidRPr="00BB1C8F" w:rsidRDefault="00803550" w:rsidP="00250022">
            <w:pPr>
              <w:rPr>
                <w:sz w:val="16"/>
                <w:szCs w:val="16"/>
              </w:rPr>
            </w:pPr>
            <w:r w:rsidRPr="00BB1C8F">
              <w:rPr>
                <w:sz w:val="16"/>
                <w:szCs w:val="16"/>
              </w:rPr>
              <w:t>Mediation</w:t>
            </w:r>
          </w:p>
        </w:tc>
        <w:tc>
          <w:tcPr>
            <w:tcW w:w="1052" w:type="dxa"/>
            <w:shd w:val="clear" w:color="auto" w:fill="auto"/>
          </w:tcPr>
          <w:p w14:paraId="266C8A52" w14:textId="77777777" w:rsidR="00803550" w:rsidRPr="00BB1C8F" w:rsidRDefault="00803550" w:rsidP="00250022">
            <w:pPr>
              <w:rPr>
                <w:sz w:val="16"/>
                <w:szCs w:val="16"/>
              </w:rPr>
            </w:pPr>
            <w:r w:rsidRPr="00BB1C8F">
              <w:rPr>
                <w:sz w:val="16"/>
                <w:szCs w:val="16"/>
              </w:rPr>
              <w:t>The judge</w:t>
            </w:r>
          </w:p>
        </w:tc>
        <w:tc>
          <w:tcPr>
            <w:tcW w:w="870" w:type="dxa"/>
            <w:vMerge/>
            <w:shd w:val="clear" w:color="auto" w:fill="auto"/>
          </w:tcPr>
          <w:p w14:paraId="2D033931" w14:textId="77777777" w:rsidR="00803550" w:rsidRPr="00BB1C8F" w:rsidRDefault="00803550" w:rsidP="00250022">
            <w:pPr>
              <w:rPr>
                <w:sz w:val="16"/>
                <w:szCs w:val="16"/>
              </w:rPr>
            </w:pPr>
          </w:p>
        </w:tc>
        <w:tc>
          <w:tcPr>
            <w:tcW w:w="594" w:type="dxa"/>
            <w:vMerge/>
            <w:shd w:val="clear" w:color="auto" w:fill="auto"/>
          </w:tcPr>
          <w:p w14:paraId="6FB5D8A0" w14:textId="77777777" w:rsidR="00803550" w:rsidRPr="00BB1C8F" w:rsidRDefault="00803550" w:rsidP="00250022">
            <w:pPr>
              <w:rPr>
                <w:sz w:val="16"/>
                <w:szCs w:val="16"/>
              </w:rPr>
            </w:pPr>
          </w:p>
        </w:tc>
      </w:tr>
      <w:tr w:rsidR="00803550" w:rsidRPr="00BB1C8F" w14:paraId="565DC33D" w14:textId="77777777" w:rsidTr="00250022">
        <w:tc>
          <w:tcPr>
            <w:tcW w:w="795" w:type="dxa"/>
            <w:shd w:val="clear" w:color="auto" w:fill="auto"/>
          </w:tcPr>
          <w:p w14:paraId="11DA5E2A" w14:textId="77777777" w:rsidR="00803550" w:rsidRPr="00BB1C8F" w:rsidRDefault="00803550" w:rsidP="00250022">
            <w:pPr>
              <w:rPr>
                <w:sz w:val="16"/>
                <w:szCs w:val="16"/>
              </w:rPr>
            </w:pPr>
            <w:r w:rsidRPr="00BB1C8F">
              <w:rPr>
                <w:sz w:val="16"/>
                <w:szCs w:val="16"/>
              </w:rPr>
              <w:t>2000</w:t>
            </w:r>
          </w:p>
        </w:tc>
        <w:tc>
          <w:tcPr>
            <w:tcW w:w="1033" w:type="dxa"/>
            <w:shd w:val="clear" w:color="auto" w:fill="auto"/>
          </w:tcPr>
          <w:p w14:paraId="015B26C3" w14:textId="77777777" w:rsidR="00803550" w:rsidRPr="00BB1C8F" w:rsidRDefault="00803550" w:rsidP="00250022">
            <w:pPr>
              <w:rPr>
                <w:sz w:val="16"/>
                <w:szCs w:val="16"/>
              </w:rPr>
            </w:pPr>
            <w:r w:rsidRPr="00BB1C8F">
              <w:rPr>
                <w:sz w:val="16"/>
                <w:szCs w:val="16"/>
              </w:rPr>
              <w:t>291</w:t>
            </w:r>
          </w:p>
        </w:tc>
        <w:tc>
          <w:tcPr>
            <w:tcW w:w="870" w:type="dxa"/>
            <w:shd w:val="clear" w:color="auto" w:fill="auto"/>
          </w:tcPr>
          <w:p w14:paraId="20EAAE7B" w14:textId="77777777" w:rsidR="00803550" w:rsidRPr="00BB1C8F" w:rsidRDefault="00803550" w:rsidP="00250022">
            <w:pPr>
              <w:rPr>
                <w:sz w:val="16"/>
                <w:szCs w:val="16"/>
              </w:rPr>
            </w:pPr>
            <w:r w:rsidRPr="00BB1C8F">
              <w:rPr>
                <w:sz w:val="16"/>
                <w:szCs w:val="16"/>
              </w:rPr>
              <w:t>221</w:t>
            </w:r>
          </w:p>
        </w:tc>
        <w:tc>
          <w:tcPr>
            <w:tcW w:w="593" w:type="dxa"/>
            <w:shd w:val="clear" w:color="auto" w:fill="auto"/>
          </w:tcPr>
          <w:p w14:paraId="66345B88" w14:textId="77777777" w:rsidR="00803550" w:rsidRPr="00BB1C8F" w:rsidRDefault="00803550" w:rsidP="00250022">
            <w:pPr>
              <w:rPr>
                <w:sz w:val="16"/>
                <w:szCs w:val="16"/>
              </w:rPr>
            </w:pPr>
            <w:r w:rsidRPr="00BB1C8F">
              <w:rPr>
                <w:sz w:val="16"/>
                <w:szCs w:val="16"/>
              </w:rPr>
              <w:t>70</w:t>
            </w:r>
          </w:p>
        </w:tc>
        <w:tc>
          <w:tcPr>
            <w:tcW w:w="706" w:type="dxa"/>
            <w:shd w:val="clear" w:color="auto" w:fill="auto"/>
          </w:tcPr>
          <w:p w14:paraId="01A85441" w14:textId="77777777" w:rsidR="00803550" w:rsidRPr="00BB1C8F" w:rsidRDefault="00803550" w:rsidP="00250022">
            <w:pPr>
              <w:rPr>
                <w:sz w:val="16"/>
                <w:szCs w:val="16"/>
              </w:rPr>
            </w:pPr>
            <w:r w:rsidRPr="00BB1C8F">
              <w:rPr>
                <w:sz w:val="16"/>
                <w:szCs w:val="16"/>
              </w:rPr>
              <w:t>107</w:t>
            </w:r>
          </w:p>
        </w:tc>
        <w:tc>
          <w:tcPr>
            <w:tcW w:w="1215" w:type="dxa"/>
            <w:shd w:val="clear" w:color="auto" w:fill="auto"/>
          </w:tcPr>
          <w:p w14:paraId="31B4E355" w14:textId="77777777" w:rsidR="00803550" w:rsidRPr="00BB1C8F" w:rsidRDefault="00803550" w:rsidP="00250022">
            <w:pPr>
              <w:rPr>
                <w:sz w:val="16"/>
                <w:szCs w:val="16"/>
              </w:rPr>
            </w:pPr>
            <w:r w:rsidRPr="00BB1C8F">
              <w:rPr>
                <w:sz w:val="16"/>
                <w:szCs w:val="16"/>
              </w:rPr>
              <w:t>55</w:t>
            </w:r>
          </w:p>
        </w:tc>
        <w:tc>
          <w:tcPr>
            <w:tcW w:w="1052" w:type="dxa"/>
            <w:shd w:val="clear" w:color="auto" w:fill="auto"/>
          </w:tcPr>
          <w:p w14:paraId="038203AF" w14:textId="77777777" w:rsidR="00803550" w:rsidRPr="00BB1C8F" w:rsidRDefault="00803550" w:rsidP="00250022">
            <w:pPr>
              <w:rPr>
                <w:sz w:val="16"/>
                <w:szCs w:val="16"/>
              </w:rPr>
            </w:pPr>
            <w:r w:rsidRPr="00BB1C8F">
              <w:rPr>
                <w:sz w:val="16"/>
                <w:szCs w:val="16"/>
              </w:rPr>
              <w:t>129</w:t>
            </w:r>
          </w:p>
        </w:tc>
        <w:tc>
          <w:tcPr>
            <w:tcW w:w="870" w:type="dxa"/>
            <w:shd w:val="clear" w:color="auto" w:fill="auto"/>
          </w:tcPr>
          <w:p w14:paraId="2DD3FA59" w14:textId="77777777" w:rsidR="00803550" w:rsidRPr="00BB1C8F" w:rsidRDefault="00803550" w:rsidP="00250022">
            <w:pPr>
              <w:rPr>
                <w:sz w:val="16"/>
                <w:szCs w:val="16"/>
              </w:rPr>
            </w:pPr>
            <w:r w:rsidRPr="00BB1C8F">
              <w:rPr>
                <w:sz w:val="16"/>
                <w:szCs w:val="16"/>
              </w:rPr>
              <w:t>291</w:t>
            </w:r>
          </w:p>
        </w:tc>
        <w:tc>
          <w:tcPr>
            <w:tcW w:w="594" w:type="dxa"/>
            <w:shd w:val="clear" w:color="auto" w:fill="auto"/>
          </w:tcPr>
          <w:p w14:paraId="3837F925" w14:textId="77777777" w:rsidR="00803550" w:rsidRPr="00BB1C8F" w:rsidRDefault="00803550" w:rsidP="00250022">
            <w:pPr>
              <w:rPr>
                <w:sz w:val="16"/>
                <w:szCs w:val="16"/>
              </w:rPr>
            </w:pPr>
            <w:r w:rsidRPr="00BB1C8F">
              <w:rPr>
                <w:sz w:val="16"/>
                <w:szCs w:val="16"/>
              </w:rPr>
              <w:t>0</w:t>
            </w:r>
          </w:p>
        </w:tc>
      </w:tr>
      <w:tr w:rsidR="00803550" w:rsidRPr="00BB1C8F" w14:paraId="09FBBA9E" w14:textId="77777777" w:rsidTr="00250022">
        <w:tc>
          <w:tcPr>
            <w:tcW w:w="795" w:type="dxa"/>
            <w:shd w:val="clear" w:color="auto" w:fill="auto"/>
          </w:tcPr>
          <w:p w14:paraId="6617E58E" w14:textId="77777777" w:rsidR="00803550" w:rsidRPr="00BB1C8F" w:rsidRDefault="00803550" w:rsidP="00250022">
            <w:pPr>
              <w:rPr>
                <w:sz w:val="16"/>
                <w:szCs w:val="16"/>
              </w:rPr>
            </w:pPr>
            <w:r w:rsidRPr="00BB1C8F">
              <w:rPr>
                <w:sz w:val="16"/>
                <w:szCs w:val="16"/>
              </w:rPr>
              <w:t>2001</w:t>
            </w:r>
          </w:p>
        </w:tc>
        <w:tc>
          <w:tcPr>
            <w:tcW w:w="1033" w:type="dxa"/>
            <w:shd w:val="clear" w:color="auto" w:fill="auto"/>
          </w:tcPr>
          <w:p w14:paraId="3DCE7617" w14:textId="77777777" w:rsidR="00803550" w:rsidRPr="00BB1C8F" w:rsidRDefault="00803550" w:rsidP="00250022">
            <w:pPr>
              <w:rPr>
                <w:sz w:val="16"/>
                <w:szCs w:val="16"/>
              </w:rPr>
            </w:pPr>
            <w:r w:rsidRPr="00BB1C8F">
              <w:rPr>
                <w:sz w:val="16"/>
                <w:szCs w:val="16"/>
              </w:rPr>
              <w:t>1155</w:t>
            </w:r>
          </w:p>
        </w:tc>
        <w:tc>
          <w:tcPr>
            <w:tcW w:w="870" w:type="dxa"/>
            <w:shd w:val="clear" w:color="auto" w:fill="auto"/>
          </w:tcPr>
          <w:p w14:paraId="349533B6" w14:textId="77777777" w:rsidR="00803550" w:rsidRPr="00BB1C8F" w:rsidRDefault="00803550" w:rsidP="00250022">
            <w:pPr>
              <w:rPr>
                <w:sz w:val="16"/>
                <w:szCs w:val="16"/>
              </w:rPr>
            </w:pPr>
            <w:r w:rsidRPr="00BB1C8F">
              <w:rPr>
                <w:sz w:val="16"/>
                <w:szCs w:val="16"/>
              </w:rPr>
              <w:t>821</w:t>
            </w:r>
          </w:p>
        </w:tc>
        <w:tc>
          <w:tcPr>
            <w:tcW w:w="593" w:type="dxa"/>
            <w:shd w:val="clear" w:color="auto" w:fill="auto"/>
          </w:tcPr>
          <w:p w14:paraId="5AEDA169" w14:textId="77777777" w:rsidR="00803550" w:rsidRPr="00BB1C8F" w:rsidRDefault="00803550" w:rsidP="00250022">
            <w:pPr>
              <w:rPr>
                <w:sz w:val="16"/>
                <w:szCs w:val="16"/>
              </w:rPr>
            </w:pPr>
            <w:r w:rsidRPr="00BB1C8F">
              <w:rPr>
                <w:sz w:val="16"/>
                <w:szCs w:val="16"/>
              </w:rPr>
              <w:t>334</w:t>
            </w:r>
          </w:p>
        </w:tc>
        <w:tc>
          <w:tcPr>
            <w:tcW w:w="706" w:type="dxa"/>
            <w:shd w:val="clear" w:color="auto" w:fill="auto"/>
          </w:tcPr>
          <w:p w14:paraId="6956203E" w14:textId="77777777" w:rsidR="00803550" w:rsidRPr="00BB1C8F" w:rsidRDefault="00803550" w:rsidP="00250022">
            <w:pPr>
              <w:rPr>
                <w:sz w:val="16"/>
                <w:szCs w:val="16"/>
              </w:rPr>
            </w:pPr>
            <w:r w:rsidRPr="00BB1C8F">
              <w:rPr>
                <w:sz w:val="16"/>
                <w:szCs w:val="16"/>
              </w:rPr>
              <w:t>225</w:t>
            </w:r>
          </w:p>
        </w:tc>
        <w:tc>
          <w:tcPr>
            <w:tcW w:w="1215" w:type="dxa"/>
            <w:shd w:val="clear" w:color="auto" w:fill="auto"/>
          </w:tcPr>
          <w:p w14:paraId="281FE854" w14:textId="77777777" w:rsidR="00803550" w:rsidRPr="00BB1C8F" w:rsidRDefault="00803550" w:rsidP="00250022">
            <w:pPr>
              <w:rPr>
                <w:sz w:val="16"/>
                <w:szCs w:val="16"/>
              </w:rPr>
            </w:pPr>
            <w:r w:rsidRPr="00BB1C8F">
              <w:rPr>
                <w:sz w:val="16"/>
                <w:szCs w:val="16"/>
              </w:rPr>
              <w:t>340</w:t>
            </w:r>
          </w:p>
        </w:tc>
        <w:tc>
          <w:tcPr>
            <w:tcW w:w="1052" w:type="dxa"/>
            <w:shd w:val="clear" w:color="auto" w:fill="auto"/>
          </w:tcPr>
          <w:p w14:paraId="6B20B761" w14:textId="77777777" w:rsidR="00803550" w:rsidRPr="00BB1C8F" w:rsidRDefault="00803550" w:rsidP="00250022">
            <w:pPr>
              <w:rPr>
                <w:sz w:val="16"/>
                <w:szCs w:val="16"/>
              </w:rPr>
            </w:pPr>
            <w:r w:rsidRPr="00BB1C8F">
              <w:rPr>
                <w:sz w:val="16"/>
                <w:szCs w:val="16"/>
              </w:rPr>
              <w:t>590</w:t>
            </w:r>
          </w:p>
        </w:tc>
        <w:tc>
          <w:tcPr>
            <w:tcW w:w="870" w:type="dxa"/>
            <w:shd w:val="clear" w:color="auto" w:fill="auto"/>
          </w:tcPr>
          <w:p w14:paraId="6127EE69" w14:textId="77777777" w:rsidR="00803550" w:rsidRPr="00BB1C8F" w:rsidRDefault="00803550" w:rsidP="00250022">
            <w:pPr>
              <w:rPr>
                <w:sz w:val="16"/>
                <w:szCs w:val="16"/>
              </w:rPr>
            </w:pPr>
            <w:r w:rsidRPr="00BB1C8F">
              <w:rPr>
                <w:sz w:val="16"/>
                <w:szCs w:val="16"/>
              </w:rPr>
              <w:t>1155</w:t>
            </w:r>
          </w:p>
        </w:tc>
        <w:tc>
          <w:tcPr>
            <w:tcW w:w="594" w:type="dxa"/>
            <w:shd w:val="clear" w:color="auto" w:fill="auto"/>
          </w:tcPr>
          <w:p w14:paraId="53F21AD2" w14:textId="77777777" w:rsidR="00803550" w:rsidRPr="00BB1C8F" w:rsidRDefault="00803550" w:rsidP="00250022">
            <w:pPr>
              <w:rPr>
                <w:sz w:val="16"/>
                <w:szCs w:val="16"/>
              </w:rPr>
            </w:pPr>
            <w:r w:rsidRPr="00BB1C8F">
              <w:rPr>
                <w:sz w:val="16"/>
                <w:szCs w:val="16"/>
              </w:rPr>
              <w:t>0</w:t>
            </w:r>
          </w:p>
        </w:tc>
      </w:tr>
      <w:tr w:rsidR="00803550" w:rsidRPr="00BB1C8F" w14:paraId="0ED49ED6" w14:textId="77777777" w:rsidTr="00250022">
        <w:tc>
          <w:tcPr>
            <w:tcW w:w="795" w:type="dxa"/>
            <w:shd w:val="clear" w:color="auto" w:fill="auto"/>
          </w:tcPr>
          <w:p w14:paraId="1932E816" w14:textId="77777777" w:rsidR="00803550" w:rsidRPr="00BB1C8F" w:rsidRDefault="00803550" w:rsidP="00250022">
            <w:pPr>
              <w:rPr>
                <w:sz w:val="16"/>
                <w:szCs w:val="16"/>
              </w:rPr>
            </w:pPr>
            <w:r w:rsidRPr="00BB1C8F">
              <w:rPr>
                <w:sz w:val="16"/>
                <w:szCs w:val="16"/>
              </w:rPr>
              <w:t>2002</w:t>
            </w:r>
          </w:p>
        </w:tc>
        <w:tc>
          <w:tcPr>
            <w:tcW w:w="1033" w:type="dxa"/>
            <w:shd w:val="clear" w:color="auto" w:fill="auto"/>
          </w:tcPr>
          <w:p w14:paraId="50FE5FAB" w14:textId="77777777" w:rsidR="00803550" w:rsidRPr="00BB1C8F" w:rsidRDefault="00803550" w:rsidP="00250022">
            <w:pPr>
              <w:rPr>
                <w:sz w:val="16"/>
                <w:szCs w:val="16"/>
              </w:rPr>
            </w:pPr>
            <w:r w:rsidRPr="00BB1C8F">
              <w:rPr>
                <w:sz w:val="16"/>
                <w:szCs w:val="16"/>
              </w:rPr>
              <w:t>2649</w:t>
            </w:r>
          </w:p>
        </w:tc>
        <w:tc>
          <w:tcPr>
            <w:tcW w:w="870" w:type="dxa"/>
            <w:shd w:val="clear" w:color="auto" w:fill="auto"/>
          </w:tcPr>
          <w:p w14:paraId="49A90E7E" w14:textId="77777777" w:rsidR="00803550" w:rsidRPr="00BB1C8F" w:rsidRDefault="00803550" w:rsidP="00250022">
            <w:pPr>
              <w:rPr>
                <w:sz w:val="16"/>
                <w:szCs w:val="16"/>
              </w:rPr>
            </w:pPr>
            <w:r w:rsidRPr="00BB1C8F">
              <w:rPr>
                <w:sz w:val="16"/>
                <w:szCs w:val="16"/>
              </w:rPr>
              <w:t>1489</w:t>
            </w:r>
          </w:p>
        </w:tc>
        <w:tc>
          <w:tcPr>
            <w:tcW w:w="593" w:type="dxa"/>
            <w:shd w:val="clear" w:color="auto" w:fill="auto"/>
          </w:tcPr>
          <w:p w14:paraId="759DDCC6" w14:textId="77777777" w:rsidR="00803550" w:rsidRPr="00BB1C8F" w:rsidRDefault="00803550" w:rsidP="00250022">
            <w:pPr>
              <w:rPr>
                <w:sz w:val="16"/>
                <w:szCs w:val="16"/>
              </w:rPr>
            </w:pPr>
            <w:r w:rsidRPr="00BB1C8F">
              <w:rPr>
                <w:sz w:val="16"/>
                <w:szCs w:val="16"/>
              </w:rPr>
              <w:t>1160</w:t>
            </w:r>
          </w:p>
        </w:tc>
        <w:tc>
          <w:tcPr>
            <w:tcW w:w="706" w:type="dxa"/>
            <w:shd w:val="clear" w:color="auto" w:fill="auto"/>
          </w:tcPr>
          <w:p w14:paraId="442B9270" w14:textId="77777777" w:rsidR="00803550" w:rsidRPr="00BB1C8F" w:rsidRDefault="00803550" w:rsidP="00250022">
            <w:pPr>
              <w:rPr>
                <w:sz w:val="16"/>
                <w:szCs w:val="16"/>
              </w:rPr>
            </w:pPr>
            <w:r w:rsidRPr="00BB1C8F">
              <w:rPr>
                <w:sz w:val="16"/>
                <w:szCs w:val="16"/>
              </w:rPr>
              <w:t>1088</w:t>
            </w:r>
          </w:p>
        </w:tc>
        <w:tc>
          <w:tcPr>
            <w:tcW w:w="1215" w:type="dxa"/>
            <w:shd w:val="clear" w:color="auto" w:fill="auto"/>
          </w:tcPr>
          <w:p w14:paraId="569DABED" w14:textId="77777777" w:rsidR="00803550" w:rsidRPr="00BB1C8F" w:rsidRDefault="00803550" w:rsidP="00250022">
            <w:pPr>
              <w:rPr>
                <w:sz w:val="16"/>
                <w:szCs w:val="16"/>
              </w:rPr>
            </w:pPr>
            <w:r w:rsidRPr="00BB1C8F">
              <w:rPr>
                <w:sz w:val="16"/>
                <w:szCs w:val="16"/>
              </w:rPr>
              <w:t>493</w:t>
            </w:r>
          </w:p>
        </w:tc>
        <w:tc>
          <w:tcPr>
            <w:tcW w:w="1052" w:type="dxa"/>
            <w:shd w:val="clear" w:color="auto" w:fill="auto"/>
          </w:tcPr>
          <w:p w14:paraId="79D989BF" w14:textId="77777777" w:rsidR="00803550" w:rsidRPr="00BB1C8F" w:rsidRDefault="00803550" w:rsidP="00250022">
            <w:pPr>
              <w:rPr>
                <w:sz w:val="16"/>
                <w:szCs w:val="16"/>
              </w:rPr>
            </w:pPr>
            <w:r w:rsidRPr="00BB1C8F">
              <w:rPr>
                <w:sz w:val="16"/>
                <w:szCs w:val="16"/>
              </w:rPr>
              <w:t>1066</w:t>
            </w:r>
          </w:p>
        </w:tc>
        <w:tc>
          <w:tcPr>
            <w:tcW w:w="870" w:type="dxa"/>
            <w:shd w:val="clear" w:color="auto" w:fill="auto"/>
          </w:tcPr>
          <w:p w14:paraId="29865EBF" w14:textId="77777777" w:rsidR="00803550" w:rsidRPr="00BB1C8F" w:rsidRDefault="00803550" w:rsidP="00250022">
            <w:pPr>
              <w:rPr>
                <w:sz w:val="16"/>
                <w:szCs w:val="16"/>
              </w:rPr>
            </w:pPr>
            <w:r w:rsidRPr="00BB1C8F">
              <w:rPr>
                <w:sz w:val="16"/>
                <w:szCs w:val="16"/>
              </w:rPr>
              <w:t>2649</w:t>
            </w:r>
          </w:p>
        </w:tc>
        <w:tc>
          <w:tcPr>
            <w:tcW w:w="594" w:type="dxa"/>
            <w:shd w:val="clear" w:color="auto" w:fill="auto"/>
          </w:tcPr>
          <w:p w14:paraId="22ED90B1" w14:textId="77777777" w:rsidR="00803550" w:rsidRPr="00BB1C8F" w:rsidRDefault="00803550" w:rsidP="00250022">
            <w:pPr>
              <w:rPr>
                <w:sz w:val="16"/>
                <w:szCs w:val="16"/>
              </w:rPr>
            </w:pPr>
            <w:r w:rsidRPr="00BB1C8F">
              <w:rPr>
                <w:sz w:val="16"/>
                <w:szCs w:val="16"/>
              </w:rPr>
              <w:t>0</w:t>
            </w:r>
          </w:p>
        </w:tc>
      </w:tr>
      <w:tr w:rsidR="00803550" w:rsidRPr="00BB1C8F" w14:paraId="471C652F" w14:textId="77777777" w:rsidTr="00250022">
        <w:tc>
          <w:tcPr>
            <w:tcW w:w="795" w:type="dxa"/>
            <w:shd w:val="clear" w:color="auto" w:fill="auto"/>
          </w:tcPr>
          <w:p w14:paraId="0DDE24A1" w14:textId="77777777" w:rsidR="00803550" w:rsidRPr="00BB1C8F" w:rsidRDefault="00803550" w:rsidP="00250022">
            <w:pPr>
              <w:rPr>
                <w:sz w:val="16"/>
                <w:szCs w:val="16"/>
              </w:rPr>
            </w:pPr>
            <w:r w:rsidRPr="00BB1C8F">
              <w:rPr>
                <w:sz w:val="16"/>
                <w:szCs w:val="16"/>
              </w:rPr>
              <w:t>2003</w:t>
            </w:r>
          </w:p>
        </w:tc>
        <w:tc>
          <w:tcPr>
            <w:tcW w:w="1033" w:type="dxa"/>
            <w:shd w:val="clear" w:color="auto" w:fill="auto"/>
          </w:tcPr>
          <w:p w14:paraId="1E2FE066" w14:textId="77777777" w:rsidR="00803550" w:rsidRPr="00BB1C8F" w:rsidRDefault="00803550" w:rsidP="00250022">
            <w:pPr>
              <w:rPr>
                <w:sz w:val="16"/>
                <w:szCs w:val="16"/>
              </w:rPr>
            </w:pPr>
            <w:r w:rsidRPr="00BB1C8F">
              <w:rPr>
                <w:sz w:val="16"/>
                <w:szCs w:val="16"/>
              </w:rPr>
              <w:t>4150</w:t>
            </w:r>
          </w:p>
        </w:tc>
        <w:tc>
          <w:tcPr>
            <w:tcW w:w="870" w:type="dxa"/>
            <w:shd w:val="clear" w:color="auto" w:fill="auto"/>
          </w:tcPr>
          <w:p w14:paraId="2DC06D77" w14:textId="77777777" w:rsidR="00803550" w:rsidRPr="00BB1C8F" w:rsidRDefault="00803550" w:rsidP="00250022">
            <w:pPr>
              <w:rPr>
                <w:sz w:val="16"/>
                <w:szCs w:val="16"/>
              </w:rPr>
            </w:pPr>
            <w:r w:rsidRPr="00BB1C8F">
              <w:rPr>
                <w:sz w:val="16"/>
                <w:szCs w:val="16"/>
              </w:rPr>
              <w:t>2284</w:t>
            </w:r>
          </w:p>
        </w:tc>
        <w:tc>
          <w:tcPr>
            <w:tcW w:w="593" w:type="dxa"/>
            <w:shd w:val="clear" w:color="auto" w:fill="auto"/>
          </w:tcPr>
          <w:p w14:paraId="4A3441DA" w14:textId="77777777" w:rsidR="00803550" w:rsidRPr="00BB1C8F" w:rsidRDefault="00803550" w:rsidP="00250022">
            <w:pPr>
              <w:rPr>
                <w:sz w:val="16"/>
                <w:szCs w:val="16"/>
              </w:rPr>
            </w:pPr>
            <w:r w:rsidRPr="00BB1C8F">
              <w:rPr>
                <w:sz w:val="16"/>
                <w:szCs w:val="16"/>
              </w:rPr>
              <w:t>1866</w:t>
            </w:r>
          </w:p>
        </w:tc>
        <w:tc>
          <w:tcPr>
            <w:tcW w:w="706" w:type="dxa"/>
            <w:shd w:val="clear" w:color="auto" w:fill="auto"/>
          </w:tcPr>
          <w:p w14:paraId="51CF16F2" w14:textId="77777777" w:rsidR="00803550" w:rsidRPr="00BB1C8F" w:rsidRDefault="00803550" w:rsidP="00250022">
            <w:pPr>
              <w:rPr>
                <w:sz w:val="16"/>
                <w:szCs w:val="16"/>
              </w:rPr>
            </w:pPr>
            <w:r w:rsidRPr="00BB1C8F">
              <w:rPr>
                <w:sz w:val="16"/>
                <w:szCs w:val="16"/>
              </w:rPr>
              <w:t>1683</w:t>
            </w:r>
          </w:p>
        </w:tc>
        <w:tc>
          <w:tcPr>
            <w:tcW w:w="1215" w:type="dxa"/>
            <w:shd w:val="clear" w:color="auto" w:fill="auto"/>
          </w:tcPr>
          <w:p w14:paraId="10B01816" w14:textId="77777777" w:rsidR="00803550" w:rsidRPr="00BB1C8F" w:rsidRDefault="00803550" w:rsidP="00250022">
            <w:pPr>
              <w:rPr>
                <w:sz w:val="16"/>
                <w:szCs w:val="16"/>
              </w:rPr>
            </w:pPr>
            <w:r w:rsidRPr="00BB1C8F">
              <w:rPr>
                <w:sz w:val="16"/>
                <w:szCs w:val="16"/>
              </w:rPr>
              <w:t>539</w:t>
            </w:r>
          </w:p>
        </w:tc>
        <w:tc>
          <w:tcPr>
            <w:tcW w:w="1052" w:type="dxa"/>
            <w:shd w:val="clear" w:color="auto" w:fill="auto"/>
          </w:tcPr>
          <w:p w14:paraId="4E98B31F" w14:textId="77777777" w:rsidR="00803550" w:rsidRPr="00BB1C8F" w:rsidRDefault="00803550" w:rsidP="00250022">
            <w:pPr>
              <w:rPr>
                <w:sz w:val="16"/>
                <w:szCs w:val="16"/>
              </w:rPr>
            </w:pPr>
            <w:r w:rsidRPr="00BB1C8F">
              <w:rPr>
                <w:sz w:val="16"/>
                <w:szCs w:val="16"/>
              </w:rPr>
              <w:t>1928</w:t>
            </w:r>
          </w:p>
        </w:tc>
        <w:tc>
          <w:tcPr>
            <w:tcW w:w="870" w:type="dxa"/>
            <w:shd w:val="clear" w:color="auto" w:fill="auto"/>
          </w:tcPr>
          <w:p w14:paraId="531C8FC4" w14:textId="77777777" w:rsidR="00803550" w:rsidRPr="00BB1C8F" w:rsidRDefault="00803550" w:rsidP="00250022">
            <w:pPr>
              <w:rPr>
                <w:sz w:val="16"/>
                <w:szCs w:val="16"/>
              </w:rPr>
            </w:pPr>
            <w:r w:rsidRPr="00BB1C8F">
              <w:rPr>
                <w:sz w:val="16"/>
                <w:szCs w:val="16"/>
              </w:rPr>
              <w:t>4150</w:t>
            </w:r>
          </w:p>
        </w:tc>
        <w:tc>
          <w:tcPr>
            <w:tcW w:w="594" w:type="dxa"/>
            <w:shd w:val="clear" w:color="auto" w:fill="auto"/>
          </w:tcPr>
          <w:p w14:paraId="09C43470" w14:textId="77777777" w:rsidR="00803550" w:rsidRPr="00BB1C8F" w:rsidRDefault="00803550" w:rsidP="00250022">
            <w:pPr>
              <w:rPr>
                <w:sz w:val="16"/>
                <w:szCs w:val="16"/>
              </w:rPr>
            </w:pPr>
            <w:r w:rsidRPr="00BB1C8F">
              <w:rPr>
                <w:sz w:val="16"/>
                <w:szCs w:val="16"/>
              </w:rPr>
              <w:t>0</w:t>
            </w:r>
          </w:p>
        </w:tc>
      </w:tr>
      <w:tr w:rsidR="00803550" w:rsidRPr="00BB1C8F" w14:paraId="272C67B9" w14:textId="77777777" w:rsidTr="00250022">
        <w:tc>
          <w:tcPr>
            <w:tcW w:w="795" w:type="dxa"/>
            <w:shd w:val="clear" w:color="auto" w:fill="auto"/>
          </w:tcPr>
          <w:p w14:paraId="27629444" w14:textId="77777777" w:rsidR="00803550" w:rsidRPr="00BB1C8F" w:rsidRDefault="00803550" w:rsidP="00250022">
            <w:pPr>
              <w:rPr>
                <w:sz w:val="16"/>
                <w:szCs w:val="16"/>
              </w:rPr>
            </w:pPr>
            <w:r w:rsidRPr="00BB1C8F">
              <w:rPr>
                <w:sz w:val="16"/>
                <w:szCs w:val="16"/>
              </w:rPr>
              <w:t>2004</w:t>
            </w:r>
          </w:p>
        </w:tc>
        <w:tc>
          <w:tcPr>
            <w:tcW w:w="1033" w:type="dxa"/>
            <w:shd w:val="clear" w:color="auto" w:fill="auto"/>
          </w:tcPr>
          <w:p w14:paraId="0BDEC687" w14:textId="77777777" w:rsidR="00803550" w:rsidRPr="00BB1C8F" w:rsidRDefault="00803550" w:rsidP="00250022">
            <w:pPr>
              <w:rPr>
                <w:sz w:val="16"/>
                <w:szCs w:val="16"/>
              </w:rPr>
            </w:pPr>
            <w:r w:rsidRPr="00BB1C8F">
              <w:rPr>
                <w:sz w:val="16"/>
                <w:szCs w:val="16"/>
              </w:rPr>
              <w:t>5076</w:t>
            </w:r>
          </w:p>
        </w:tc>
        <w:tc>
          <w:tcPr>
            <w:tcW w:w="870" w:type="dxa"/>
            <w:shd w:val="clear" w:color="auto" w:fill="auto"/>
          </w:tcPr>
          <w:p w14:paraId="7C72EA01" w14:textId="77777777" w:rsidR="00803550" w:rsidRPr="00BB1C8F" w:rsidRDefault="00803550" w:rsidP="00250022">
            <w:pPr>
              <w:rPr>
                <w:sz w:val="16"/>
                <w:szCs w:val="16"/>
              </w:rPr>
            </w:pPr>
            <w:r w:rsidRPr="00BB1C8F">
              <w:rPr>
                <w:sz w:val="16"/>
                <w:szCs w:val="16"/>
              </w:rPr>
              <w:t>2781</w:t>
            </w:r>
          </w:p>
        </w:tc>
        <w:tc>
          <w:tcPr>
            <w:tcW w:w="593" w:type="dxa"/>
            <w:shd w:val="clear" w:color="auto" w:fill="auto"/>
          </w:tcPr>
          <w:p w14:paraId="5F8814B5" w14:textId="77777777" w:rsidR="00803550" w:rsidRPr="00BB1C8F" w:rsidRDefault="00803550" w:rsidP="00250022">
            <w:pPr>
              <w:rPr>
                <w:sz w:val="16"/>
                <w:szCs w:val="16"/>
              </w:rPr>
            </w:pPr>
            <w:r w:rsidRPr="00BB1C8F">
              <w:rPr>
                <w:sz w:val="16"/>
                <w:szCs w:val="16"/>
              </w:rPr>
              <w:t>2295</w:t>
            </w:r>
          </w:p>
        </w:tc>
        <w:tc>
          <w:tcPr>
            <w:tcW w:w="706" w:type="dxa"/>
            <w:shd w:val="clear" w:color="auto" w:fill="auto"/>
          </w:tcPr>
          <w:p w14:paraId="028F56C6" w14:textId="77777777" w:rsidR="00803550" w:rsidRPr="00BB1C8F" w:rsidRDefault="00803550" w:rsidP="00250022">
            <w:pPr>
              <w:rPr>
                <w:sz w:val="16"/>
                <w:szCs w:val="16"/>
              </w:rPr>
            </w:pPr>
            <w:r w:rsidRPr="00BB1C8F">
              <w:rPr>
                <w:sz w:val="16"/>
                <w:szCs w:val="16"/>
              </w:rPr>
              <w:t>2029</w:t>
            </w:r>
          </w:p>
        </w:tc>
        <w:tc>
          <w:tcPr>
            <w:tcW w:w="1215" w:type="dxa"/>
            <w:shd w:val="clear" w:color="auto" w:fill="auto"/>
          </w:tcPr>
          <w:p w14:paraId="50009670" w14:textId="77777777" w:rsidR="00803550" w:rsidRPr="00BB1C8F" w:rsidRDefault="00803550" w:rsidP="00250022">
            <w:pPr>
              <w:rPr>
                <w:sz w:val="16"/>
                <w:szCs w:val="16"/>
              </w:rPr>
            </w:pPr>
            <w:r w:rsidRPr="00BB1C8F">
              <w:rPr>
                <w:sz w:val="16"/>
                <w:szCs w:val="16"/>
              </w:rPr>
              <w:t>556</w:t>
            </w:r>
          </w:p>
        </w:tc>
        <w:tc>
          <w:tcPr>
            <w:tcW w:w="1052" w:type="dxa"/>
            <w:shd w:val="clear" w:color="auto" w:fill="auto"/>
          </w:tcPr>
          <w:p w14:paraId="41981C7C" w14:textId="77777777" w:rsidR="00803550" w:rsidRPr="00BB1C8F" w:rsidRDefault="00803550" w:rsidP="00250022">
            <w:pPr>
              <w:rPr>
                <w:sz w:val="16"/>
                <w:szCs w:val="16"/>
              </w:rPr>
            </w:pPr>
            <w:r w:rsidRPr="00BB1C8F">
              <w:rPr>
                <w:sz w:val="16"/>
                <w:szCs w:val="16"/>
              </w:rPr>
              <w:t>2489</w:t>
            </w:r>
          </w:p>
        </w:tc>
        <w:tc>
          <w:tcPr>
            <w:tcW w:w="870" w:type="dxa"/>
            <w:shd w:val="clear" w:color="auto" w:fill="auto"/>
          </w:tcPr>
          <w:p w14:paraId="03898AB5" w14:textId="77777777" w:rsidR="00803550" w:rsidRPr="00BB1C8F" w:rsidRDefault="00803550" w:rsidP="00250022">
            <w:pPr>
              <w:rPr>
                <w:sz w:val="16"/>
                <w:szCs w:val="16"/>
              </w:rPr>
            </w:pPr>
            <w:r w:rsidRPr="00BB1C8F">
              <w:rPr>
                <w:sz w:val="16"/>
                <w:szCs w:val="16"/>
              </w:rPr>
              <w:t>5076</w:t>
            </w:r>
          </w:p>
        </w:tc>
        <w:tc>
          <w:tcPr>
            <w:tcW w:w="594" w:type="dxa"/>
            <w:shd w:val="clear" w:color="auto" w:fill="auto"/>
          </w:tcPr>
          <w:p w14:paraId="4E9AE412" w14:textId="77777777" w:rsidR="00803550" w:rsidRPr="00BB1C8F" w:rsidRDefault="00803550" w:rsidP="00250022">
            <w:pPr>
              <w:rPr>
                <w:sz w:val="16"/>
                <w:szCs w:val="16"/>
              </w:rPr>
            </w:pPr>
            <w:r w:rsidRPr="00BB1C8F">
              <w:rPr>
                <w:sz w:val="16"/>
                <w:szCs w:val="16"/>
              </w:rPr>
              <w:t>0</w:t>
            </w:r>
          </w:p>
        </w:tc>
      </w:tr>
      <w:tr w:rsidR="00803550" w:rsidRPr="00BB1C8F" w14:paraId="09D9B36F" w14:textId="77777777" w:rsidTr="00250022">
        <w:tc>
          <w:tcPr>
            <w:tcW w:w="795" w:type="dxa"/>
            <w:shd w:val="clear" w:color="auto" w:fill="auto"/>
          </w:tcPr>
          <w:p w14:paraId="6D93EE3C" w14:textId="77777777" w:rsidR="00803550" w:rsidRPr="00BB1C8F" w:rsidRDefault="00803550" w:rsidP="00250022">
            <w:pPr>
              <w:rPr>
                <w:sz w:val="16"/>
                <w:szCs w:val="16"/>
              </w:rPr>
            </w:pPr>
            <w:r w:rsidRPr="00BB1C8F">
              <w:rPr>
                <w:sz w:val="16"/>
                <w:szCs w:val="16"/>
              </w:rPr>
              <w:t>2005</w:t>
            </w:r>
          </w:p>
        </w:tc>
        <w:tc>
          <w:tcPr>
            <w:tcW w:w="1033" w:type="dxa"/>
            <w:shd w:val="clear" w:color="auto" w:fill="auto"/>
          </w:tcPr>
          <w:p w14:paraId="5F275F51" w14:textId="77777777" w:rsidR="00803550" w:rsidRPr="00BB1C8F" w:rsidRDefault="00803550" w:rsidP="00250022">
            <w:pPr>
              <w:rPr>
                <w:sz w:val="16"/>
                <w:szCs w:val="16"/>
              </w:rPr>
            </w:pPr>
            <w:r w:rsidRPr="00BB1C8F">
              <w:rPr>
                <w:sz w:val="16"/>
                <w:szCs w:val="16"/>
              </w:rPr>
              <w:t>6106</w:t>
            </w:r>
          </w:p>
        </w:tc>
        <w:tc>
          <w:tcPr>
            <w:tcW w:w="870" w:type="dxa"/>
            <w:shd w:val="clear" w:color="auto" w:fill="auto"/>
          </w:tcPr>
          <w:p w14:paraId="04809972" w14:textId="77777777" w:rsidR="00803550" w:rsidRPr="00BB1C8F" w:rsidRDefault="00803550" w:rsidP="00250022">
            <w:pPr>
              <w:rPr>
                <w:sz w:val="16"/>
                <w:szCs w:val="16"/>
              </w:rPr>
            </w:pPr>
            <w:r w:rsidRPr="00BB1C8F">
              <w:rPr>
                <w:sz w:val="16"/>
                <w:szCs w:val="16"/>
              </w:rPr>
              <w:t>2211</w:t>
            </w:r>
          </w:p>
        </w:tc>
        <w:tc>
          <w:tcPr>
            <w:tcW w:w="593" w:type="dxa"/>
            <w:shd w:val="clear" w:color="auto" w:fill="auto"/>
          </w:tcPr>
          <w:p w14:paraId="548B56EC" w14:textId="77777777" w:rsidR="00803550" w:rsidRPr="00BB1C8F" w:rsidRDefault="00803550" w:rsidP="00250022">
            <w:pPr>
              <w:rPr>
                <w:sz w:val="16"/>
                <w:szCs w:val="16"/>
              </w:rPr>
            </w:pPr>
            <w:r w:rsidRPr="00BB1C8F">
              <w:rPr>
                <w:sz w:val="16"/>
                <w:szCs w:val="16"/>
              </w:rPr>
              <w:t>1332</w:t>
            </w:r>
          </w:p>
        </w:tc>
        <w:tc>
          <w:tcPr>
            <w:tcW w:w="706" w:type="dxa"/>
            <w:shd w:val="clear" w:color="auto" w:fill="auto"/>
          </w:tcPr>
          <w:p w14:paraId="00927188" w14:textId="77777777" w:rsidR="00803550" w:rsidRPr="00BB1C8F" w:rsidRDefault="00803550" w:rsidP="00250022">
            <w:pPr>
              <w:rPr>
                <w:sz w:val="16"/>
                <w:szCs w:val="16"/>
              </w:rPr>
            </w:pPr>
            <w:r w:rsidRPr="00BB1C8F">
              <w:rPr>
                <w:sz w:val="16"/>
                <w:szCs w:val="16"/>
              </w:rPr>
              <w:t>1083</w:t>
            </w:r>
          </w:p>
        </w:tc>
        <w:tc>
          <w:tcPr>
            <w:tcW w:w="1215" w:type="dxa"/>
            <w:shd w:val="clear" w:color="auto" w:fill="auto"/>
          </w:tcPr>
          <w:p w14:paraId="0D1A2110" w14:textId="77777777" w:rsidR="00803550" w:rsidRPr="00BB1C8F" w:rsidRDefault="00803550" w:rsidP="00250022">
            <w:pPr>
              <w:rPr>
                <w:sz w:val="16"/>
                <w:szCs w:val="16"/>
              </w:rPr>
            </w:pPr>
            <w:r w:rsidRPr="00BB1C8F">
              <w:rPr>
                <w:sz w:val="16"/>
                <w:szCs w:val="16"/>
              </w:rPr>
              <w:t>237</w:t>
            </w:r>
          </w:p>
        </w:tc>
        <w:tc>
          <w:tcPr>
            <w:tcW w:w="1052" w:type="dxa"/>
            <w:shd w:val="clear" w:color="auto" w:fill="auto"/>
          </w:tcPr>
          <w:p w14:paraId="3E730E33" w14:textId="77777777" w:rsidR="00803550" w:rsidRPr="00BB1C8F" w:rsidRDefault="00803550" w:rsidP="00250022">
            <w:pPr>
              <w:rPr>
                <w:sz w:val="16"/>
                <w:szCs w:val="16"/>
              </w:rPr>
            </w:pPr>
            <w:r w:rsidRPr="00BB1C8F">
              <w:rPr>
                <w:sz w:val="16"/>
                <w:szCs w:val="16"/>
              </w:rPr>
              <w:t>1243</w:t>
            </w:r>
          </w:p>
        </w:tc>
        <w:tc>
          <w:tcPr>
            <w:tcW w:w="870" w:type="dxa"/>
            <w:shd w:val="clear" w:color="auto" w:fill="auto"/>
          </w:tcPr>
          <w:p w14:paraId="5EF48006" w14:textId="77777777" w:rsidR="00803550" w:rsidRPr="00BB1C8F" w:rsidRDefault="00803550" w:rsidP="00250022">
            <w:pPr>
              <w:rPr>
                <w:sz w:val="16"/>
                <w:szCs w:val="16"/>
              </w:rPr>
            </w:pPr>
            <w:r w:rsidRPr="00BB1C8F">
              <w:rPr>
                <w:sz w:val="16"/>
                <w:szCs w:val="16"/>
              </w:rPr>
              <w:t>5105</w:t>
            </w:r>
          </w:p>
        </w:tc>
        <w:tc>
          <w:tcPr>
            <w:tcW w:w="594" w:type="dxa"/>
            <w:shd w:val="clear" w:color="auto" w:fill="auto"/>
          </w:tcPr>
          <w:p w14:paraId="64E03EE5" w14:textId="77777777" w:rsidR="00803550" w:rsidRPr="00BB1C8F" w:rsidRDefault="00803550" w:rsidP="00250022">
            <w:pPr>
              <w:rPr>
                <w:sz w:val="16"/>
                <w:szCs w:val="16"/>
              </w:rPr>
            </w:pPr>
            <w:r w:rsidRPr="00BB1C8F">
              <w:rPr>
                <w:sz w:val="16"/>
                <w:szCs w:val="16"/>
              </w:rPr>
              <w:t>1001</w:t>
            </w:r>
          </w:p>
        </w:tc>
      </w:tr>
    </w:tbl>
    <w:p w14:paraId="7FC54D70" w14:textId="77777777" w:rsidR="00803550" w:rsidRPr="00BB1C8F" w:rsidRDefault="00803550" w:rsidP="00803550">
      <w:pPr>
        <w:spacing w:line="360" w:lineRule="auto"/>
        <w:ind w:left="425" w:firstLine="708"/>
        <w:rPr>
          <w:szCs w:val="22"/>
        </w:rPr>
      </w:pPr>
      <w:r w:rsidRPr="00BB1C8F">
        <w:rPr>
          <w:szCs w:val="22"/>
        </w:rPr>
        <w:t>The increase in the value of lawsuits that can be filed at TTPM above, and the absence of consumer cases that fail to be resolved are proof that TTPM has succeeded in resolving consumer disputes in Malaysia, so it is only natural that this institution has a place in the hearts of consumers and even its popularity exceeds that of the courts.</w:t>
      </w:r>
      <w:r w:rsidRPr="00BB1C8F">
        <w:rPr>
          <w:rStyle w:val="FootnoteReference"/>
          <w:szCs w:val="22"/>
        </w:rPr>
        <w:footnoteReference w:id="24"/>
      </w:r>
      <w:r w:rsidRPr="00BB1C8F">
        <w:rPr>
          <w:szCs w:val="22"/>
        </w:rPr>
        <w:t>And based on The Report of ASEAN Consumer Empowerment Index, Malaysian consumers are in a quite empowered position.</w:t>
      </w:r>
      <w:r w:rsidRPr="00BB1C8F">
        <w:rPr>
          <w:rStyle w:val="FootnoteReference"/>
          <w:szCs w:val="22"/>
        </w:rPr>
        <w:footnoteReference w:id="25"/>
      </w:r>
    </w:p>
    <w:p w14:paraId="4F38B0A8" w14:textId="77777777" w:rsidR="00803550" w:rsidRPr="00BB1C8F" w:rsidRDefault="00803550" w:rsidP="00803550">
      <w:pPr>
        <w:spacing w:line="360" w:lineRule="auto"/>
        <w:ind w:left="425" w:firstLine="708"/>
        <w:rPr>
          <w:szCs w:val="22"/>
        </w:rPr>
      </w:pPr>
      <w:r w:rsidRPr="00BB1C8F">
        <w:rPr>
          <w:szCs w:val="22"/>
        </w:rPr>
        <w:t>The existing conditions of Malaysian consumers, consumer dispute resolution in Malaysia and its regulations which are always undergoing improvements, are rational reasons to be made the subject of comparison. This comparison is not only in a juxtaposition</w:t>
      </w:r>
      <w:r w:rsidRPr="00BB1C8F">
        <w:rPr>
          <w:rStyle w:val="FootnoteReference"/>
          <w:szCs w:val="22"/>
        </w:rPr>
        <w:footnoteReference w:id="26"/>
      </w:r>
      <w:r w:rsidRPr="00BB1C8F">
        <w:rPr>
          <w:i/>
          <w:iCs/>
          <w:szCs w:val="22"/>
        </w:rPr>
        <w:t>,</w:t>
      </w:r>
      <w:r w:rsidRPr="00BB1C8F">
        <w:rPr>
          <w:szCs w:val="22"/>
        </w:rPr>
        <w:t>however, philosophically exploring the factors behind the success of consumer dispute resolution in Malaysia, can be adopted in Indonesia to reconstruct BPSK so that it can be successful in resolving consumer disputes. As K. Zweigert and H. Kotz point out, comparative methods provide a much richer range of model solutions than legal science dedicated to a single country, simply because the world's different systems can offer a much wider variety of solutions than they can.</w:t>
      </w:r>
      <w:r w:rsidRPr="00BB1C8F">
        <w:rPr>
          <w:rStyle w:val="FootnoteReference"/>
          <w:szCs w:val="22"/>
        </w:rPr>
        <w:footnoteReference w:id="27"/>
      </w:r>
      <w:r w:rsidRPr="00BB1C8F">
        <w:rPr>
          <w:szCs w:val="22"/>
        </w:rPr>
        <w:t xml:space="preserve"> </w:t>
      </w:r>
    </w:p>
    <w:p w14:paraId="4CDDF752" w14:textId="77777777" w:rsidR="00803550" w:rsidRPr="00BB1C8F" w:rsidRDefault="00803550" w:rsidP="00803550">
      <w:pPr>
        <w:spacing w:line="360" w:lineRule="auto"/>
        <w:ind w:left="425" w:firstLine="708"/>
        <w:rPr>
          <w:szCs w:val="22"/>
        </w:rPr>
      </w:pPr>
      <w:r w:rsidRPr="00BB1C8F">
        <w:rPr>
          <w:szCs w:val="22"/>
        </w:rPr>
        <w:t>The comparison adopted in this study is a micro comparison, which is a comparison focused on small units such as positive law (existing law/de lege lata), which is about legal institutions.</w:t>
      </w:r>
      <w:r w:rsidRPr="00BB1C8F">
        <w:rPr>
          <w:rStyle w:val="FootnoteReference"/>
          <w:szCs w:val="22"/>
        </w:rPr>
        <w:footnoteReference w:id="28"/>
      </w:r>
      <w:r w:rsidRPr="00BB1C8F">
        <w:rPr>
          <w:szCs w:val="22"/>
        </w:rPr>
        <w:t>(BPSK and TTPM). The comparatum is consumer dispute resolution, the comparadum is consumer protection law, and the tertium comparationis (general characteristics that exist in the legal system) are civil law and common law.</w:t>
      </w:r>
      <w:r w:rsidRPr="00BB1C8F">
        <w:rPr>
          <w:rStyle w:val="FootnoteReference"/>
          <w:szCs w:val="22"/>
        </w:rPr>
        <w:footnoteReference w:id="29"/>
      </w:r>
      <w:r w:rsidRPr="00BB1C8F">
        <w:rPr>
          <w:szCs w:val="22"/>
        </w:rPr>
        <w:t>Based on this, the research with the theme that has been mentioned has rational root arguments to be carried out.</w:t>
      </w:r>
    </w:p>
    <w:p w14:paraId="7A65D9E8" w14:textId="77777777" w:rsidR="00803550" w:rsidRPr="00BB1C8F" w:rsidRDefault="00803550" w:rsidP="00803550">
      <w:pPr>
        <w:spacing w:line="360" w:lineRule="auto"/>
        <w:ind w:left="425" w:firstLine="708"/>
        <w:rPr>
          <w:szCs w:val="22"/>
        </w:rPr>
      </w:pPr>
    </w:p>
    <w:p w14:paraId="3065804F" w14:textId="77777777" w:rsidR="00803550" w:rsidRPr="00BB1C8F" w:rsidRDefault="00803550" w:rsidP="00803550">
      <w:pPr>
        <w:pStyle w:val="ListParagraph"/>
        <w:numPr>
          <w:ilvl w:val="0"/>
          <w:numId w:val="18"/>
        </w:numPr>
        <w:suppressAutoHyphens w:val="0"/>
        <w:spacing w:after="160" w:line="360" w:lineRule="auto"/>
        <w:ind w:left="426" w:hanging="426"/>
        <w:jc w:val="left"/>
        <w:rPr>
          <w:b/>
          <w:bCs/>
          <w:szCs w:val="22"/>
        </w:rPr>
      </w:pPr>
      <w:r w:rsidRPr="00BB1C8F">
        <w:rPr>
          <w:b/>
          <w:bCs/>
          <w:szCs w:val="22"/>
        </w:rPr>
        <w:lastRenderedPageBreak/>
        <w:t>The Historicity of Consumer Protection in Malaysia and Indonesia</w:t>
      </w:r>
    </w:p>
    <w:p w14:paraId="40F8273F" w14:textId="77777777" w:rsidR="00803550" w:rsidRPr="00BB1C8F" w:rsidRDefault="00803550" w:rsidP="00803550">
      <w:pPr>
        <w:pStyle w:val="Heading3"/>
        <w:numPr>
          <w:ilvl w:val="0"/>
          <w:numId w:val="19"/>
        </w:numPr>
        <w:tabs>
          <w:tab w:val="num" w:pos="0"/>
          <w:tab w:val="num" w:pos="360"/>
        </w:tabs>
        <w:spacing w:line="360" w:lineRule="auto"/>
        <w:ind w:left="502"/>
        <w:rPr>
          <w:b w:val="0"/>
          <w:bCs w:val="0"/>
          <w:lang w:val="en-US"/>
        </w:rPr>
      </w:pPr>
      <w:bookmarkStart w:id="2" w:name="_Toc118837590"/>
      <w:r w:rsidRPr="00BB1C8F">
        <w:rPr>
          <w:b w:val="0"/>
          <w:bCs w:val="0"/>
          <w:lang w:val="en-US"/>
        </w:rPr>
        <w:t>History of the Consumer Protection Movement in Malaysia</w:t>
      </w:r>
      <w:bookmarkEnd w:id="2"/>
    </w:p>
    <w:p w14:paraId="0B067FD8" w14:textId="77777777" w:rsidR="00803550" w:rsidRPr="00BB1C8F" w:rsidRDefault="00803550" w:rsidP="00803550">
      <w:pPr>
        <w:pStyle w:val="ListParagraph"/>
        <w:spacing w:after="0" w:line="360" w:lineRule="auto"/>
        <w:ind w:left="709" w:firstLine="567"/>
        <w:rPr>
          <w:szCs w:val="22"/>
        </w:rPr>
      </w:pPr>
      <w:r w:rsidRPr="00BB1C8F">
        <w:rPr>
          <w:szCs w:val="22"/>
        </w:rPr>
        <w:t>Malaysia is the only representative country in Asia Pacific which was the center of the consumer protection movement at the beginning of the emergence of the consumer protection movement, more precisely at the third stage of the consumer protection movement in the world. However, this does not reflect the beginning of consumer protection thinking in Malaysia itself. based on the results of a literature search, consumerism in Malaysia began in the 1960s.</w:t>
      </w:r>
      <w:r w:rsidRPr="00BB1C8F">
        <w:rPr>
          <w:rStyle w:val="FootnoteReference"/>
          <w:szCs w:val="22"/>
        </w:rPr>
        <w:footnoteReference w:id="30"/>
      </w:r>
      <w:r w:rsidRPr="00BB1C8F">
        <w:rPr>
          <w:szCs w:val="22"/>
        </w:rPr>
        <w:t>The emergence of this movement was not born out of a vacuum, but as a response to price instability during the festive season, at the end of 1964, this situation increased which sparked consumer awareness in Malaysia of the importance of protecting themselves from the rising prices of these important goods. In such conditions, the public moves to urge the government to take action to stabilize the prices of basic goods.</w:t>
      </w:r>
      <w:r w:rsidRPr="00BB1C8F">
        <w:rPr>
          <w:rStyle w:val="FootnoteReference"/>
          <w:szCs w:val="22"/>
        </w:rPr>
        <w:footnoteReference w:id="31"/>
      </w:r>
    </w:p>
    <w:p w14:paraId="136340C9" w14:textId="77777777" w:rsidR="00803550" w:rsidRPr="00BB1C8F" w:rsidRDefault="00803550" w:rsidP="00803550">
      <w:pPr>
        <w:pStyle w:val="ListParagraph"/>
        <w:spacing w:after="0" w:line="360" w:lineRule="auto"/>
        <w:ind w:left="709" w:firstLine="567"/>
        <w:rPr>
          <w:szCs w:val="22"/>
        </w:rPr>
      </w:pPr>
      <w:r w:rsidRPr="00BB1C8F">
        <w:rPr>
          <w:szCs w:val="22"/>
        </w:rPr>
        <w:t>Simultaneously with the above price increase phenomenon, the first consumer association in Malaysia was formed, namely the Selangor Consumer Association in 1965, which is the oldest consumer association in Asia, its members consist of professionals, intellectuals, and middle-income people.</w:t>
      </w:r>
      <w:r w:rsidRPr="00BB1C8F">
        <w:rPr>
          <w:rStyle w:val="FootnoteReference"/>
          <w:szCs w:val="22"/>
        </w:rPr>
        <w:footnoteReference w:id="32"/>
      </w:r>
      <w:r w:rsidRPr="00BB1C8F">
        <w:rPr>
          <w:szCs w:val="22"/>
        </w:rPr>
        <w:t>The establishment of this association contributed positively to the development of consumer protection in Malaysia, four (4) years after, the Penang Consumer Association was established in November 1969, this consumer association became the most recognized association due to its volume in dealing with consumer issues.</w:t>
      </w:r>
      <w:r w:rsidRPr="00BB1C8F">
        <w:rPr>
          <w:rStyle w:val="FootnoteReference"/>
          <w:szCs w:val="22"/>
        </w:rPr>
        <w:footnoteReference w:id="33"/>
      </w:r>
    </w:p>
    <w:p w14:paraId="61B92527" w14:textId="77777777" w:rsidR="00803550" w:rsidRPr="00BB1C8F" w:rsidRDefault="00803550" w:rsidP="00803550">
      <w:pPr>
        <w:pStyle w:val="ListParagraph"/>
        <w:spacing w:after="0" w:line="360" w:lineRule="auto"/>
        <w:ind w:left="709" w:firstLine="567"/>
        <w:rPr>
          <w:szCs w:val="22"/>
        </w:rPr>
      </w:pPr>
      <w:r w:rsidRPr="00BB1C8F">
        <w:rPr>
          <w:szCs w:val="22"/>
        </w:rPr>
        <w:t>The consumer associations that existed at the state level as described above, had not yet joined the national organization, and in 1973, the Federation of Malaysian Consumer Associations (FOMCA) was established as the coordinating body for consumer movement activities in Malaysia.</w:t>
      </w:r>
      <w:r w:rsidRPr="00BB1C8F">
        <w:rPr>
          <w:rStyle w:val="FootnoteReference"/>
          <w:szCs w:val="22"/>
        </w:rPr>
        <w:footnoteReference w:id="34"/>
      </w:r>
      <w:r w:rsidRPr="00BB1C8F">
        <w:rPr>
          <w:szCs w:val="22"/>
        </w:rPr>
        <w:t>FOMCA is a voluntary association whose role is to provide information and education to increase consumer awareness. These consumer movements in Malaysia were supported by the government with the establishment of the National Consumer Protection Advisory Council (MPPPK) in July 1973.</w:t>
      </w:r>
      <w:r w:rsidRPr="00BB1C8F">
        <w:rPr>
          <w:rStyle w:val="FootnoteReference"/>
          <w:szCs w:val="22"/>
        </w:rPr>
        <w:footnoteReference w:id="35"/>
      </w:r>
    </w:p>
    <w:p w14:paraId="16D3239C" w14:textId="77777777" w:rsidR="00803550" w:rsidRPr="00BB1C8F" w:rsidRDefault="00803550" w:rsidP="00803550">
      <w:pPr>
        <w:pStyle w:val="ListParagraph"/>
        <w:spacing w:after="0" w:line="360" w:lineRule="auto"/>
        <w:ind w:left="709" w:firstLine="567"/>
        <w:rPr>
          <w:szCs w:val="22"/>
        </w:rPr>
      </w:pPr>
      <w:r w:rsidRPr="00BB1C8F">
        <w:rPr>
          <w:szCs w:val="22"/>
        </w:rPr>
        <w:t xml:space="preserve">The National Consumer Protection Advisory Council (MPPPK) has a function to formulate and coordinate government policies related to consumer interests at the national level. In Malaysia so far there have been 25 consumer associations, 14 of which are under the auspices </w:t>
      </w:r>
      <w:r w:rsidRPr="00BB1C8F">
        <w:rPr>
          <w:szCs w:val="22"/>
        </w:rPr>
        <w:lastRenderedPageBreak/>
        <w:t>of the FOMCA.</w:t>
      </w:r>
      <w:r w:rsidRPr="00BB1C8F">
        <w:rPr>
          <w:rStyle w:val="FootnoteReference"/>
          <w:szCs w:val="22"/>
        </w:rPr>
        <w:footnoteReference w:id="36"/>
      </w:r>
      <w:r w:rsidRPr="00BB1C8F">
        <w:rPr>
          <w:szCs w:val="22"/>
        </w:rPr>
        <w:t>Regulations related to consumers in Malaysia have now been taken over by the National Consumer Advisory Council (MPPN) which was established under the Consumer Protection Act 1999.</w:t>
      </w:r>
      <w:r w:rsidRPr="00BB1C8F">
        <w:rPr>
          <w:rStyle w:val="FootnoteReference"/>
          <w:szCs w:val="22"/>
        </w:rPr>
        <w:footnoteReference w:id="37"/>
      </w:r>
    </w:p>
    <w:p w14:paraId="3D09D45D" w14:textId="77777777" w:rsidR="00803550" w:rsidRPr="00BB1C8F" w:rsidRDefault="00803550" w:rsidP="00803550">
      <w:pPr>
        <w:pStyle w:val="ListParagraph"/>
        <w:spacing w:after="0" w:line="360" w:lineRule="auto"/>
        <w:ind w:left="567" w:firstLine="567"/>
        <w:rPr>
          <w:szCs w:val="22"/>
        </w:rPr>
      </w:pPr>
      <w:r w:rsidRPr="00BB1C8F">
        <w:rPr>
          <w:szCs w:val="22"/>
        </w:rPr>
        <w:t>The development of such consumer protection in Malaysia has sparked the government's attention to make a positive contribution to consumer affairs, and along with the development of the Malaysian economy, on October 27, 1990, the Ministry of Domestic Trade and Consumer Affairs (KPDNHEP),</w:t>
      </w:r>
      <w:r w:rsidRPr="00BB1C8F">
        <w:rPr>
          <w:rStyle w:val="FootnoteReference"/>
          <w:szCs w:val="22"/>
        </w:rPr>
        <w:footnoteReference w:id="38"/>
      </w:r>
      <w:r w:rsidRPr="00BB1C8F">
        <w:rPr>
          <w:szCs w:val="22"/>
        </w:rPr>
        <w:t>which is oriented towards the development of ethical domestic trade and to protect consumers was formed.</w:t>
      </w:r>
      <w:r w:rsidRPr="00BB1C8F">
        <w:rPr>
          <w:rStyle w:val="FootnoteReference"/>
          <w:szCs w:val="22"/>
        </w:rPr>
        <w:footnoteReference w:id="39"/>
      </w:r>
      <w:r w:rsidRPr="00BB1C8F">
        <w:rPr>
          <w:szCs w:val="22"/>
        </w:rPr>
        <w:t>This ministry now has two main tasks namely domestic trade and consumer protection. Functioning in the field of consumer protection, this ministry implements consumer education programs to strengthen consumer awareness and promote consumer movements.</w:t>
      </w:r>
      <w:r w:rsidRPr="00BB1C8F">
        <w:rPr>
          <w:rStyle w:val="FootnoteReference"/>
          <w:szCs w:val="22"/>
        </w:rPr>
        <w:footnoteReference w:id="40"/>
      </w:r>
    </w:p>
    <w:p w14:paraId="3D24D292" w14:textId="77777777" w:rsidR="00803550" w:rsidRPr="00BB1C8F" w:rsidRDefault="00803550" w:rsidP="00803550">
      <w:pPr>
        <w:pStyle w:val="ListParagraph"/>
        <w:spacing w:after="0" w:line="360" w:lineRule="auto"/>
        <w:ind w:left="567" w:firstLine="567"/>
        <w:rPr>
          <w:szCs w:val="22"/>
        </w:rPr>
      </w:pPr>
      <w:r w:rsidRPr="00BB1C8F">
        <w:rPr>
          <w:szCs w:val="22"/>
        </w:rPr>
        <w:t>The struggle and movement for consumer protection in Malaysia has become the focus of the community, FOMCA as the coordinator of consumer movement activities in Malaysia, in 1992 established the Center for Research and Consumer Resources, a non-governmental and non-profit organization that aims to collect information relevant to consumers and food safety. .</w:t>
      </w:r>
      <w:r w:rsidRPr="00BB1C8F">
        <w:rPr>
          <w:rStyle w:val="FootnoteReference"/>
          <w:szCs w:val="22"/>
        </w:rPr>
        <w:footnoteReference w:id="41"/>
      </w:r>
      <w:r w:rsidRPr="00BB1C8F">
        <w:rPr>
          <w:szCs w:val="22"/>
        </w:rPr>
        <w:t>Then in 2004 the National Consumer Complaint Center (NCCC) was formed as a media for solving problems faced by consumers. The NCCCC also acts as a mediator for consumers and merchants to resolve disputes before they are referred to the Malaysian User Claims Tribunal (TPPM).</w:t>
      </w:r>
      <w:r w:rsidRPr="00BB1C8F">
        <w:rPr>
          <w:rStyle w:val="FootnoteReference"/>
          <w:szCs w:val="22"/>
        </w:rPr>
        <w:footnoteReference w:id="42"/>
      </w:r>
    </w:p>
    <w:p w14:paraId="48AEFC43" w14:textId="77777777" w:rsidR="00803550" w:rsidRPr="00BB1C8F" w:rsidRDefault="00803550" w:rsidP="00803550">
      <w:pPr>
        <w:pStyle w:val="ListParagraph"/>
        <w:spacing w:after="0" w:line="360" w:lineRule="auto"/>
        <w:ind w:left="567" w:firstLine="567"/>
        <w:rPr>
          <w:szCs w:val="22"/>
        </w:rPr>
      </w:pPr>
      <w:r w:rsidRPr="00BB1C8F">
        <w:rPr>
          <w:szCs w:val="22"/>
        </w:rPr>
        <w:t>The struggle and movement for consumer protection in Malaysia does not only stop at forming associations as described above, but consumer protection is also enhanced by enforcing actions. KPDNHEP as the locomotive of domestic trade and consumer protection has enacted and amended various laws to meet today's consumer needs, such as the 1999 Consumer Protection Act as the main basis for consumer protection which ratified the Malaysian User Claims Tribunal and the National Consumer Advisory Council, Law The 1957 Goods Sales Act as a vehicle for the realization of justice for consumers who have been injured because the information provided by business actors is incomplete.</w:t>
      </w:r>
      <w:r w:rsidRPr="00BB1C8F">
        <w:rPr>
          <w:rStyle w:val="FootnoteReference"/>
          <w:szCs w:val="22"/>
        </w:rPr>
        <w:footnoteReference w:id="43"/>
      </w:r>
    </w:p>
    <w:p w14:paraId="7C106C47" w14:textId="77777777" w:rsidR="00803550" w:rsidRPr="00BB1C8F" w:rsidRDefault="00803550" w:rsidP="00803550">
      <w:pPr>
        <w:pStyle w:val="ListParagraph"/>
        <w:spacing w:after="0" w:line="360" w:lineRule="auto"/>
        <w:ind w:left="567" w:firstLine="567"/>
        <w:rPr>
          <w:szCs w:val="22"/>
        </w:rPr>
      </w:pPr>
      <w:r w:rsidRPr="00BB1C8F">
        <w:rPr>
          <w:szCs w:val="22"/>
        </w:rPr>
        <w:lastRenderedPageBreak/>
        <w:t>Consumer protection in Malaysia has existed since British colonialism, which is contained in sections 3 and 4 of the 1956 Civil Code Deed, this also shows that in its history, legislation in Malaysia at that time and on certain issues were still influenced by law. English. Contract Deed 1950 and Deed of Sale of Goods 1957 (AJB) in Malaysia which have consumer protection values, even if only the basics. The User Protection Act 1999 (APP1999) is the only consumer protection law specifically promulgated on November 15, 1999. In addition, the 2002 National Consumer Policy as a supporter of consumer protection in Malaysia should also be appreciated even though its presence is late compared to the User Protection Act, but However,</w:t>
      </w:r>
      <w:r w:rsidRPr="00BB1C8F">
        <w:rPr>
          <w:rStyle w:val="FootnoteReference"/>
          <w:szCs w:val="22"/>
        </w:rPr>
        <w:footnoteReference w:id="44"/>
      </w:r>
    </w:p>
    <w:p w14:paraId="1D16ED1C" w14:textId="77777777" w:rsidR="00803550" w:rsidRPr="00BB1C8F" w:rsidRDefault="00803550" w:rsidP="00803550">
      <w:pPr>
        <w:pStyle w:val="ListParagraph"/>
        <w:spacing w:after="0" w:line="360" w:lineRule="auto"/>
        <w:ind w:left="567" w:firstLine="567"/>
        <w:rPr>
          <w:szCs w:val="22"/>
        </w:rPr>
      </w:pPr>
      <w:r w:rsidRPr="00BB1C8F">
        <w:rPr>
          <w:szCs w:val="22"/>
        </w:rPr>
        <w:t>The promulgation of the 1999 User Protection Act is a history for the people of Malaysia that has been awaited by all parties, it is a special law on consumer protection, the formation of the User Advisory Council (Consumer Advisory Board) and the User Claims Tribunal as well as cases related to consumers. This law is the fruit of the aspirations of the Malaysian people who want a special and comprehensive law that can be used as a guide by consumers in carrying out activities, where previously consumer protection was spread across various laws which in the end consumers did not receive protection. perfectly, and the promulgation of the 1999 User Protection Act was in order to cover the imperfections of the existing law.</w:t>
      </w:r>
    </w:p>
    <w:p w14:paraId="139314D4" w14:textId="77777777" w:rsidR="00803550" w:rsidRPr="00BB1C8F" w:rsidRDefault="00803550" w:rsidP="00803550">
      <w:pPr>
        <w:pStyle w:val="ListParagraph"/>
        <w:spacing w:after="0" w:line="360" w:lineRule="auto"/>
        <w:ind w:left="567" w:firstLine="567"/>
        <w:rPr>
          <w:szCs w:val="22"/>
        </w:rPr>
      </w:pPr>
      <w:r w:rsidRPr="00BB1C8F">
        <w:rPr>
          <w:szCs w:val="22"/>
        </w:rPr>
        <w:t>The 1999 User Protection Act consists of 14 Chapters and 150 Articles. In an effort to protect consumers, the provisions of this law cover several important aspects, namely containing misleading and deceptive acts, false information and unfair practices, security of goods and services, supplier rights related to guaranteed supply of goods, producer rights related to guarantees for the supply of goods, rights for suppliers relating to guarantees in the provision of services, absolute responsibility, defective products and the establishment of the National Consumer Advisory Council and an alternative dispute resolution mechanism through the establishment of the User Claims Tribunal.</w:t>
      </w:r>
    </w:p>
    <w:p w14:paraId="0C92D1B3" w14:textId="77777777" w:rsidR="00803550" w:rsidRPr="00BB1C8F" w:rsidRDefault="00803550" w:rsidP="00803550">
      <w:pPr>
        <w:pStyle w:val="ListParagraph"/>
        <w:spacing w:after="0" w:line="360" w:lineRule="auto"/>
        <w:ind w:left="567" w:firstLine="567"/>
        <w:rPr>
          <w:szCs w:val="22"/>
        </w:rPr>
      </w:pPr>
      <w:r w:rsidRPr="00BB1C8F">
        <w:rPr>
          <w:szCs w:val="22"/>
        </w:rPr>
        <w:t>The law as mentioned above, although it does not speak in detail regarding consumers, but addresses the issue of obligations of producers and suppliers on matters involving consumers, is aimed at providing protection to the consumers themselves, which indirecht builds consumer awareness of their rights and steps that can be taken if their rights are violated by business actors.</w:t>
      </w:r>
    </w:p>
    <w:p w14:paraId="77837AD8" w14:textId="77777777" w:rsidR="00803550" w:rsidRPr="00BB1C8F" w:rsidRDefault="00803550" w:rsidP="00803550">
      <w:pPr>
        <w:pStyle w:val="Heading3"/>
        <w:numPr>
          <w:ilvl w:val="0"/>
          <w:numId w:val="19"/>
        </w:numPr>
        <w:tabs>
          <w:tab w:val="num" w:pos="0"/>
          <w:tab w:val="num" w:pos="360"/>
        </w:tabs>
        <w:spacing w:line="360" w:lineRule="auto"/>
        <w:ind w:left="502"/>
        <w:rPr>
          <w:b w:val="0"/>
          <w:bCs w:val="0"/>
          <w:lang w:val="en-US"/>
        </w:rPr>
      </w:pPr>
      <w:bookmarkStart w:id="3" w:name="_Toc118837593"/>
      <w:r w:rsidRPr="00BB1C8F">
        <w:rPr>
          <w:b w:val="0"/>
          <w:bCs w:val="0"/>
          <w:lang w:val="en-US"/>
        </w:rPr>
        <w:t>History of the Consumer Protection Movement in Indonesia</w:t>
      </w:r>
      <w:bookmarkEnd w:id="3"/>
    </w:p>
    <w:p w14:paraId="0A0CA0DD" w14:textId="77777777" w:rsidR="00803550" w:rsidRPr="00BB1C8F" w:rsidRDefault="00803550" w:rsidP="00803550">
      <w:pPr>
        <w:spacing w:line="360" w:lineRule="auto"/>
        <w:ind w:left="567" w:firstLine="709"/>
        <w:rPr>
          <w:szCs w:val="22"/>
        </w:rPr>
      </w:pPr>
      <w:r w:rsidRPr="00BB1C8F">
        <w:rPr>
          <w:szCs w:val="22"/>
        </w:rPr>
        <w:t xml:space="preserve">History The consumer protection movement in Indonesia was only really popularized around 20 years ago, namely with the establishment of the Indonesian Consumers Foundation (YLKI) Non-Governmental Organization (NGO). Then followed by similar institutions, such as </w:t>
      </w:r>
      <w:r w:rsidRPr="00BB1C8F">
        <w:rPr>
          <w:szCs w:val="22"/>
        </w:rPr>
        <w:lastRenderedPageBreak/>
        <w:t>the Consumer Development and Protection Institute (LP2K) in Semarang which was founded in February 1988 and in 1990 joined as a member of Consumers International (CI).</w:t>
      </w:r>
      <w:r w:rsidRPr="00BB1C8F">
        <w:rPr>
          <w:rStyle w:val="FootnoteReference"/>
          <w:szCs w:val="22"/>
        </w:rPr>
        <w:footnoteReference w:id="45"/>
      </w:r>
    </w:p>
    <w:p w14:paraId="21840372" w14:textId="77777777" w:rsidR="00803550" w:rsidRPr="00BB1C8F" w:rsidRDefault="00803550" w:rsidP="00803550">
      <w:pPr>
        <w:spacing w:line="360" w:lineRule="auto"/>
        <w:ind w:left="567" w:firstLine="709"/>
        <w:rPr>
          <w:szCs w:val="22"/>
        </w:rPr>
      </w:pPr>
      <w:r w:rsidRPr="00BB1C8F">
        <w:rPr>
          <w:szCs w:val="22"/>
        </w:rPr>
        <w:t>YLKI was originally formed to promote Indonesian products which were named Pekan Swakarsa. Starting from this activity, the idea emerged to establish a platform for the consumer protection movement. YLKI has branches in various provinces and has considerable influence because it is supported by mass media such as Kompas and Media Indonesia. These two national media routinely provide special columns to discuss consumer complaints. Apart from that, YLKI is also seen as a representative partner in various scientific meetings and discussion of legislation.</w:t>
      </w:r>
      <w:r w:rsidRPr="00BB1C8F">
        <w:rPr>
          <w:rStyle w:val="FootnoteReference"/>
          <w:szCs w:val="22"/>
        </w:rPr>
        <w:footnoteReference w:id="46"/>
      </w:r>
    </w:p>
    <w:p w14:paraId="6084F8FD" w14:textId="77777777" w:rsidR="00803550" w:rsidRPr="00BB1C8F" w:rsidRDefault="00803550" w:rsidP="00803550">
      <w:pPr>
        <w:spacing w:line="360" w:lineRule="auto"/>
        <w:ind w:left="567" w:firstLine="709"/>
        <w:rPr>
          <w:szCs w:val="22"/>
        </w:rPr>
      </w:pPr>
      <w:r w:rsidRPr="00BB1C8F">
        <w:rPr>
          <w:szCs w:val="22"/>
        </w:rPr>
        <w:t>YLKI research results published in the mass media also have an impact on consumers. Producers' attention to such publications can also be seen from the reactions given, both in the form of corrections and rebuttals. This shows that in its journey YLKI has been able to play a big role, especially in the movement to make consumers aware of their rights.</w:t>
      </w:r>
      <w:r w:rsidRPr="00BB1C8F">
        <w:rPr>
          <w:rStyle w:val="FootnoteReference"/>
          <w:szCs w:val="22"/>
        </w:rPr>
        <w:footnoteReference w:id="47"/>
      </w:r>
    </w:p>
    <w:p w14:paraId="6850F42C" w14:textId="77777777" w:rsidR="00803550" w:rsidRPr="00BB1C8F" w:rsidRDefault="00803550" w:rsidP="00803550">
      <w:pPr>
        <w:spacing w:line="360" w:lineRule="auto"/>
        <w:ind w:left="567" w:firstLine="709"/>
        <w:rPr>
          <w:szCs w:val="22"/>
        </w:rPr>
      </w:pPr>
      <w:r w:rsidRPr="00BB1C8F">
        <w:rPr>
          <w:szCs w:val="22"/>
        </w:rPr>
        <w:t>When compared to the long journey of consumer movement abroad, especially in the United States, YLKI is quite lucky because it doesn't have to start from scratch at all. Experience in handling cases that harm consumers in more developed countries can be used as a useful study so that Indonesia does not need to repeat similar mistakes. The same goes for cases of failed consumer advocacy.</w:t>
      </w:r>
      <w:r w:rsidRPr="00BB1C8F">
        <w:rPr>
          <w:rStyle w:val="FootnoteReference"/>
          <w:szCs w:val="22"/>
        </w:rPr>
        <w:footnoteReference w:id="48"/>
      </w:r>
    </w:p>
    <w:p w14:paraId="04B43C44" w14:textId="77777777" w:rsidR="00803550" w:rsidRPr="00BB1C8F" w:rsidRDefault="00803550" w:rsidP="00803550">
      <w:pPr>
        <w:spacing w:line="360" w:lineRule="auto"/>
        <w:ind w:left="567" w:firstLine="709"/>
        <w:rPr>
          <w:szCs w:val="22"/>
          <w:lang w:eastAsia="zh-CN"/>
        </w:rPr>
      </w:pPr>
      <w:r w:rsidRPr="00BB1C8F">
        <w:rPr>
          <w:szCs w:val="22"/>
        </w:rPr>
        <w:t>YLKI's major achievement in the consumer movement in Indonesia is the success of the academic text of the UUPK being brought to the DPR and passed into law.</w:t>
      </w:r>
      <w:r w:rsidRPr="00BB1C8F">
        <w:rPr>
          <w:rStyle w:val="FootnoteReference"/>
          <w:szCs w:val="22"/>
        </w:rPr>
        <w:footnoteReference w:id="49"/>
      </w:r>
      <w:r w:rsidRPr="00BB1C8F">
        <w:rPr>
          <w:szCs w:val="22"/>
        </w:rPr>
        <w:t>The Draft Law (RUU) on Consumer Protection is the second Initiative Proposal of the House of Representatives (DPR) after the Bill on the Prohibition of Monopolistic Practices which was initiated by 33 members of the DPR from four factions, and on December 10, 1998, this bill was approved as a Proposal The Council's initiative and subsequent deliberations were carried out like a bill originating from the government, namely the Level I Discussion, Statement of the Special Committee (Pansus) on the Bill (18 December 1998), Level II Discussion or Government Response (15 February 1999), and the response of the Special Committee (22 February 1999) ), and Level III Talks.</w:t>
      </w:r>
      <w:r w:rsidRPr="00BB1C8F">
        <w:rPr>
          <w:rStyle w:val="FootnoteReference"/>
          <w:szCs w:val="22"/>
        </w:rPr>
        <w:footnoteReference w:id="50"/>
      </w:r>
    </w:p>
    <w:p w14:paraId="1178AEFC" w14:textId="77777777" w:rsidR="00803550" w:rsidRPr="00BB1C8F" w:rsidRDefault="00803550" w:rsidP="00803550">
      <w:pPr>
        <w:spacing w:line="360" w:lineRule="auto"/>
        <w:ind w:left="567" w:firstLine="709"/>
        <w:rPr>
          <w:szCs w:val="22"/>
        </w:rPr>
      </w:pPr>
      <w:r w:rsidRPr="00BB1C8F">
        <w:rPr>
          <w:szCs w:val="22"/>
          <w:lang w:eastAsia="zh-CN"/>
        </w:rPr>
        <w:t xml:space="preserve">According to Shidarta, the birth of UUPK without diminishing appreciation for the continuous efforts put forward by YLKI, a big part in "forcing" UUPK to be born was also because </w:t>
      </w:r>
      <w:r w:rsidRPr="00BB1C8F">
        <w:rPr>
          <w:szCs w:val="22"/>
          <w:lang w:eastAsia="zh-CN"/>
        </w:rPr>
        <w:lastRenderedPageBreak/>
        <w:t>of the strong pressure from the international community. After the Indonesian government passed Law no. 7 of 1994 concerning the Agreement Establishing the World Trade Organization (WTO), there is an obligation for Indonesia to follow the legal standards that apply and are widely accepted by WTO member countries. One of them is the need for the existence of UUPK.</w:t>
      </w:r>
      <w:r w:rsidRPr="00BB1C8F">
        <w:rPr>
          <w:rStyle w:val="FootnoteReference"/>
          <w:szCs w:val="22"/>
        </w:rPr>
        <w:footnoteReference w:id="51"/>
      </w:r>
    </w:p>
    <w:p w14:paraId="5DDDA873" w14:textId="77777777" w:rsidR="00803550" w:rsidRPr="00BB1C8F" w:rsidRDefault="00803550" w:rsidP="00803550">
      <w:pPr>
        <w:spacing w:line="360" w:lineRule="auto"/>
        <w:ind w:left="567" w:firstLine="709"/>
        <w:rPr>
          <w:szCs w:val="22"/>
        </w:rPr>
      </w:pPr>
      <w:r w:rsidRPr="00BB1C8F">
        <w:rPr>
          <w:szCs w:val="22"/>
          <w:lang w:eastAsia="zh-CN"/>
        </w:rPr>
        <w:t>Based on Shidarta's explanation above, it is true what Sunaryati Hartono said that the development of national legal politics is closely related to the ideals of community development by the nation where a legal system is needed to bring the community to the intended ideals. The legal politics is not only based on social and traditional realities but also on international political realities. The WTO is the political reality of international trade which is one of the foundations for the birth of UUPK in Indonesia.</w:t>
      </w:r>
    </w:p>
    <w:p w14:paraId="1B9438BE" w14:textId="77777777" w:rsidR="00803550" w:rsidRPr="00BB1C8F" w:rsidRDefault="00803550" w:rsidP="00803550">
      <w:pPr>
        <w:spacing w:line="360" w:lineRule="auto"/>
        <w:ind w:left="567" w:firstLine="709"/>
        <w:rPr>
          <w:szCs w:val="22"/>
        </w:rPr>
      </w:pPr>
      <w:r w:rsidRPr="00BB1C8F">
        <w:rPr>
          <w:szCs w:val="22"/>
          <w:lang w:eastAsia="zh-CN"/>
        </w:rPr>
        <w:t>UUPK was born in the era of Baharuddin Jusuf Habibie's government with a transitional political configuration, namely the transition from an authoritarian political configuration to a democratic political configuration. The energy of the pro-democracy forces was oriented towards reforming the political system towards democracy, so that the issues of amending the 1945 Constitution, releasing political prisoners, freedom of the press and freedom of association were the dominating political issues at that time, while legal reforms became rather neglected.</w:t>
      </w:r>
      <w:r w:rsidRPr="00BB1C8F">
        <w:rPr>
          <w:rStyle w:val="FootnoteReference"/>
          <w:szCs w:val="22"/>
        </w:rPr>
        <w:footnoteReference w:id="52"/>
      </w:r>
      <w:r w:rsidRPr="00BB1C8F">
        <w:rPr>
          <w:szCs w:val="22"/>
        </w:rPr>
        <w:t xml:space="preserve"> </w:t>
      </w:r>
    </w:p>
    <w:p w14:paraId="20519942" w14:textId="77777777" w:rsidR="00803550" w:rsidRPr="00BB1C8F" w:rsidRDefault="00803550" w:rsidP="00803550">
      <w:pPr>
        <w:spacing w:line="360" w:lineRule="auto"/>
        <w:ind w:left="567" w:firstLine="709"/>
        <w:rPr>
          <w:szCs w:val="22"/>
        </w:rPr>
      </w:pPr>
      <w:r w:rsidRPr="00BB1C8F">
        <w:rPr>
          <w:szCs w:val="22"/>
        </w:rPr>
        <w:t>A democratic political configuration is an arrangement of a political system that opens up opportunities (opportunities) for active people's participation, fully determining legal policy. This participation is determined on the basis of a majority by the people's representatives in periodic elections which are based on the principle of political equality, and are held in an atmosphere of political freedom.</w:t>
      </w:r>
      <w:r w:rsidRPr="00BB1C8F">
        <w:rPr>
          <w:rStyle w:val="FootnoteReference"/>
          <w:szCs w:val="22"/>
        </w:rPr>
        <w:footnoteReference w:id="53"/>
      </w:r>
      <w:r w:rsidRPr="00BB1C8F">
        <w:rPr>
          <w:szCs w:val="22"/>
        </w:rPr>
        <w:t xml:space="preserve"> </w:t>
      </w:r>
    </w:p>
    <w:p w14:paraId="75713058" w14:textId="77777777" w:rsidR="00803550" w:rsidRPr="00BB1C8F" w:rsidRDefault="00803550" w:rsidP="00803550">
      <w:pPr>
        <w:spacing w:line="360" w:lineRule="auto"/>
        <w:ind w:left="567" w:firstLine="709"/>
        <w:rPr>
          <w:szCs w:val="22"/>
        </w:rPr>
      </w:pPr>
      <w:r w:rsidRPr="00BB1C8F">
        <w:rPr>
          <w:szCs w:val="22"/>
          <w:lang w:eastAsia="zh-CN"/>
        </w:rPr>
        <w:t>Meanwhile, an authoritarian political configuration is a political system arrangement that allows the state to play an active role and take all initiatives in making state policy. This configuration is characterized by the encouragement of the power elite to force unity, the elimination of open opposition, the domination of state leaders to determine state policy and the domination of power by the eternal political elite, and behind that there is a doctrine that justifies the concentration of power.</w:t>
      </w:r>
      <w:r w:rsidRPr="00BB1C8F">
        <w:rPr>
          <w:rStyle w:val="FootnoteReference"/>
          <w:szCs w:val="22"/>
        </w:rPr>
        <w:footnoteReference w:id="54"/>
      </w:r>
    </w:p>
    <w:p w14:paraId="1258A917" w14:textId="77777777" w:rsidR="00803550" w:rsidRPr="00BB1C8F" w:rsidRDefault="00803550" w:rsidP="00803550">
      <w:pPr>
        <w:spacing w:line="360" w:lineRule="auto"/>
        <w:ind w:left="567" w:firstLine="709"/>
        <w:rPr>
          <w:szCs w:val="22"/>
        </w:rPr>
      </w:pPr>
      <w:r w:rsidRPr="00BB1C8F">
        <w:rPr>
          <w:szCs w:val="22"/>
          <w:lang w:eastAsia="zh-CN"/>
        </w:rPr>
        <w:t xml:space="preserve">According to Mahfud MD, democratic political configurations can produce responsive laws, while authoritarian political configurations can produce orthodox, conservative and elitist laws. However, a law that is responsive in nature can be born from an authoritarian political </w:t>
      </w:r>
      <w:r w:rsidRPr="00BB1C8F">
        <w:rPr>
          <w:szCs w:val="22"/>
          <w:lang w:eastAsia="zh-CN"/>
        </w:rPr>
        <w:lastRenderedPageBreak/>
        <w:t>configuration, as long as the law is not related to power, such as Law Number 5 of 1960 concerning Agrarian Principles.</w:t>
      </w:r>
    </w:p>
    <w:p w14:paraId="6E5B9A6A" w14:textId="77777777" w:rsidR="00803550" w:rsidRPr="00BB1C8F" w:rsidRDefault="00803550" w:rsidP="00803550">
      <w:pPr>
        <w:spacing w:line="360" w:lineRule="auto"/>
        <w:ind w:left="567" w:firstLine="709"/>
        <w:rPr>
          <w:szCs w:val="22"/>
        </w:rPr>
      </w:pPr>
      <w:r w:rsidRPr="00BB1C8F">
        <w:rPr>
          <w:szCs w:val="22"/>
          <w:lang w:eastAsia="zh-CN"/>
        </w:rPr>
        <w:t>Based on the above, UUPK which has a responsive character, can be born in any political configuration, whether authoritarian or democratic, and it can also not be born at all. After the 1999 elections, the political configuration can be said to be quite democratic, but the UUPK has not undergone any amendments even though it has lagged far behind the development of society and is often voiced.</w:t>
      </w:r>
    </w:p>
    <w:p w14:paraId="4B3FC427" w14:textId="77777777" w:rsidR="00803550" w:rsidRPr="00BB1C8F" w:rsidRDefault="00803550" w:rsidP="00803550">
      <w:pPr>
        <w:spacing w:line="360" w:lineRule="auto"/>
        <w:ind w:left="567" w:firstLine="709"/>
        <w:rPr>
          <w:szCs w:val="22"/>
        </w:rPr>
      </w:pPr>
      <w:r w:rsidRPr="00BB1C8F">
        <w:rPr>
          <w:szCs w:val="22"/>
        </w:rPr>
        <w:t>The above is one of the arguments that democratic political configurations are not always sensitive to the legal needs of ordinary people. However, what is clear and certain is that a responsive law is born from any configuration, is not a guarantee that the material content does not contain problems, whether it is the clarity of the formulation, its consistency or coherence.</w:t>
      </w:r>
    </w:p>
    <w:p w14:paraId="6854D885" w14:textId="77777777" w:rsidR="00803550" w:rsidRPr="00BB1C8F" w:rsidRDefault="00803550" w:rsidP="00803550">
      <w:pPr>
        <w:rPr>
          <w:szCs w:val="22"/>
        </w:rPr>
      </w:pPr>
    </w:p>
    <w:p w14:paraId="1A0343AE" w14:textId="77777777" w:rsidR="00803550" w:rsidRPr="00BB1C8F" w:rsidRDefault="00803550" w:rsidP="00803550">
      <w:pPr>
        <w:pStyle w:val="ListParagraph"/>
        <w:numPr>
          <w:ilvl w:val="0"/>
          <w:numId w:val="18"/>
        </w:numPr>
        <w:suppressAutoHyphens w:val="0"/>
        <w:spacing w:after="160" w:line="360" w:lineRule="auto"/>
        <w:ind w:left="426" w:hanging="426"/>
        <w:rPr>
          <w:b/>
          <w:bCs/>
          <w:szCs w:val="22"/>
        </w:rPr>
      </w:pPr>
      <w:bookmarkStart w:id="4" w:name="_Toc118837595"/>
      <w:r w:rsidRPr="00BB1C8F">
        <w:rPr>
          <w:b/>
          <w:bCs/>
          <w:szCs w:val="22"/>
        </w:rPr>
        <w:t>Comparison of Consumer Dispute Resolution at the Malaysian User Claims Tribunal and the Indonesian Consumer Dispute Settlement Agency (BPSK).</w:t>
      </w:r>
      <w:bookmarkEnd w:id="4"/>
    </w:p>
    <w:p w14:paraId="0A482A21" w14:textId="77777777" w:rsidR="00803550" w:rsidRPr="00BB1C8F" w:rsidRDefault="00803550" w:rsidP="00803550">
      <w:pPr>
        <w:spacing w:line="360" w:lineRule="auto"/>
        <w:ind w:left="284" w:firstLine="567"/>
        <w:rPr>
          <w:szCs w:val="22"/>
        </w:rPr>
      </w:pPr>
      <w:r w:rsidRPr="00BB1C8F">
        <w:rPr>
          <w:szCs w:val="22"/>
        </w:rPr>
        <w:t>The presence of BPSK in the realm of legal institutions in the country is indeed a quite unique phenomenon. Some argue that BPSK is a kind of Small Claim Court (SCC)</w:t>
      </w:r>
      <w:r w:rsidRPr="00BB1C8F">
        <w:rPr>
          <w:rStyle w:val="FootnoteReference"/>
          <w:szCs w:val="22"/>
        </w:rPr>
        <w:footnoteReference w:id="55"/>
      </w:r>
      <w:r w:rsidRPr="00BB1C8F">
        <w:rPr>
          <w:szCs w:val="22"/>
        </w:rPr>
        <w:t>or Small Claims Tribunal (SCT) or adaptations of both.</w:t>
      </w:r>
      <w:r w:rsidRPr="00BB1C8F">
        <w:rPr>
          <w:rStyle w:val="FootnoteReference"/>
          <w:szCs w:val="22"/>
        </w:rPr>
        <w:footnoteReference w:id="56"/>
      </w:r>
      <w:r w:rsidRPr="00BB1C8F">
        <w:rPr>
          <w:szCs w:val="22"/>
        </w:rPr>
        <w:t>The existence of the Small Claim Court (SCC) in a number of countries is the inspiration for the formation of the BPSK. However, because BPSK's adaptation to SCC and SCT above was not carried out in its entirety, there was a very significant difference between the two.</w:t>
      </w:r>
      <w:r w:rsidRPr="00BB1C8F">
        <w:rPr>
          <w:rStyle w:val="FootnoteReference"/>
          <w:szCs w:val="22"/>
        </w:rPr>
        <w:footnoteReference w:id="57"/>
      </w:r>
      <w:r w:rsidRPr="00BB1C8F">
        <w:rPr>
          <w:szCs w:val="22"/>
        </w:rPr>
        <w:t>which in the end was not like SCC and SCT in resolving consumer disputes and BPSK experienced many problems.</w:t>
      </w:r>
    </w:p>
    <w:p w14:paraId="0D84E525" w14:textId="77777777" w:rsidR="00803550" w:rsidRPr="00BB1C8F" w:rsidRDefault="00803550" w:rsidP="00803550">
      <w:pPr>
        <w:spacing w:line="360" w:lineRule="auto"/>
        <w:ind w:left="284" w:firstLine="567"/>
        <w:rPr>
          <w:szCs w:val="22"/>
        </w:rPr>
      </w:pPr>
      <w:r w:rsidRPr="00BB1C8F">
        <w:rPr>
          <w:szCs w:val="22"/>
        </w:rPr>
        <w:t>SCC in Indonesia is known as a simple lawsuit which is stated last in Supreme Court Regulation No. 4 of 2019 concerning Simple Lawsuit Settlement Procedures, which states that civil lawsuits with a maximum value of Rp. 500,000,000 (five hundred million rupiah) is settled with a simple proof procedure. Such lawsuits usually occur in cases of default and/or unlawful acts (PMH).</w:t>
      </w:r>
      <w:r w:rsidRPr="00BB1C8F">
        <w:rPr>
          <w:rStyle w:val="FootnoteReference"/>
          <w:szCs w:val="22"/>
        </w:rPr>
        <w:footnoteReference w:id="58"/>
      </w:r>
    </w:p>
    <w:p w14:paraId="3E5775E9" w14:textId="77777777" w:rsidR="00803550" w:rsidRPr="00BB1C8F" w:rsidRDefault="00803550" w:rsidP="00803550">
      <w:pPr>
        <w:spacing w:line="360" w:lineRule="auto"/>
        <w:ind w:left="284" w:firstLine="567"/>
        <w:rPr>
          <w:szCs w:val="22"/>
        </w:rPr>
      </w:pPr>
      <w:r w:rsidRPr="00BB1C8F">
        <w:rPr>
          <w:szCs w:val="22"/>
        </w:rPr>
        <w:t xml:space="preserve">Settlement of civil lawsuits with a predetermined loss threshold through simple lawsuits departs from a cluster of awareness that laws that are developing in the economic and other civil </w:t>
      </w:r>
      <w:r w:rsidRPr="00BB1C8F">
        <w:rPr>
          <w:szCs w:val="22"/>
        </w:rPr>
        <w:lastRenderedPageBreak/>
        <w:t>fields, require dispute resolution whose procedures are simpler, faster and less costly, this is a form of open access for the public to obtain justice.</w:t>
      </w:r>
    </w:p>
    <w:p w14:paraId="3C5351B3" w14:textId="77777777" w:rsidR="00803550" w:rsidRPr="00BB1C8F" w:rsidRDefault="00803550" w:rsidP="00803550">
      <w:pPr>
        <w:spacing w:line="360" w:lineRule="auto"/>
        <w:ind w:left="284" w:firstLine="567"/>
        <w:rPr>
          <w:szCs w:val="22"/>
        </w:rPr>
      </w:pPr>
      <w:r w:rsidRPr="00BB1C8F">
        <w:rPr>
          <w:szCs w:val="22"/>
        </w:rPr>
        <w:t>BPSK as an institution adapted from SCC or SCT, of course there are differences and similarities when comparing BPSK and TTPM in terms of equality. These similarities and differences can be seen from several aspects as shown in the table below:</w:t>
      </w:r>
    </w:p>
    <w:tbl>
      <w:tblPr>
        <w:tblStyle w:val="TableGrid"/>
        <w:tblW w:w="0" w:type="auto"/>
        <w:tblInd w:w="284" w:type="dxa"/>
        <w:tblLook w:val="04A0" w:firstRow="1" w:lastRow="0" w:firstColumn="1" w:lastColumn="0" w:noHBand="0" w:noVBand="1"/>
      </w:tblPr>
      <w:tblGrid>
        <w:gridCol w:w="769"/>
        <w:gridCol w:w="1613"/>
        <w:gridCol w:w="2125"/>
        <w:gridCol w:w="3534"/>
      </w:tblGrid>
      <w:tr w:rsidR="00803550" w:rsidRPr="00BB1C8F" w14:paraId="2CDEF28E" w14:textId="77777777" w:rsidTr="00250022">
        <w:tc>
          <w:tcPr>
            <w:tcW w:w="524" w:type="dxa"/>
            <w:shd w:val="clear" w:color="auto" w:fill="D9D9D9" w:themeFill="background1" w:themeFillShade="D9"/>
          </w:tcPr>
          <w:p w14:paraId="637202A3" w14:textId="77777777" w:rsidR="00803550" w:rsidRPr="00BB1C8F" w:rsidRDefault="00803550" w:rsidP="00250022">
            <w:pPr>
              <w:jc w:val="center"/>
              <w:rPr>
                <w:b/>
                <w:bCs/>
                <w:szCs w:val="22"/>
              </w:rPr>
            </w:pPr>
            <w:r w:rsidRPr="00BB1C8F">
              <w:rPr>
                <w:b/>
                <w:bCs/>
                <w:szCs w:val="22"/>
              </w:rPr>
              <w:t>No</w:t>
            </w:r>
          </w:p>
        </w:tc>
        <w:tc>
          <w:tcPr>
            <w:tcW w:w="1579" w:type="dxa"/>
            <w:shd w:val="clear" w:color="auto" w:fill="D9D9D9" w:themeFill="background1" w:themeFillShade="D9"/>
          </w:tcPr>
          <w:p w14:paraId="27DC136A" w14:textId="77777777" w:rsidR="00803550" w:rsidRPr="00BB1C8F" w:rsidRDefault="00803550" w:rsidP="00250022">
            <w:pPr>
              <w:jc w:val="center"/>
              <w:rPr>
                <w:b/>
                <w:bCs/>
                <w:szCs w:val="22"/>
              </w:rPr>
            </w:pPr>
            <w:r w:rsidRPr="00BB1C8F">
              <w:rPr>
                <w:b/>
                <w:bCs/>
                <w:szCs w:val="22"/>
              </w:rPr>
              <w:t>Aspect</w:t>
            </w:r>
          </w:p>
        </w:tc>
        <w:tc>
          <w:tcPr>
            <w:tcW w:w="2125" w:type="dxa"/>
            <w:shd w:val="clear" w:color="auto" w:fill="D9D9D9" w:themeFill="background1" w:themeFillShade="D9"/>
          </w:tcPr>
          <w:p w14:paraId="40E18813" w14:textId="77777777" w:rsidR="00803550" w:rsidRPr="00BB1C8F" w:rsidRDefault="00803550" w:rsidP="00250022">
            <w:pPr>
              <w:jc w:val="center"/>
              <w:rPr>
                <w:b/>
                <w:bCs/>
                <w:szCs w:val="22"/>
              </w:rPr>
            </w:pPr>
            <w:r w:rsidRPr="00BB1C8F">
              <w:rPr>
                <w:b/>
                <w:bCs/>
                <w:szCs w:val="22"/>
              </w:rPr>
              <w:t>BPSK</w:t>
            </w:r>
          </w:p>
        </w:tc>
        <w:tc>
          <w:tcPr>
            <w:tcW w:w="3534" w:type="dxa"/>
            <w:shd w:val="clear" w:color="auto" w:fill="D9D9D9" w:themeFill="background1" w:themeFillShade="D9"/>
          </w:tcPr>
          <w:p w14:paraId="272E0E15" w14:textId="77777777" w:rsidR="00803550" w:rsidRPr="00BB1C8F" w:rsidRDefault="00803550" w:rsidP="00250022">
            <w:pPr>
              <w:jc w:val="center"/>
              <w:rPr>
                <w:b/>
                <w:bCs/>
                <w:szCs w:val="22"/>
              </w:rPr>
            </w:pPr>
            <w:r w:rsidRPr="00BB1C8F">
              <w:rPr>
                <w:b/>
                <w:bCs/>
                <w:szCs w:val="22"/>
              </w:rPr>
              <w:t>TTPM</w:t>
            </w:r>
          </w:p>
        </w:tc>
      </w:tr>
      <w:tr w:rsidR="00803550" w:rsidRPr="00BB1C8F" w14:paraId="031C532A" w14:textId="77777777" w:rsidTr="00250022">
        <w:tc>
          <w:tcPr>
            <w:tcW w:w="524" w:type="dxa"/>
          </w:tcPr>
          <w:p w14:paraId="000BEA89" w14:textId="77777777" w:rsidR="00803550" w:rsidRPr="00BB1C8F" w:rsidRDefault="00803550" w:rsidP="00250022">
            <w:pPr>
              <w:rPr>
                <w:szCs w:val="22"/>
              </w:rPr>
            </w:pPr>
            <w:r w:rsidRPr="00BB1C8F">
              <w:rPr>
                <w:szCs w:val="22"/>
              </w:rPr>
              <w:t>1</w:t>
            </w:r>
          </w:p>
        </w:tc>
        <w:tc>
          <w:tcPr>
            <w:tcW w:w="1579" w:type="dxa"/>
          </w:tcPr>
          <w:p w14:paraId="64313F0B" w14:textId="77777777" w:rsidR="00803550" w:rsidRPr="00BB1C8F" w:rsidRDefault="00803550" w:rsidP="00250022">
            <w:pPr>
              <w:rPr>
                <w:szCs w:val="22"/>
              </w:rPr>
            </w:pPr>
            <w:r w:rsidRPr="00BB1C8F">
              <w:rPr>
                <w:szCs w:val="22"/>
              </w:rPr>
              <w:t>position</w:t>
            </w:r>
          </w:p>
        </w:tc>
        <w:tc>
          <w:tcPr>
            <w:tcW w:w="2125" w:type="dxa"/>
          </w:tcPr>
          <w:p w14:paraId="504C6875" w14:textId="77777777" w:rsidR="00803550" w:rsidRPr="00BB1C8F" w:rsidRDefault="00803550" w:rsidP="00250022">
            <w:pPr>
              <w:rPr>
                <w:szCs w:val="22"/>
              </w:rPr>
            </w:pPr>
            <w:r w:rsidRPr="00BB1C8F">
              <w:rPr>
                <w:szCs w:val="22"/>
              </w:rPr>
              <w:t>Regencies/Cities But Partly in the Province</w:t>
            </w:r>
          </w:p>
        </w:tc>
        <w:tc>
          <w:tcPr>
            <w:tcW w:w="3534" w:type="dxa"/>
          </w:tcPr>
          <w:p w14:paraId="1E50215B" w14:textId="77777777" w:rsidR="00803550" w:rsidRPr="00BB1C8F" w:rsidRDefault="00803550" w:rsidP="00250022">
            <w:pPr>
              <w:rPr>
                <w:szCs w:val="22"/>
              </w:rPr>
            </w:pPr>
            <w:r w:rsidRPr="00BB1C8F">
              <w:rPr>
                <w:szCs w:val="22"/>
              </w:rPr>
              <w:t>State (Province)</w:t>
            </w:r>
          </w:p>
        </w:tc>
      </w:tr>
      <w:tr w:rsidR="00803550" w:rsidRPr="00BB1C8F" w14:paraId="5EC3FEA1" w14:textId="77777777" w:rsidTr="00250022">
        <w:tc>
          <w:tcPr>
            <w:tcW w:w="524" w:type="dxa"/>
          </w:tcPr>
          <w:p w14:paraId="70AF2116" w14:textId="77777777" w:rsidR="00803550" w:rsidRPr="00BB1C8F" w:rsidRDefault="00803550" w:rsidP="00250022">
            <w:pPr>
              <w:rPr>
                <w:szCs w:val="22"/>
              </w:rPr>
            </w:pPr>
            <w:r w:rsidRPr="00BB1C8F">
              <w:rPr>
                <w:szCs w:val="22"/>
              </w:rPr>
              <w:t>2</w:t>
            </w:r>
          </w:p>
        </w:tc>
        <w:tc>
          <w:tcPr>
            <w:tcW w:w="1579" w:type="dxa"/>
          </w:tcPr>
          <w:p w14:paraId="099536FE" w14:textId="77777777" w:rsidR="00803550" w:rsidRPr="00BB1C8F" w:rsidRDefault="00803550" w:rsidP="00250022">
            <w:pPr>
              <w:rPr>
                <w:szCs w:val="22"/>
              </w:rPr>
            </w:pPr>
            <w:r w:rsidRPr="00BB1C8F">
              <w:rPr>
                <w:szCs w:val="22"/>
              </w:rPr>
              <w:t>Ministry Affiliation</w:t>
            </w:r>
          </w:p>
        </w:tc>
        <w:tc>
          <w:tcPr>
            <w:tcW w:w="2125" w:type="dxa"/>
          </w:tcPr>
          <w:p w14:paraId="3C6B6B57" w14:textId="77777777" w:rsidR="00803550" w:rsidRPr="00BB1C8F" w:rsidRDefault="00803550" w:rsidP="00250022">
            <w:pPr>
              <w:rPr>
                <w:szCs w:val="22"/>
              </w:rPr>
            </w:pPr>
            <w:r w:rsidRPr="00BB1C8F">
              <w:rPr>
                <w:szCs w:val="22"/>
              </w:rPr>
              <w:t>Under the Ministry of Commerce</w:t>
            </w:r>
          </w:p>
        </w:tc>
        <w:tc>
          <w:tcPr>
            <w:tcW w:w="3534" w:type="dxa"/>
          </w:tcPr>
          <w:p w14:paraId="0001C3DF" w14:textId="77777777" w:rsidR="00803550" w:rsidRPr="00BB1C8F" w:rsidRDefault="00803550" w:rsidP="00250022">
            <w:pPr>
              <w:rPr>
                <w:szCs w:val="22"/>
              </w:rPr>
            </w:pPr>
            <w:r w:rsidRPr="00BB1C8F">
              <w:rPr>
                <w:szCs w:val="22"/>
              </w:rPr>
              <w:t>Under the Ministry of Domestic Trade and Consumer Affairs</w:t>
            </w:r>
          </w:p>
        </w:tc>
      </w:tr>
      <w:tr w:rsidR="00803550" w:rsidRPr="00BB1C8F" w14:paraId="7BE5DDD2" w14:textId="77777777" w:rsidTr="00250022">
        <w:tc>
          <w:tcPr>
            <w:tcW w:w="524" w:type="dxa"/>
          </w:tcPr>
          <w:p w14:paraId="200C3E4F" w14:textId="77777777" w:rsidR="00803550" w:rsidRPr="00BB1C8F" w:rsidRDefault="00803550" w:rsidP="00250022">
            <w:pPr>
              <w:rPr>
                <w:szCs w:val="22"/>
              </w:rPr>
            </w:pPr>
            <w:r w:rsidRPr="00BB1C8F">
              <w:rPr>
                <w:szCs w:val="22"/>
              </w:rPr>
              <w:t>3</w:t>
            </w:r>
          </w:p>
        </w:tc>
        <w:tc>
          <w:tcPr>
            <w:tcW w:w="1579" w:type="dxa"/>
          </w:tcPr>
          <w:p w14:paraId="10BF198B" w14:textId="77777777" w:rsidR="00803550" w:rsidRPr="00BB1C8F" w:rsidRDefault="00803550" w:rsidP="00250022">
            <w:pPr>
              <w:rPr>
                <w:szCs w:val="22"/>
              </w:rPr>
            </w:pPr>
            <w:r w:rsidRPr="00BB1C8F">
              <w:rPr>
                <w:szCs w:val="22"/>
              </w:rPr>
              <w:t>Membership Requirements</w:t>
            </w:r>
          </w:p>
        </w:tc>
        <w:tc>
          <w:tcPr>
            <w:tcW w:w="2125" w:type="dxa"/>
          </w:tcPr>
          <w:p w14:paraId="0E43AFDB" w14:textId="77777777" w:rsidR="00803550" w:rsidRPr="00BB1C8F" w:rsidRDefault="00803550" w:rsidP="00250022">
            <w:pPr>
              <w:rPr>
                <w:szCs w:val="22"/>
              </w:rPr>
            </w:pPr>
            <w:r w:rsidRPr="00BB1C8F">
              <w:rPr>
                <w:szCs w:val="22"/>
              </w:rPr>
              <w:t>Must come from elements, namely elements of the government, consumers and business actors and must at least have a background in the field of law</w:t>
            </w:r>
          </w:p>
        </w:tc>
        <w:tc>
          <w:tcPr>
            <w:tcW w:w="3534" w:type="dxa"/>
          </w:tcPr>
          <w:p w14:paraId="55BE2D8A" w14:textId="77777777" w:rsidR="00803550" w:rsidRPr="00BB1C8F" w:rsidRDefault="00803550" w:rsidP="00250022">
            <w:pPr>
              <w:rPr>
                <w:szCs w:val="22"/>
              </w:rPr>
            </w:pPr>
            <w:r w:rsidRPr="00BB1C8F">
              <w:rPr>
                <w:szCs w:val="22"/>
              </w:rPr>
              <w:t>Must have a legal background. (a) is a member of the judiciary and statutory bodies or a person who fulfills the requirements for understanding in the Deed of Profession Act 1976 (Deed 166), Sabah Advocate Odonance (Chapter 2) or Sarawak Advocate Ordinance (Chapter 110) as needed, (b) or other than those mentioned above but have previously held the position specified in the Fourth Schedule for the Deed of the Lower Court 1948 (deed 92), or (c) a combination of a and b.</w:t>
            </w:r>
          </w:p>
        </w:tc>
      </w:tr>
      <w:tr w:rsidR="00803550" w:rsidRPr="00BB1C8F" w14:paraId="23E0DD32" w14:textId="77777777" w:rsidTr="00250022">
        <w:tc>
          <w:tcPr>
            <w:tcW w:w="524" w:type="dxa"/>
          </w:tcPr>
          <w:p w14:paraId="3C7BC790" w14:textId="77777777" w:rsidR="00803550" w:rsidRPr="00BB1C8F" w:rsidRDefault="00803550" w:rsidP="00250022">
            <w:pPr>
              <w:rPr>
                <w:szCs w:val="22"/>
              </w:rPr>
            </w:pPr>
            <w:r w:rsidRPr="00BB1C8F">
              <w:rPr>
                <w:szCs w:val="22"/>
              </w:rPr>
              <w:t>4</w:t>
            </w:r>
          </w:p>
        </w:tc>
        <w:tc>
          <w:tcPr>
            <w:tcW w:w="1579" w:type="dxa"/>
          </w:tcPr>
          <w:p w14:paraId="73A3A5F8" w14:textId="77777777" w:rsidR="00803550" w:rsidRPr="00BB1C8F" w:rsidRDefault="00803550" w:rsidP="00250022">
            <w:pPr>
              <w:rPr>
                <w:szCs w:val="22"/>
              </w:rPr>
            </w:pPr>
            <w:r w:rsidRPr="00BB1C8F">
              <w:rPr>
                <w:szCs w:val="22"/>
              </w:rPr>
              <w:t>Application Type</w:t>
            </w:r>
          </w:p>
        </w:tc>
        <w:tc>
          <w:tcPr>
            <w:tcW w:w="2125" w:type="dxa"/>
          </w:tcPr>
          <w:p w14:paraId="6822FFF2" w14:textId="77777777" w:rsidR="00803550" w:rsidRPr="00BB1C8F" w:rsidRDefault="00803550" w:rsidP="00250022">
            <w:pPr>
              <w:rPr>
                <w:szCs w:val="22"/>
              </w:rPr>
            </w:pPr>
            <w:r w:rsidRPr="00BB1C8F">
              <w:rPr>
                <w:szCs w:val="22"/>
              </w:rPr>
              <w:t>Complaints and Requests</w:t>
            </w:r>
          </w:p>
        </w:tc>
        <w:tc>
          <w:tcPr>
            <w:tcW w:w="3534" w:type="dxa"/>
          </w:tcPr>
          <w:p w14:paraId="21C1D3A3" w14:textId="77777777" w:rsidR="00803550" w:rsidRPr="00BB1C8F" w:rsidRDefault="00803550" w:rsidP="00250022">
            <w:pPr>
              <w:rPr>
                <w:szCs w:val="22"/>
              </w:rPr>
            </w:pPr>
            <w:r w:rsidRPr="00BB1C8F">
              <w:rPr>
                <w:szCs w:val="22"/>
              </w:rPr>
              <w:t>Only accept Lawsuits and do not accept complaints</w:t>
            </w:r>
          </w:p>
        </w:tc>
      </w:tr>
      <w:tr w:rsidR="00803550" w:rsidRPr="00BB1C8F" w14:paraId="163EC4DD" w14:textId="77777777" w:rsidTr="00250022">
        <w:tc>
          <w:tcPr>
            <w:tcW w:w="524" w:type="dxa"/>
          </w:tcPr>
          <w:p w14:paraId="04929DDC" w14:textId="77777777" w:rsidR="00803550" w:rsidRPr="00BB1C8F" w:rsidRDefault="00803550" w:rsidP="00250022">
            <w:pPr>
              <w:rPr>
                <w:szCs w:val="22"/>
              </w:rPr>
            </w:pPr>
            <w:r w:rsidRPr="00BB1C8F">
              <w:rPr>
                <w:szCs w:val="22"/>
              </w:rPr>
              <w:t>5</w:t>
            </w:r>
          </w:p>
        </w:tc>
        <w:tc>
          <w:tcPr>
            <w:tcW w:w="1579" w:type="dxa"/>
          </w:tcPr>
          <w:p w14:paraId="07BEBA78" w14:textId="77777777" w:rsidR="00803550" w:rsidRPr="00BB1C8F" w:rsidRDefault="00803550" w:rsidP="00250022">
            <w:pPr>
              <w:rPr>
                <w:szCs w:val="22"/>
              </w:rPr>
            </w:pPr>
            <w:r w:rsidRPr="00BB1C8F">
              <w:rPr>
                <w:szCs w:val="22"/>
              </w:rPr>
              <w:t>Authority</w:t>
            </w:r>
          </w:p>
        </w:tc>
        <w:tc>
          <w:tcPr>
            <w:tcW w:w="2125" w:type="dxa"/>
          </w:tcPr>
          <w:p w14:paraId="3B045440" w14:textId="77777777" w:rsidR="00803550" w:rsidRPr="00BB1C8F" w:rsidRDefault="00803550" w:rsidP="00250022">
            <w:pPr>
              <w:rPr>
                <w:szCs w:val="22"/>
              </w:rPr>
            </w:pPr>
            <w:r w:rsidRPr="00BB1C8F">
              <w:rPr>
                <w:szCs w:val="22"/>
              </w:rPr>
              <w:t>Not only handling consumer disputes</w:t>
            </w:r>
          </w:p>
        </w:tc>
        <w:tc>
          <w:tcPr>
            <w:tcW w:w="3534" w:type="dxa"/>
          </w:tcPr>
          <w:p w14:paraId="3021001B" w14:textId="77777777" w:rsidR="00803550" w:rsidRPr="00BB1C8F" w:rsidRDefault="00803550" w:rsidP="00250022">
            <w:pPr>
              <w:pStyle w:val="ListParagraph"/>
              <w:ind w:left="21" w:firstLine="5"/>
              <w:rPr>
                <w:szCs w:val="22"/>
              </w:rPr>
            </w:pPr>
            <w:r w:rsidRPr="00BB1C8F">
              <w:rPr>
                <w:szCs w:val="22"/>
              </w:rPr>
              <w:t>Only handle consumer disputes, namely: (1) disputes arising from personal injury or death, (2) disputes to restore land or plantations or interests in land, (3) disputes that question the ownership of land or plantations or interests in land, or what franchise also, (4) disputes involving disputes about (a) the right to carry out a will or provisions, or the cause of death of the will, (b) good name, (c) anything in the act, (d) trade secrets or other intellectual property; and, (5) when a tribunal is established by other written law to hear and decide claims on the subject matter of the claim.</w:t>
            </w:r>
          </w:p>
          <w:p w14:paraId="7D0DD203" w14:textId="77777777" w:rsidR="00803550" w:rsidRPr="00BB1C8F" w:rsidRDefault="00803550" w:rsidP="00250022">
            <w:pPr>
              <w:rPr>
                <w:szCs w:val="22"/>
              </w:rPr>
            </w:pPr>
          </w:p>
        </w:tc>
      </w:tr>
      <w:tr w:rsidR="00803550" w:rsidRPr="00BB1C8F" w14:paraId="4E7E7934" w14:textId="77777777" w:rsidTr="00250022">
        <w:tc>
          <w:tcPr>
            <w:tcW w:w="524" w:type="dxa"/>
          </w:tcPr>
          <w:p w14:paraId="01130ADC" w14:textId="77777777" w:rsidR="00803550" w:rsidRPr="00BB1C8F" w:rsidRDefault="00803550" w:rsidP="00250022">
            <w:pPr>
              <w:rPr>
                <w:szCs w:val="22"/>
              </w:rPr>
            </w:pPr>
            <w:r w:rsidRPr="00BB1C8F">
              <w:rPr>
                <w:szCs w:val="22"/>
              </w:rPr>
              <w:t>6</w:t>
            </w:r>
          </w:p>
        </w:tc>
        <w:tc>
          <w:tcPr>
            <w:tcW w:w="1579" w:type="dxa"/>
          </w:tcPr>
          <w:p w14:paraId="529452B7" w14:textId="77777777" w:rsidR="00803550" w:rsidRPr="00BB1C8F" w:rsidRDefault="00803550" w:rsidP="00250022">
            <w:pPr>
              <w:rPr>
                <w:szCs w:val="22"/>
              </w:rPr>
            </w:pPr>
            <w:r w:rsidRPr="00BB1C8F">
              <w:rPr>
                <w:szCs w:val="22"/>
              </w:rPr>
              <w:t>Expansion of Authority</w:t>
            </w:r>
          </w:p>
        </w:tc>
        <w:tc>
          <w:tcPr>
            <w:tcW w:w="2125" w:type="dxa"/>
          </w:tcPr>
          <w:p w14:paraId="1F362A8C" w14:textId="77777777" w:rsidR="00803550" w:rsidRPr="00BB1C8F" w:rsidRDefault="00803550" w:rsidP="00250022">
            <w:pPr>
              <w:rPr>
                <w:szCs w:val="22"/>
              </w:rPr>
            </w:pPr>
            <w:r w:rsidRPr="00BB1C8F">
              <w:rPr>
                <w:szCs w:val="22"/>
              </w:rPr>
              <w:t>No discretion to expand authority</w:t>
            </w:r>
          </w:p>
        </w:tc>
        <w:tc>
          <w:tcPr>
            <w:tcW w:w="3534" w:type="dxa"/>
          </w:tcPr>
          <w:p w14:paraId="7C0B09A8" w14:textId="77777777" w:rsidR="00803550" w:rsidRPr="00BB1C8F" w:rsidRDefault="00803550" w:rsidP="00250022">
            <w:pPr>
              <w:rPr>
                <w:szCs w:val="22"/>
              </w:rPr>
            </w:pPr>
            <w:r w:rsidRPr="00BB1C8F">
              <w:rPr>
                <w:szCs w:val="22"/>
              </w:rPr>
              <w:t xml:space="preserve">In certain cases, the Ministry of Domestic Trade and Consumer </w:t>
            </w:r>
            <w:r w:rsidRPr="00BB1C8F">
              <w:rPr>
                <w:szCs w:val="22"/>
              </w:rPr>
              <w:lastRenderedPageBreak/>
              <w:t>Protection can expand the authority of TTPM</w:t>
            </w:r>
          </w:p>
        </w:tc>
      </w:tr>
      <w:tr w:rsidR="00803550" w:rsidRPr="00BB1C8F" w14:paraId="123E14DB" w14:textId="77777777" w:rsidTr="00250022">
        <w:tc>
          <w:tcPr>
            <w:tcW w:w="524" w:type="dxa"/>
          </w:tcPr>
          <w:p w14:paraId="64FC8D71" w14:textId="77777777" w:rsidR="00803550" w:rsidRPr="00BB1C8F" w:rsidRDefault="00803550" w:rsidP="00250022">
            <w:pPr>
              <w:rPr>
                <w:szCs w:val="22"/>
              </w:rPr>
            </w:pPr>
            <w:r w:rsidRPr="00BB1C8F">
              <w:rPr>
                <w:szCs w:val="22"/>
              </w:rPr>
              <w:lastRenderedPageBreak/>
              <w:t>7</w:t>
            </w:r>
          </w:p>
        </w:tc>
        <w:tc>
          <w:tcPr>
            <w:tcW w:w="1579" w:type="dxa"/>
          </w:tcPr>
          <w:p w14:paraId="47CB01D1" w14:textId="77777777" w:rsidR="00803550" w:rsidRPr="00BB1C8F" w:rsidRDefault="00803550" w:rsidP="00250022">
            <w:pPr>
              <w:rPr>
                <w:szCs w:val="22"/>
              </w:rPr>
            </w:pPr>
            <w:r w:rsidRPr="00BB1C8F">
              <w:rPr>
                <w:szCs w:val="22"/>
              </w:rPr>
              <w:t>Limitation of Lawsuit Value</w:t>
            </w:r>
          </w:p>
        </w:tc>
        <w:tc>
          <w:tcPr>
            <w:tcW w:w="2125" w:type="dxa"/>
          </w:tcPr>
          <w:p w14:paraId="521179A1" w14:textId="77777777" w:rsidR="00803550" w:rsidRPr="00BB1C8F" w:rsidRDefault="00803550" w:rsidP="00250022">
            <w:pPr>
              <w:rPr>
                <w:szCs w:val="22"/>
              </w:rPr>
            </w:pPr>
            <w:r w:rsidRPr="00BB1C8F">
              <w:rPr>
                <w:szCs w:val="22"/>
              </w:rPr>
              <w:t>There is no limit to the value of the lawsuit, it's just that in imposing administrative sanctions it is limited to a minimum of Rp. 200,000,000</w:t>
            </w:r>
          </w:p>
        </w:tc>
        <w:tc>
          <w:tcPr>
            <w:tcW w:w="3534" w:type="dxa"/>
          </w:tcPr>
          <w:p w14:paraId="0373F301" w14:textId="77777777" w:rsidR="00803550" w:rsidRPr="00BB1C8F" w:rsidRDefault="00803550" w:rsidP="00250022">
            <w:pPr>
              <w:rPr>
                <w:szCs w:val="22"/>
              </w:rPr>
            </w:pPr>
            <w:r w:rsidRPr="00BB1C8F">
              <w:rPr>
                <w:szCs w:val="22"/>
              </w:rPr>
              <w:t>Limited to a maximum of RM. 50,000. but on the basis of the agreement TTPM can settle the lawsuit above that value</w:t>
            </w:r>
          </w:p>
        </w:tc>
      </w:tr>
      <w:tr w:rsidR="00803550" w:rsidRPr="00BB1C8F" w14:paraId="787CD8E8" w14:textId="77777777" w:rsidTr="00250022">
        <w:tc>
          <w:tcPr>
            <w:tcW w:w="524" w:type="dxa"/>
          </w:tcPr>
          <w:p w14:paraId="72B2BE77" w14:textId="77777777" w:rsidR="00803550" w:rsidRPr="00BB1C8F" w:rsidRDefault="00803550" w:rsidP="00250022">
            <w:pPr>
              <w:rPr>
                <w:szCs w:val="22"/>
              </w:rPr>
            </w:pPr>
            <w:r w:rsidRPr="00BB1C8F">
              <w:rPr>
                <w:szCs w:val="22"/>
              </w:rPr>
              <w:t>8</w:t>
            </w:r>
          </w:p>
        </w:tc>
        <w:tc>
          <w:tcPr>
            <w:tcW w:w="1579" w:type="dxa"/>
          </w:tcPr>
          <w:p w14:paraId="4E41E22D" w14:textId="77777777" w:rsidR="00803550" w:rsidRPr="00BB1C8F" w:rsidRDefault="00803550" w:rsidP="00250022">
            <w:pPr>
              <w:rPr>
                <w:szCs w:val="22"/>
              </w:rPr>
            </w:pPr>
            <w:r w:rsidRPr="00BB1C8F">
              <w:rPr>
                <w:szCs w:val="22"/>
              </w:rPr>
              <w:t>Settlement Model</w:t>
            </w:r>
          </w:p>
        </w:tc>
        <w:tc>
          <w:tcPr>
            <w:tcW w:w="2125" w:type="dxa"/>
          </w:tcPr>
          <w:p w14:paraId="508EB76E" w14:textId="77777777" w:rsidR="00803550" w:rsidRPr="00BB1C8F" w:rsidRDefault="00803550" w:rsidP="00250022">
            <w:pPr>
              <w:rPr>
                <w:szCs w:val="22"/>
              </w:rPr>
            </w:pPr>
            <w:r w:rsidRPr="00BB1C8F">
              <w:rPr>
                <w:szCs w:val="22"/>
              </w:rPr>
              <w:t>Conciliation-mediation and arbitration are not tiered and are based on the agreement of the disputing parties</w:t>
            </w:r>
          </w:p>
        </w:tc>
        <w:tc>
          <w:tcPr>
            <w:tcW w:w="3534" w:type="dxa"/>
          </w:tcPr>
          <w:p w14:paraId="0E1FE40F" w14:textId="77777777" w:rsidR="00803550" w:rsidRPr="00BB1C8F" w:rsidRDefault="00803550" w:rsidP="00250022">
            <w:pPr>
              <w:rPr>
                <w:szCs w:val="22"/>
              </w:rPr>
            </w:pPr>
            <w:r w:rsidRPr="00BB1C8F">
              <w:rPr>
                <w:szCs w:val="22"/>
              </w:rPr>
              <w:t>Mediation and arbitration without having to go through the agreement of the parties</w:t>
            </w:r>
          </w:p>
        </w:tc>
      </w:tr>
      <w:tr w:rsidR="00803550" w:rsidRPr="00BB1C8F" w14:paraId="5389441B" w14:textId="77777777" w:rsidTr="00250022">
        <w:tc>
          <w:tcPr>
            <w:tcW w:w="524" w:type="dxa"/>
          </w:tcPr>
          <w:p w14:paraId="689A24BB" w14:textId="77777777" w:rsidR="00803550" w:rsidRPr="00BB1C8F" w:rsidRDefault="00803550" w:rsidP="00250022">
            <w:pPr>
              <w:rPr>
                <w:szCs w:val="22"/>
              </w:rPr>
            </w:pPr>
            <w:r w:rsidRPr="00BB1C8F">
              <w:rPr>
                <w:szCs w:val="22"/>
              </w:rPr>
              <w:t>9</w:t>
            </w:r>
          </w:p>
        </w:tc>
        <w:tc>
          <w:tcPr>
            <w:tcW w:w="1579" w:type="dxa"/>
          </w:tcPr>
          <w:p w14:paraId="7C7FFBDD" w14:textId="77777777" w:rsidR="00803550" w:rsidRPr="00BB1C8F" w:rsidRDefault="00803550" w:rsidP="00250022">
            <w:pPr>
              <w:rPr>
                <w:szCs w:val="22"/>
              </w:rPr>
            </w:pPr>
            <w:r w:rsidRPr="00BB1C8F">
              <w:rPr>
                <w:szCs w:val="22"/>
              </w:rPr>
              <w:t>Summons of the parties</w:t>
            </w:r>
          </w:p>
        </w:tc>
        <w:tc>
          <w:tcPr>
            <w:tcW w:w="2125" w:type="dxa"/>
          </w:tcPr>
          <w:p w14:paraId="54EE36A2" w14:textId="77777777" w:rsidR="00803550" w:rsidRPr="00BB1C8F" w:rsidRDefault="00803550" w:rsidP="00250022">
            <w:pPr>
              <w:rPr>
                <w:szCs w:val="22"/>
              </w:rPr>
            </w:pPr>
            <w:r w:rsidRPr="00BB1C8F">
              <w:rPr>
                <w:szCs w:val="22"/>
              </w:rPr>
              <w:t>Ask for the help of investigators, both Civil Servant Investigators, and Investigators from the Police</w:t>
            </w:r>
          </w:p>
        </w:tc>
        <w:tc>
          <w:tcPr>
            <w:tcW w:w="3534" w:type="dxa"/>
          </w:tcPr>
          <w:p w14:paraId="51B2CDAD" w14:textId="77777777" w:rsidR="00803550" w:rsidRPr="00BB1C8F" w:rsidRDefault="00803550" w:rsidP="00250022">
            <w:pPr>
              <w:rPr>
                <w:szCs w:val="22"/>
              </w:rPr>
            </w:pPr>
            <w:r w:rsidRPr="00BB1C8F">
              <w:rPr>
                <w:szCs w:val="22"/>
              </w:rPr>
              <w:t>Summons must be submitted and enforced as if they were summons issued by a lower court (Majistret Court).</w:t>
            </w:r>
          </w:p>
        </w:tc>
      </w:tr>
      <w:tr w:rsidR="00803550" w:rsidRPr="00BB1C8F" w14:paraId="2762966D" w14:textId="77777777" w:rsidTr="00250022">
        <w:tc>
          <w:tcPr>
            <w:tcW w:w="524" w:type="dxa"/>
          </w:tcPr>
          <w:p w14:paraId="5406ACFA" w14:textId="77777777" w:rsidR="00803550" w:rsidRPr="00BB1C8F" w:rsidRDefault="00803550" w:rsidP="00250022">
            <w:pPr>
              <w:rPr>
                <w:szCs w:val="22"/>
              </w:rPr>
            </w:pPr>
            <w:r w:rsidRPr="00BB1C8F">
              <w:rPr>
                <w:szCs w:val="22"/>
              </w:rPr>
              <w:t>10</w:t>
            </w:r>
          </w:p>
        </w:tc>
        <w:tc>
          <w:tcPr>
            <w:tcW w:w="1579" w:type="dxa"/>
          </w:tcPr>
          <w:p w14:paraId="1F26E59D" w14:textId="77777777" w:rsidR="00803550" w:rsidRPr="00BB1C8F" w:rsidRDefault="00803550" w:rsidP="00250022">
            <w:pPr>
              <w:rPr>
                <w:szCs w:val="22"/>
              </w:rPr>
            </w:pPr>
            <w:r w:rsidRPr="00BB1C8F">
              <w:rPr>
                <w:szCs w:val="22"/>
              </w:rPr>
              <w:t>Failed, case recall</w:t>
            </w:r>
          </w:p>
        </w:tc>
        <w:tc>
          <w:tcPr>
            <w:tcW w:w="2125" w:type="dxa"/>
          </w:tcPr>
          <w:p w14:paraId="32437601" w14:textId="77777777" w:rsidR="00803550" w:rsidRPr="00BB1C8F" w:rsidRDefault="00803550" w:rsidP="00250022">
            <w:pPr>
              <w:rPr>
                <w:szCs w:val="22"/>
              </w:rPr>
            </w:pPr>
            <w:r w:rsidRPr="00BB1C8F">
              <w:rPr>
                <w:szCs w:val="22"/>
              </w:rPr>
              <w:t>Either party can declare the dispute settlement failed and if one party does not come, then the dispute resolution is considered failed</w:t>
            </w:r>
          </w:p>
        </w:tc>
        <w:tc>
          <w:tcPr>
            <w:tcW w:w="3534" w:type="dxa"/>
          </w:tcPr>
          <w:p w14:paraId="6112C028" w14:textId="77777777" w:rsidR="00803550" w:rsidRPr="00BB1C8F" w:rsidRDefault="00803550" w:rsidP="00250022">
            <w:pPr>
              <w:rPr>
                <w:szCs w:val="22"/>
              </w:rPr>
            </w:pPr>
            <w:r w:rsidRPr="00BB1C8F">
              <w:rPr>
                <w:szCs w:val="22"/>
              </w:rPr>
              <w:t>A lawsuit that goes to court becomes invalid unless: (a) the claim has been tried at the Court before being submitted to TTPM, (b) the claim has been withdrawn or canceled by the parties. The lawsuit is still being processed until the decision is issued even though the defendant is not present.</w:t>
            </w:r>
          </w:p>
        </w:tc>
      </w:tr>
      <w:tr w:rsidR="00803550" w:rsidRPr="00BB1C8F" w14:paraId="10B7FD64" w14:textId="77777777" w:rsidTr="00250022">
        <w:tc>
          <w:tcPr>
            <w:tcW w:w="524" w:type="dxa"/>
          </w:tcPr>
          <w:p w14:paraId="0C31898D" w14:textId="77777777" w:rsidR="00803550" w:rsidRPr="00BB1C8F" w:rsidRDefault="00803550" w:rsidP="00250022">
            <w:pPr>
              <w:rPr>
                <w:color w:val="000000" w:themeColor="text1"/>
                <w:szCs w:val="22"/>
              </w:rPr>
            </w:pPr>
            <w:r w:rsidRPr="00BB1C8F">
              <w:rPr>
                <w:color w:val="000000" w:themeColor="text1"/>
                <w:szCs w:val="22"/>
              </w:rPr>
              <w:t>11</w:t>
            </w:r>
          </w:p>
        </w:tc>
        <w:tc>
          <w:tcPr>
            <w:tcW w:w="1579" w:type="dxa"/>
          </w:tcPr>
          <w:p w14:paraId="6376914E" w14:textId="77777777" w:rsidR="00803550" w:rsidRPr="00BB1C8F" w:rsidRDefault="00803550" w:rsidP="00250022">
            <w:pPr>
              <w:rPr>
                <w:color w:val="000000" w:themeColor="text1"/>
                <w:szCs w:val="22"/>
              </w:rPr>
            </w:pPr>
            <w:r w:rsidRPr="00BB1C8F">
              <w:rPr>
                <w:color w:val="000000" w:themeColor="text1"/>
                <w:szCs w:val="22"/>
              </w:rPr>
              <w:t>Expired Case</w:t>
            </w:r>
          </w:p>
        </w:tc>
        <w:tc>
          <w:tcPr>
            <w:tcW w:w="2125" w:type="dxa"/>
          </w:tcPr>
          <w:p w14:paraId="56B1482F" w14:textId="77777777" w:rsidR="00803550" w:rsidRPr="00BB1C8F" w:rsidRDefault="00803550" w:rsidP="00250022">
            <w:pPr>
              <w:rPr>
                <w:color w:val="000000" w:themeColor="text1"/>
                <w:szCs w:val="22"/>
              </w:rPr>
            </w:pPr>
            <w:r w:rsidRPr="00BB1C8F">
              <w:rPr>
                <w:color w:val="000000" w:themeColor="text1"/>
                <w:szCs w:val="22"/>
              </w:rPr>
              <w:t>7 days from the loss</w:t>
            </w:r>
          </w:p>
        </w:tc>
        <w:tc>
          <w:tcPr>
            <w:tcW w:w="3534" w:type="dxa"/>
          </w:tcPr>
          <w:p w14:paraId="6A2B0DA9" w14:textId="77777777" w:rsidR="00803550" w:rsidRPr="00BB1C8F" w:rsidRDefault="00803550" w:rsidP="00250022">
            <w:pPr>
              <w:rPr>
                <w:color w:val="000000" w:themeColor="text1"/>
                <w:szCs w:val="22"/>
              </w:rPr>
            </w:pPr>
            <w:r w:rsidRPr="00BB1C8F">
              <w:rPr>
                <w:color w:val="000000" w:themeColor="text1"/>
                <w:szCs w:val="22"/>
              </w:rPr>
              <w:t>3 years</w:t>
            </w:r>
          </w:p>
        </w:tc>
      </w:tr>
      <w:tr w:rsidR="00803550" w:rsidRPr="00BB1C8F" w14:paraId="5D73C06C" w14:textId="77777777" w:rsidTr="00250022">
        <w:tc>
          <w:tcPr>
            <w:tcW w:w="524" w:type="dxa"/>
          </w:tcPr>
          <w:p w14:paraId="7D809581" w14:textId="77777777" w:rsidR="00803550" w:rsidRPr="00BB1C8F" w:rsidRDefault="00803550" w:rsidP="00250022">
            <w:pPr>
              <w:rPr>
                <w:szCs w:val="22"/>
              </w:rPr>
            </w:pPr>
            <w:r w:rsidRPr="00BB1C8F">
              <w:rPr>
                <w:szCs w:val="22"/>
              </w:rPr>
              <w:t>12</w:t>
            </w:r>
          </w:p>
        </w:tc>
        <w:tc>
          <w:tcPr>
            <w:tcW w:w="1579" w:type="dxa"/>
          </w:tcPr>
          <w:p w14:paraId="48F46E33" w14:textId="77777777" w:rsidR="00803550" w:rsidRPr="00BB1C8F" w:rsidRDefault="00803550" w:rsidP="00250022">
            <w:pPr>
              <w:rPr>
                <w:szCs w:val="22"/>
              </w:rPr>
            </w:pPr>
            <w:r w:rsidRPr="00BB1C8F">
              <w:rPr>
                <w:szCs w:val="22"/>
              </w:rPr>
              <w:t>Connection with the Court</w:t>
            </w:r>
          </w:p>
        </w:tc>
        <w:tc>
          <w:tcPr>
            <w:tcW w:w="2125" w:type="dxa"/>
          </w:tcPr>
          <w:p w14:paraId="64346993" w14:textId="77777777" w:rsidR="00803550" w:rsidRPr="00BB1C8F" w:rsidRDefault="00803550" w:rsidP="00250022">
            <w:pPr>
              <w:rPr>
                <w:szCs w:val="22"/>
              </w:rPr>
            </w:pPr>
            <w:r w:rsidRPr="00BB1C8F">
              <w:rPr>
                <w:szCs w:val="22"/>
              </w:rPr>
              <w:t>There is no connection with the court when the assembly has difficulties in resolving disputes</w:t>
            </w:r>
          </w:p>
        </w:tc>
        <w:tc>
          <w:tcPr>
            <w:tcW w:w="3534" w:type="dxa"/>
          </w:tcPr>
          <w:p w14:paraId="49C31E71" w14:textId="77777777" w:rsidR="00803550" w:rsidRPr="00BB1C8F" w:rsidRDefault="00803550" w:rsidP="00250022">
            <w:pPr>
              <w:rPr>
                <w:szCs w:val="22"/>
              </w:rPr>
            </w:pPr>
            <w:r w:rsidRPr="00BB1C8F">
              <w:rPr>
                <w:szCs w:val="22"/>
              </w:rPr>
              <w:t>TTPM can consult the high court regarding the legal issues it faces and the high court fatwas must be made into a TTPM decision</w:t>
            </w:r>
          </w:p>
        </w:tc>
      </w:tr>
      <w:tr w:rsidR="00803550" w:rsidRPr="00BB1C8F" w14:paraId="46557631" w14:textId="77777777" w:rsidTr="00250022">
        <w:tc>
          <w:tcPr>
            <w:tcW w:w="524" w:type="dxa"/>
          </w:tcPr>
          <w:p w14:paraId="3CA9D43D" w14:textId="77777777" w:rsidR="00803550" w:rsidRPr="00BB1C8F" w:rsidRDefault="00803550" w:rsidP="00250022">
            <w:pPr>
              <w:rPr>
                <w:szCs w:val="22"/>
              </w:rPr>
            </w:pPr>
            <w:r w:rsidRPr="00BB1C8F">
              <w:rPr>
                <w:szCs w:val="22"/>
              </w:rPr>
              <w:t>13</w:t>
            </w:r>
          </w:p>
        </w:tc>
        <w:tc>
          <w:tcPr>
            <w:tcW w:w="1579" w:type="dxa"/>
          </w:tcPr>
          <w:p w14:paraId="5A3FFC4E" w14:textId="77777777" w:rsidR="00803550" w:rsidRPr="00BB1C8F" w:rsidRDefault="00803550" w:rsidP="00250022">
            <w:pPr>
              <w:rPr>
                <w:szCs w:val="22"/>
              </w:rPr>
            </w:pPr>
            <w:r w:rsidRPr="00BB1C8F">
              <w:rPr>
                <w:szCs w:val="22"/>
              </w:rPr>
              <w:t>Legal fees</w:t>
            </w:r>
          </w:p>
        </w:tc>
        <w:tc>
          <w:tcPr>
            <w:tcW w:w="2125" w:type="dxa"/>
          </w:tcPr>
          <w:p w14:paraId="63BF1580" w14:textId="77777777" w:rsidR="00803550" w:rsidRPr="00BB1C8F" w:rsidRDefault="00803550" w:rsidP="00250022">
            <w:pPr>
              <w:rPr>
                <w:szCs w:val="22"/>
              </w:rPr>
            </w:pPr>
            <w:r w:rsidRPr="00BB1C8F">
              <w:rPr>
                <w:szCs w:val="22"/>
              </w:rPr>
              <w:t>No charge</w:t>
            </w:r>
          </w:p>
        </w:tc>
        <w:tc>
          <w:tcPr>
            <w:tcW w:w="3534" w:type="dxa"/>
          </w:tcPr>
          <w:p w14:paraId="34A8AF2F" w14:textId="77777777" w:rsidR="00803550" w:rsidRPr="00BB1C8F" w:rsidRDefault="00803550" w:rsidP="00250022">
            <w:pPr>
              <w:rPr>
                <w:szCs w:val="22"/>
              </w:rPr>
            </w:pPr>
            <w:r w:rsidRPr="00BB1C8F">
              <w:rPr>
                <w:szCs w:val="22"/>
              </w:rPr>
              <w:t>Cost RM.5.00.</w:t>
            </w:r>
          </w:p>
        </w:tc>
      </w:tr>
      <w:tr w:rsidR="00803550" w:rsidRPr="00BB1C8F" w14:paraId="2867CDCB" w14:textId="77777777" w:rsidTr="00250022">
        <w:tc>
          <w:tcPr>
            <w:tcW w:w="524" w:type="dxa"/>
          </w:tcPr>
          <w:p w14:paraId="57A400A7" w14:textId="77777777" w:rsidR="00803550" w:rsidRPr="00BB1C8F" w:rsidRDefault="00803550" w:rsidP="00250022">
            <w:pPr>
              <w:rPr>
                <w:szCs w:val="22"/>
              </w:rPr>
            </w:pPr>
            <w:r w:rsidRPr="00BB1C8F">
              <w:rPr>
                <w:szCs w:val="22"/>
              </w:rPr>
              <w:t>14</w:t>
            </w:r>
          </w:p>
        </w:tc>
        <w:tc>
          <w:tcPr>
            <w:tcW w:w="1579" w:type="dxa"/>
          </w:tcPr>
          <w:p w14:paraId="49B9F21D" w14:textId="77777777" w:rsidR="00803550" w:rsidRPr="00BB1C8F" w:rsidRDefault="00803550" w:rsidP="00250022">
            <w:pPr>
              <w:rPr>
                <w:szCs w:val="22"/>
              </w:rPr>
            </w:pPr>
            <w:r w:rsidRPr="00BB1C8F">
              <w:rPr>
                <w:szCs w:val="22"/>
              </w:rPr>
              <w:t>Advocate Engagement</w:t>
            </w:r>
          </w:p>
        </w:tc>
        <w:tc>
          <w:tcPr>
            <w:tcW w:w="2125" w:type="dxa"/>
          </w:tcPr>
          <w:p w14:paraId="7D8A2E81" w14:textId="77777777" w:rsidR="00803550" w:rsidRPr="00BB1C8F" w:rsidRDefault="00803550" w:rsidP="00250022">
            <w:pPr>
              <w:rPr>
                <w:szCs w:val="22"/>
              </w:rPr>
            </w:pPr>
            <w:r w:rsidRPr="00BB1C8F">
              <w:rPr>
                <w:szCs w:val="22"/>
              </w:rPr>
              <w:t>Get involved</w:t>
            </w:r>
          </w:p>
        </w:tc>
        <w:tc>
          <w:tcPr>
            <w:tcW w:w="3534" w:type="dxa"/>
          </w:tcPr>
          <w:p w14:paraId="39270140" w14:textId="77777777" w:rsidR="00803550" w:rsidRPr="00BB1C8F" w:rsidRDefault="00803550" w:rsidP="00250022">
            <w:pPr>
              <w:rPr>
                <w:szCs w:val="22"/>
              </w:rPr>
            </w:pPr>
            <w:r w:rsidRPr="00BB1C8F">
              <w:rPr>
                <w:szCs w:val="22"/>
              </w:rPr>
              <w:t>Do not engage. It's just that if the party being sued is a legal entity, then it can be represented by an employee who is fully paid by the legal entity. On this occasion the company often sends the division that is the legal division</w:t>
            </w:r>
          </w:p>
        </w:tc>
      </w:tr>
      <w:tr w:rsidR="00803550" w:rsidRPr="00BB1C8F" w14:paraId="49D798AC" w14:textId="77777777" w:rsidTr="00250022">
        <w:tc>
          <w:tcPr>
            <w:tcW w:w="524" w:type="dxa"/>
          </w:tcPr>
          <w:p w14:paraId="314E9A8C" w14:textId="77777777" w:rsidR="00803550" w:rsidRPr="00BB1C8F" w:rsidRDefault="00803550" w:rsidP="00250022">
            <w:pPr>
              <w:rPr>
                <w:szCs w:val="22"/>
              </w:rPr>
            </w:pPr>
            <w:r w:rsidRPr="00BB1C8F">
              <w:rPr>
                <w:szCs w:val="22"/>
              </w:rPr>
              <w:t>15</w:t>
            </w:r>
          </w:p>
        </w:tc>
        <w:tc>
          <w:tcPr>
            <w:tcW w:w="1579" w:type="dxa"/>
          </w:tcPr>
          <w:p w14:paraId="2F8BB05F" w14:textId="77777777" w:rsidR="00803550" w:rsidRPr="00BB1C8F" w:rsidRDefault="00803550" w:rsidP="00250022">
            <w:pPr>
              <w:rPr>
                <w:szCs w:val="22"/>
              </w:rPr>
            </w:pPr>
            <w:r w:rsidRPr="00BB1C8F">
              <w:rPr>
                <w:szCs w:val="22"/>
              </w:rPr>
              <w:t>Nature of the verdict</w:t>
            </w:r>
          </w:p>
        </w:tc>
        <w:tc>
          <w:tcPr>
            <w:tcW w:w="2125" w:type="dxa"/>
          </w:tcPr>
          <w:p w14:paraId="1CF9F93E" w14:textId="77777777" w:rsidR="00803550" w:rsidRPr="00BB1C8F" w:rsidRDefault="00803550" w:rsidP="00250022">
            <w:pPr>
              <w:rPr>
                <w:szCs w:val="22"/>
              </w:rPr>
            </w:pPr>
            <w:r w:rsidRPr="00BB1C8F">
              <w:rPr>
                <w:szCs w:val="22"/>
              </w:rPr>
              <w:t>Final and binding</w:t>
            </w:r>
          </w:p>
        </w:tc>
        <w:tc>
          <w:tcPr>
            <w:tcW w:w="3534" w:type="dxa"/>
          </w:tcPr>
          <w:p w14:paraId="3CDB7300" w14:textId="77777777" w:rsidR="00803550" w:rsidRPr="00BB1C8F" w:rsidRDefault="00803550" w:rsidP="00250022">
            <w:pPr>
              <w:rPr>
                <w:szCs w:val="22"/>
              </w:rPr>
            </w:pPr>
            <w:r w:rsidRPr="00BB1C8F">
              <w:rPr>
                <w:szCs w:val="22"/>
              </w:rPr>
              <w:t>Final and binding</w:t>
            </w:r>
          </w:p>
        </w:tc>
      </w:tr>
      <w:tr w:rsidR="00803550" w:rsidRPr="00BB1C8F" w14:paraId="11D82724" w14:textId="77777777" w:rsidTr="00250022">
        <w:tc>
          <w:tcPr>
            <w:tcW w:w="524" w:type="dxa"/>
          </w:tcPr>
          <w:p w14:paraId="6F08D7DF" w14:textId="77777777" w:rsidR="00803550" w:rsidRPr="00BB1C8F" w:rsidRDefault="00803550" w:rsidP="00250022">
            <w:pPr>
              <w:rPr>
                <w:szCs w:val="22"/>
              </w:rPr>
            </w:pPr>
          </w:p>
        </w:tc>
        <w:tc>
          <w:tcPr>
            <w:tcW w:w="1579" w:type="dxa"/>
          </w:tcPr>
          <w:p w14:paraId="414E7A9A" w14:textId="77777777" w:rsidR="00803550" w:rsidRPr="00BB1C8F" w:rsidRDefault="00803550" w:rsidP="00250022">
            <w:pPr>
              <w:rPr>
                <w:szCs w:val="22"/>
              </w:rPr>
            </w:pPr>
            <w:r w:rsidRPr="00BB1C8F">
              <w:rPr>
                <w:szCs w:val="22"/>
              </w:rPr>
              <w:t xml:space="preserve">Completion time and </w:t>
            </w:r>
            <w:r w:rsidRPr="00BB1C8F">
              <w:rPr>
                <w:szCs w:val="22"/>
              </w:rPr>
              <w:lastRenderedPageBreak/>
              <w:t>content of the verdict</w:t>
            </w:r>
          </w:p>
        </w:tc>
        <w:tc>
          <w:tcPr>
            <w:tcW w:w="2125" w:type="dxa"/>
          </w:tcPr>
          <w:p w14:paraId="7AC231B2" w14:textId="77777777" w:rsidR="00803550" w:rsidRPr="00BB1C8F" w:rsidRDefault="00803550" w:rsidP="00250022">
            <w:pPr>
              <w:rPr>
                <w:szCs w:val="22"/>
              </w:rPr>
            </w:pPr>
            <w:r w:rsidRPr="00BB1C8F">
              <w:rPr>
                <w:szCs w:val="22"/>
              </w:rPr>
              <w:lastRenderedPageBreak/>
              <w:t>Completion time 21 working days.</w:t>
            </w:r>
          </w:p>
        </w:tc>
        <w:tc>
          <w:tcPr>
            <w:tcW w:w="3534" w:type="dxa"/>
          </w:tcPr>
          <w:p w14:paraId="06F96C02" w14:textId="77777777" w:rsidR="00803550" w:rsidRPr="00BB1C8F" w:rsidRDefault="00803550" w:rsidP="00250022">
            <w:pPr>
              <w:pStyle w:val="ListParagraph"/>
              <w:ind w:left="21"/>
              <w:rPr>
                <w:szCs w:val="22"/>
              </w:rPr>
            </w:pPr>
            <w:r w:rsidRPr="00BB1C8F">
              <w:rPr>
                <w:szCs w:val="22"/>
              </w:rPr>
              <w:t xml:space="preserve">TTPM will issue a decision (Award) within 60 days from the start </w:t>
            </w:r>
            <w:r w:rsidRPr="00BB1C8F">
              <w:rPr>
                <w:szCs w:val="22"/>
              </w:rPr>
              <w:lastRenderedPageBreak/>
              <w:t>of the trial. The contents of the decision may include the following:</w:t>
            </w:r>
          </w:p>
          <w:p w14:paraId="29B14366" w14:textId="77777777" w:rsidR="00803550" w:rsidRPr="00BB1C8F" w:rsidRDefault="00803550" w:rsidP="00803550">
            <w:pPr>
              <w:numPr>
                <w:ilvl w:val="1"/>
                <w:numId w:val="20"/>
              </w:numPr>
              <w:shd w:val="clear" w:color="auto" w:fill="FFFFFF"/>
              <w:tabs>
                <w:tab w:val="clear" w:pos="1440"/>
              </w:tabs>
              <w:suppressAutoHyphens w:val="0"/>
              <w:spacing w:after="0"/>
              <w:ind w:left="324" w:hanging="303"/>
              <w:contextualSpacing w:val="0"/>
              <w:rPr>
                <w:rFonts w:eastAsia="Times New Roman"/>
                <w:szCs w:val="22"/>
              </w:rPr>
            </w:pPr>
            <w:r w:rsidRPr="00BB1C8F">
              <w:rPr>
                <w:rFonts w:eastAsia="Times New Roman"/>
                <w:szCs w:val="22"/>
              </w:rPr>
              <w:t>Either party to the trial must pay money to any other party.</w:t>
            </w:r>
          </w:p>
          <w:p w14:paraId="10735C27" w14:textId="77777777" w:rsidR="00803550" w:rsidRPr="00BB1C8F" w:rsidRDefault="00803550" w:rsidP="00803550">
            <w:pPr>
              <w:numPr>
                <w:ilvl w:val="1"/>
                <w:numId w:val="20"/>
              </w:numPr>
              <w:shd w:val="clear" w:color="auto" w:fill="FFFFFF"/>
              <w:tabs>
                <w:tab w:val="clear" w:pos="1440"/>
              </w:tabs>
              <w:suppressAutoHyphens w:val="0"/>
              <w:spacing w:after="0"/>
              <w:ind w:left="324" w:hanging="303"/>
              <w:contextualSpacing w:val="0"/>
              <w:rPr>
                <w:rFonts w:eastAsia="Times New Roman"/>
                <w:szCs w:val="22"/>
              </w:rPr>
            </w:pPr>
            <w:r w:rsidRPr="00BB1C8F">
              <w:rPr>
                <w:rFonts w:eastAsia="Times New Roman"/>
                <w:szCs w:val="22"/>
              </w:rPr>
              <w:t>Goods supplied are recalled.</w:t>
            </w:r>
          </w:p>
          <w:p w14:paraId="34A2EB35" w14:textId="77777777" w:rsidR="00803550" w:rsidRPr="00BB1C8F" w:rsidRDefault="00803550" w:rsidP="00803550">
            <w:pPr>
              <w:numPr>
                <w:ilvl w:val="1"/>
                <w:numId w:val="20"/>
              </w:numPr>
              <w:shd w:val="clear" w:color="auto" w:fill="FFFFFF"/>
              <w:tabs>
                <w:tab w:val="clear" w:pos="1440"/>
              </w:tabs>
              <w:suppressAutoHyphens w:val="0"/>
              <w:spacing w:after="0"/>
              <w:ind w:left="324" w:hanging="303"/>
              <w:contextualSpacing w:val="0"/>
              <w:rPr>
                <w:rFonts w:eastAsia="Times New Roman"/>
                <w:szCs w:val="22"/>
              </w:rPr>
            </w:pPr>
            <w:r w:rsidRPr="00BB1C8F">
              <w:rPr>
                <w:rFonts w:eastAsia="Times New Roman"/>
                <w:szCs w:val="22"/>
              </w:rPr>
              <w:t>Goods supplied or resupplied to consumers are replaced or repaired.</w:t>
            </w:r>
          </w:p>
          <w:p w14:paraId="69261C14" w14:textId="77777777" w:rsidR="00803550" w:rsidRPr="00BB1C8F" w:rsidRDefault="00803550" w:rsidP="00803550">
            <w:pPr>
              <w:numPr>
                <w:ilvl w:val="1"/>
                <w:numId w:val="20"/>
              </w:numPr>
              <w:shd w:val="clear" w:color="auto" w:fill="FFFFFF"/>
              <w:tabs>
                <w:tab w:val="clear" w:pos="1440"/>
              </w:tabs>
              <w:suppressAutoHyphens w:val="0"/>
              <w:spacing w:after="0"/>
              <w:ind w:left="324" w:hanging="303"/>
              <w:contextualSpacing w:val="0"/>
              <w:rPr>
                <w:rFonts w:eastAsia="Times New Roman"/>
                <w:szCs w:val="22"/>
              </w:rPr>
            </w:pPr>
            <w:r w:rsidRPr="00BB1C8F">
              <w:rPr>
                <w:rFonts w:eastAsia="Times New Roman"/>
                <w:szCs w:val="22"/>
              </w:rPr>
              <w:t>Prices or other considerations paid or provided by consumers or other people will be returned to consumers.</w:t>
            </w:r>
          </w:p>
          <w:p w14:paraId="76102492" w14:textId="77777777" w:rsidR="00803550" w:rsidRPr="00BB1C8F" w:rsidRDefault="00803550" w:rsidP="00803550">
            <w:pPr>
              <w:numPr>
                <w:ilvl w:val="1"/>
                <w:numId w:val="20"/>
              </w:numPr>
              <w:shd w:val="clear" w:color="auto" w:fill="FFFFFF"/>
              <w:tabs>
                <w:tab w:val="clear" w:pos="1440"/>
              </w:tabs>
              <w:suppressAutoHyphens w:val="0"/>
              <w:spacing w:after="0"/>
              <w:ind w:left="324" w:hanging="303"/>
              <w:contextualSpacing w:val="0"/>
              <w:rPr>
                <w:rFonts w:eastAsia="Times New Roman"/>
                <w:szCs w:val="22"/>
              </w:rPr>
            </w:pPr>
            <w:r w:rsidRPr="00BB1C8F">
              <w:rPr>
                <w:rFonts w:eastAsia="Times New Roman"/>
                <w:szCs w:val="22"/>
              </w:rPr>
              <w:t>Either party must fulfill the guarantee guarantee.</w:t>
            </w:r>
          </w:p>
          <w:p w14:paraId="6457F829" w14:textId="77777777" w:rsidR="00803550" w:rsidRPr="00BB1C8F" w:rsidRDefault="00803550" w:rsidP="00803550">
            <w:pPr>
              <w:numPr>
                <w:ilvl w:val="1"/>
                <w:numId w:val="20"/>
              </w:numPr>
              <w:shd w:val="clear" w:color="auto" w:fill="FFFFFF"/>
              <w:tabs>
                <w:tab w:val="clear" w:pos="1440"/>
              </w:tabs>
              <w:suppressAutoHyphens w:val="0"/>
              <w:spacing w:after="0"/>
              <w:ind w:left="324" w:hanging="303"/>
              <w:contextualSpacing w:val="0"/>
              <w:rPr>
                <w:rFonts w:eastAsia="Times New Roman"/>
                <w:szCs w:val="22"/>
              </w:rPr>
            </w:pPr>
            <w:r w:rsidRPr="00BB1C8F">
              <w:rPr>
                <w:rFonts w:eastAsia="Times New Roman"/>
                <w:szCs w:val="22"/>
              </w:rPr>
              <w:t>Giving compensation money to replace the loss or damage suffered by the plaintiff.</w:t>
            </w:r>
          </w:p>
          <w:p w14:paraId="1DD8384E" w14:textId="77777777" w:rsidR="00803550" w:rsidRPr="00BB1C8F" w:rsidRDefault="00803550" w:rsidP="00803550">
            <w:pPr>
              <w:numPr>
                <w:ilvl w:val="1"/>
                <w:numId w:val="20"/>
              </w:numPr>
              <w:shd w:val="clear" w:color="auto" w:fill="FFFFFF"/>
              <w:tabs>
                <w:tab w:val="clear" w:pos="1440"/>
              </w:tabs>
              <w:suppressAutoHyphens w:val="0"/>
              <w:spacing w:after="0"/>
              <w:ind w:left="324" w:hanging="303"/>
              <w:contextualSpacing w:val="0"/>
              <w:rPr>
                <w:rFonts w:eastAsia="Times New Roman"/>
                <w:szCs w:val="22"/>
              </w:rPr>
            </w:pPr>
            <w:r w:rsidRPr="00BB1C8F">
              <w:rPr>
                <w:rFonts w:eastAsia="Times New Roman"/>
                <w:szCs w:val="22"/>
              </w:rPr>
              <w:t>The contract must be amended or waived, in whole or in part.</w:t>
            </w:r>
          </w:p>
          <w:p w14:paraId="0AF4C209" w14:textId="77777777" w:rsidR="00803550" w:rsidRPr="00BB1C8F" w:rsidRDefault="00803550" w:rsidP="00803550">
            <w:pPr>
              <w:numPr>
                <w:ilvl w:val="1"/>
                <w:numId w:val="20"/>
              </w:numPr>
              <w:shd w:val="clear" w:color="auto" w:fill="FFFFFF"/>
              <w:tabs>
                <w:tab w:val="clear" w:pos="1440"/>
              </w:tabs>
              <w:suppressAutoHyphens w:val="0"/>
              <w:spacing w:after="0"/>
              <w:ind w:left="324" w:hanging="303"/>
              <w:contextualSpacing w:val="0"/>
              <w:rPr>
                <w:rFonts w:eastAsia="Times New Roman"/>
                <w:szCs w:val="22"/>
              </w:rPr>
            </w:pPr>
            <w:r w:rsidRPr="00BB1C8F">
              <w:rPr>
                <w:rFonts w:eastAsia="Times New Roman"/>
                <w:szCs w:val="22"/>
              </w:rPr>
              <w:t>Payment of fees to or against any party.</w:t>
            </w:r>
          </w:p>
          <w:p w14:paraId="6AC4817F" w14:textId="77777777" w:rsidR="00803550" w:rsidRPr="00BB1C8F" w:rsidRDefault="00803550" w:rsidP="00803550">
            <w:pPr>
              <w:numPr>
                <w:ilvl w:val="1"/>
                <w:numId w:val="20"/>
              </w:numPr>
              <w:shd w:val="clear" w:color="auto" w:fill="FFFFFF"/>
              <w:tabs>
                <w:tab w:val="clear" w:pos="1440"/>
              </w:tabs>
              <w:suppressAutoHyphens w:val="0"/>
              <w:spacing w:after="0"/>
              <w:ind w:left="324" w:hanging="303"/>
              <w:contextualSpacing w:val="0"/>
              <w:rPr>
                <w:rFonts w:eastAsia="Times New Roman"/>
                <w:szCs w:val="22"/>
              </w:rPr>
            </w:pPr>
            <w:r w:rsidRPr="00BB1C8F">
              <w:rPr>
                <w:rFonts w:eastAsia="Times New Roman"/>
                <w:szCs w:val="22"/>
              </w:rPr>
              <w:t>Interest payments do not exceed 8% per year, unless there is another agreement.</w:t>
            </w:r>
          </w:p>
          <w:p w14:paraId="0FA8E81D" w14:textId="77777777" w:rsidR="00803550" w:rsidRPr="00BB1C8F" w:rsidRDefault="00803550" w:rsidP="00803550">
            <w:pPr>
              <w:numPr>
                <w:ilvl w:val="1"/>
                <w:numId w:val="20"/>
              </w:numPr>
              <w:shd w:val="clear" w:color="auto" w:fill="FFFFFF"/>
              <w:tabs>
                <w:tab w:val="clear" w:pos="1440"/>
              </w:tabs>
              <w:suppressAutoHyphens w:val="0"/>
              <w:spacing w:after="0"/>
              <w:ind w:left="324" w:hanging="303"/>
              <w:contextualSpacing w:val="0"/>
              <w:rPr>
                <w:rFonts w:eastAsia="Times New Roman"/>
                <w:szCs w:val="22"/>
              </w:rPr>
            </w:pPr>
            <w:r w:rsidRPr="00BB1C8F">
              <w:rPr>
                <w:rFonts w:eastAsia="Times New Roman"/>
                <w:szCs w:val="22"/>
              </w:rPr>
              <w:t>Claim denied.</w:t>
            </w:r>
          </w:p>
          <w:p w14:paraId="5DDD677E" w14:textId="77777777" w:rsidR="00803550" w:rsidRPr="00BB1C8F" w:rsidRDefault="00803550" w:rsidP="00250022">
            <w:pPr>
              <w:ind w:left="135"/>
              <w:rPr>
                <w:szCs w:val="22"/>
              </w:rPr>
            </w:pPr>
          </w:p>
        </w:tc>
      </w:tr>
      <w:tr w:rsidR="00803550" w:rsidRPr="00BB1C8F" w14:paraId="3554D4B3" w14:textId="77777777" w:rsidTr="00250022">
        <w:tc>
          <w:tcPr>
            <w:tcW w:w="524" w:type="dxa"/>
          </w:tcPr>
          <w:p w14:paraId="2C6245CE" w14:textId="77777777" w:rsidR="00803550" w:rsidRPr="00BB1C8F" w:rsidRDefault="00803550" w:rsidP="00250022">
            <w:pPr>
              <w:rPr>
                <w:szCs w:val="22"/>
              </w:rPr>
            </w:pPr>
            <w:r w:rsidRPr="00BB1C8F">
              <w:rPr>
                <w:szCs w:val="22"/>
              </w:rPr>
              <w:lastRenderedPageBreak/>
              <w:t>16</w:t>
            </w:r>
          </w:p>
        </w:tc>
        <w:tc>
          <w:tcPr>
            <w:tcW w:w="1579" w:type="dxa"/>
          </w:tcPr>
          <w:p w14:paraId="511CAC61" w14:textId="77777777" w:rsidR="00803550" w:rsidRPr="00BB1C8F" w:rsidRDefault="00803550" w:rsidP="00250022">
            <w:pPr>
              <w:rPr>
                <w:szCs w:val="22"/>
              </w:rPr>
            </w:pPr>
            <w:r w:rsidRPr="00BB1C8F">
              <w:rPr>
                <w:szCs w:val="22"/>
              </w:rPr>
              <w:t>Legal action against the verdict</w:t>
            </w:r>
          </w:p>
        </w:tc>
        <w:tc>
          <w:tcPr>
            <w:tcW w:w="2125" w:type="dxa"/>
          </w:tcPr>
          <w:p w14:paraId="540DD616" w14:textId="77777777" w:rsidR="00803550" w:rsidRPr="00BB1C8F" w:rsidRDefault="00803550" w:rsidP="00250022">
            <w:pPr>
              <w:rPr>
                <w:szCs w:val="22"/>
              </w:rPr>
            </w:pPr>
            <w:r w:rsidRPr="00BB1C8F">
              <w:rPr>
                <w:szCs w:val="22"/>
              </w:rPr>
              <w:t>Objection to District Court and Cassation to Supreme Court</w:t>
            </w:r>
          </w:p>
        </w:tc>
        <w:tc>
          <w:tcPr>
            <w:tcW w:w="3534" w:type="dxa"/>
          </w:tcPr>
          <w:p w14:paraId="31DAE375" w14:textId="77777777" w:rsidR="00803550" w:rsidRPr="00BB1C8F" w:rsidRDefault="00803550" w:rsidP="00250022">
            <w:pPr>
              <w:rPr>
                <w:szCs w:val="22"/>
              </w:rPr>
            </w:pPr>
            <w:r w:rsidRPr="00BB1C8F">
              <w:rPr>
                <w:szCs w:val="22"/>
              </w:rPr>
              <w:t>Review to the High Court because the TTPM decision is characterized as a decision of the Majistret Court</w:t>
            </w:r>
          </w:p>
        </w:tc>
      </w:tr>
      <w:tr w:rsidR="00803550" w:rsidRPr="00BB1C8F" w14:paraId="7F2C4863" w14:textId="77777777" w:rsidTr="00250022">
        <w:tc>
          <w:tcPr>
            <w:tcW w:w="524" w:type="dxa"/>
          </w:tcPr>
          <w:p w14:paraId="12709EA9" w14:textId="77777777" w:rsidR="00803550" w:rsidRPr="00BB1C8F" w:rsidRDefault="00803550" w:rsidP="00250022">
            <w:pPr>
              <w:rPr>
                <w:szCs w:val="22"/>
              </w:rPr>
            </w:pPr>
            <w:r w:rsidRPr="00BB1C8F">
              <w:rPr>
                <w:szCs w:val="22"/>
              </w:rPr>
              <w:t>17</w:t>
            </w:r>
          </w:p>
        </w:tc>
        <w:tc>
          <w:tcPr>
            <w:tcW w:w="1579" w:type="dxa"/>
          </w:tcPr>
          <w:p w14:paraId="058385C0" w14:textId="77777777" w:rsidR="00803550" w:rsidRPr="00BB1C8F" w:rsidRDefault="00803550" w:rsidP="00250022">
            <w:pPr>
              <w:rPr>
                <w:szCs w:val="22"/>
              </w:rPr>
            </w:pPr>
            <w:r w:rsidRPr="00BB1C8F">
              <w:rPr>
                <w:szCs w:val="22"/>
              </w:rPr>
              <w:t>Criminal sanctions for not complying with the verdict</w:t>
            </w:r>
          </w:p>
        </w:tc>
        <w:tc>
          <w:tcPr>
            <w:tcW w:w="2125" w:type="dxa"/>
          </w:tcPr>
          <w:p w14:paraId="21AECDC0" w14:textId="77777777" w:rsidR="00803550" w:rsidRPr="00BB1C8F" w:rsidRDefault="00803550" w:rsidP="00250022">
            <w:pPr>
              <w:rPr>
                <w:szCs w:val="22"/>
              </w:rPr>
            </w:pPr>
            <w:r w:rsidRPr="00BB1C8F">
              <w:rPr>
                <w:szCs w:val="22"/>
              </w:rPr>
              <w:t>BPSK decisions can be used as initial evidence of criminal investigations</w:t>
            </w:r>
          </w:p>
        </w:tc>
        <w:tc>
          <w:tcPr>
            <w:tcW w:w="3534" w:type="dxa"/>
          </w:tcPr>
          <w:p w14:paraId="4A17FEAA" w14:textId="77777777" w:rsidR="00803550" w:rsidRPr="00BB1C8F" w:rsidRDefault="00803550" w:rsidP="00250022">
            <w:pPr>
              <w:pStyle w:val="ListParagraph"/>
              <w:ind w:left="34"/>
              <w:rPr>
                <w:szCs w:val="22"/>
                <w:shd w:val="clear" w:color="auto" w:fill="FFFFFF"/>
              </w:rPr>
            </w:pPr>
            <w:r w:rsidRPr="00BB1C8F">
              <w:rPr>
                <w:szCs w:val="22"/>
                <w:shd w:val="clear" w:color="auto" w:fill="FFFFFF"/>
              </w:rPr>
              <w:t>Everyone who fails to comply is considered to have committed a crime with a criminal penalty:</w:t>
            </w:r>
          </w:p>
          <w:p w14:paraId="15919747" w14:textId="77777777" w:rsidR="00803550" w:rsidRPr="00BB1C8F" w:rsidRDefault="00803550" w:rsidP="00803550">
            <w:pPr>
              <w:pStyle w:val="ListParagraph"/>
              <w:numPr>
                <w:ilvl w:val="0"/>
                <w:numId w:val="21"/>
              </w:numPr>
              <w:suppressAutoHyphens w:val="0"/>
              <w:spacing w:after="0"/>
              <w:ind w:left="347" w:hanging="284"/>
              <w:rPr>
                <w:szCs w:val="22"/>
                <w:shd w:val="clear" w:color="auto" w:fill="FFFFFF"/>
              </w:rPr>
            </w:pPr>
            <w:r w:rsidRPr="00BB1C8F">
              <w:rPr>
                <w:szCs w:val="22"/>
                <w:shd w:val="clear" w:color="auto" w:fill="FFFFFF"/>
              </w:rPr>
              <w:t>Fines not exceeding RM.10,000.00 or imprisonment for a period of not more than 2 (two) years or both;</w:t>
            </w:r>
          </w:p>
          <w:p w14:paraId="0D653844" w14:textId="77777777" w:rsidR="00803550" w:rsidRPr="00BB1C8F" w:rsidRDefault="00803550" w:rsidP="00803550">
            <w:pPr>
              <w:pStyle w:val="ListParagraph"/>
              <w:numPr>
                <w:ilvl w:val="0"/>
                <w:numId w:val="21"/>
              </w:numPr>
              <w:suppressAutoHyphens w:val="0"/>
              <w:spacing w:after="0"/>
              <w:ind w:left="347" w:hanging="284"/>
              <w:rPr>
                <w:szCs w:val="22"/>
                <w:shd w:val="clear" w:color="auto" w:fill="FFFFFF"/>
              </w:rPr>
            </w:pPr>
            <w:r w:rsidRPr="00BB1C8F">
              <w:rPr>
                <w:szCs w:val="22"/>
                <w:shd w:val="clear" w:color="auto" w:fill="FFFFFF"/>
              </w:rPr>
              <w:t>If the deduction continues, in addition to the above penalties, it is also subject to not less than RM100.00 and not more than RM5000.00 for each day.</w:t>
            </w:r>
          </w:p>
        </w:tc>
      </w:tr>
      <w:tr w:rsidR="00803550" w:rsidRPr="00BB1C8F" w14:paraId="472E5D8B" w14:textId="77777777" w:rsidTr="00250022">
        <w:tc>
          <w:tcPr>
            <w:tcW w:w="524" w:type="dxa"/>
          </w:tcPr>
          <w:p w14:paraId="60E20D4D" w14:textId="77777777" w:rsidR="00803550" w:rsidRPr="00BB1C8F" w:rsidRDefault="00803550" w:rsidP="00250022">
            <w:pPr>
              <w:rPr>
                <w:szCs w:val="22"/>
              </w:rPr>
            </w:pPr>
            <w:r w:rsidRPr="00BB1C8F">
              <w:rPr>
                <w:szCs w:val="22"/>
              </w:rPr>
              <w:t>18</w:t>
            </w:r>
          </w:p>
        </w:tc>
        <w:tc>
          <w:tcPr>
            <w:tcW w:w="1579" w:type="dxa"/>
          </w:tcPr>
          <w:p w14:paraId="5B252F3E" w14:textId="77777777" w:rsidR="00803550" w:rsidRPr="00BB1C8F" w:rsidRDefault="00803550" w:rsidP="00250022">
            <w:pPr>
              <w:rPr>
                <w:szCs w:val="22"/>
              </w:rPr>
            </w:pPr>
            <w:r w:rsidRPr="00BB1C8F">
              <w:rPr>
                <w:szCs w:val="22"/>
              </w:rPr>
              <w:t>Verdict Execution</w:t>
            </w:r>
          </w:p>
        </w:tc>
        <w:tc>
          <w:tcPr>
            <w:tcW w:w="2125" w:type="dxa"/>
          </w:tcPr>
          <w:p w14:paraId="3C92496C" w14:textId="77777777" w:rsidR="00803550" w:rsidRPr="00BB1C8F" w:rsidRDefault="00803550" w:rsidP="00250022">
            <w:pPr>
              <w:rPr>
                <w:szCs w:val="22"/>
              </w:rPr>
            </w:pPr>
            <w:r w:rsidRPr="00BB1C8F">
              <w:rPr>
                <w:szCs w:val="22"/>
              </w:rPr>
              <w:t>Through the process of fiat execution to the District Court</w:t>
            </w:r>
          </w:p>
        </w:tc>
        <w:tc>
          <w:tcPr>
            <w:tcW w:w="3534" w:type="dxa"/>
          </w:tcPr>
          <w:p w14:paraId="53177D4A" w14:textId="77777777" w:rsidR="00803550" w:rsidRPr="00BB1C8F" w:rsidRDefault="00803550" w:rsidP="00250022">
            <w:pPr>
              <w:rPr>
                <w:szCs w:val="22"/>
              </w:rPr>
            </w:pPr>
            <w:r w:rsidRPr="00BB1C8F">
              <w:rPr>
                <w:szCs w:val="22"/>
              </w:rPr>
              <w:t>Execution is in the majistret court without going through fiat execution because it has been characterized as a majistret court decision</w:t>
            </w:r>
          </w:p>
        </w:tc>
      </w:tr>
    </w:tbl>
    <w:p w14:paraId="58C77948" w14:textId="77777777" w:rsidR="00803550" w:rsidRPr="00BB1C8F" w:rsidRDefault="00803550" w:rsidP="00803550">
      <w:pPr>
        <w:rPr>
          <w:szCs w:val="22"/>
        </w:rPr>
      </w:pPr>
    </w:p>
    <w:p w14:paraId="7784AC8C" w14:textId="77777777" w:rsidR="00803550" w:rsidRPr="00BB1C8F" w:rsidRDefault="00803550" w:rsidP="00803550">
      <w:pPr>
        <w:rPr>
          <w:szCs w:val="22"/>
        </w:rPr>
      </w:pPr>
    </w:p>
    <w:p w14:paraId="37DC7E8E" w14:textId="77777777" w:rsidR="00803550" w:rsidRPr="00BB1C8F" w:rsidRDefault="00803550" w:rsidP="00803550">
      <w:pPr>
        <w:pStyle w:val="ListParagraph"/>
        <w:numPr>
          <w:ilvl w:val="0"/>
          <w:numId w:val="18"/>
        </w:numPr>
        <w:suppressAutoHyphens w:val="0"/>
        <w:spacing w:after="160" w:line="360" w:lineRule="auto"/>
        <w:ind w:left="426" w:hanging="426"/>
        <w:rPr>
          <w:b/>
          <w:bCs/>
          <w:szCs w:val="22"/>
        </w:rPr>
      </w:pPr>
      <w:r w:rsidRPr="00BB1C8F">
        <w:rPr>
          <w:b/>
          <w:bCs/>
          <w:szCs w:val="22"/>
        </w:rPr>
        <w:t>Closing</w:t>
      </w:r>
    </w:p>
    <w:p w14:paraId="20EFE5A1" w14:textId="77777777" w:rsidR="00803550" w:rsidRPr="00BB1C8F" w:rsidRDefault="00803550" w:rsidP="00803550">
      <w:pPr>
        <w:spacing w:line="360" w:lineRule="auto"/>
        <w:ind w:firstLine="426"/>
        <w:rPr>
          <w:szCs w:val="22"/>
        </w:rPr>
      </w:pPr>
      <w:r w:rsidRPr="00BB1C8F">
        <w:rPr>
          <w:szCs w:val="22"/>
        </w:rPr>
        <w:lastRenderedPageBreak/>
        <w:t>Comparison of consumer dispute settlement legal policies in Indonesia and Malaysia based on the discussion above can be in several aspects, namely: (1) Both BPSK and TTPM are alternative institutions which are permanent institutions and both are not ad hoc institutions and are not part of a state court as SCT and SCC in common law countries. (2) in terms of membership, TTPM requires members to have a legal background, while BPSK membership consists of 3 elements, namely consumers, business actors and government elements, (3) TTPM's authority is specific to dispute resolution and only accepts claims with clear value limitations, while BPSK has no authority to limit the value of complaints, it's just that in imposing administrative sanctions the value is limited. (3) The settlement mechanism at BPSK is by means of mediation, conciliation and arbitration which are independent, so that cases that come in cannot be guaranteed to be resolved by the birth of a decision, while the mechanism at TTPM is by means of mediation if it fails to proceed with trial, so cases that go to TTPM can be confirmed with a decision. (4) Both BPSK and TTPM decisions are final and binding, it's just that both can be filed for legal action. The BPSK decision can be objected to the District Court and cassation to the Supreme Court, while the TTPM decision can be subject to a judicial review to the High Court because the TTPM decision is equated with the Lower Court decision. (5) parties who do not comply with BPSK decisions, BPSK's decision is initial evidence for an investigation whether there was a crime in the non-compliance. Meanwhile, non-compliance with the TTPM decision has been considered a criminal act with criminal sanctions of imprisonment and fines. (6) Decisions of TTPM and BPSK are both final and binding, both decisions can be made legal remedies, for TTPM decisions a judicial review can be carried out to the High Court because they are seen as decisions of the Majistret Court, while objections to BPSK decisions can be made to the District Court and Cass to the Supreme Court.</w:t>
      </w:r>
    </w:p>
    <w:p w14:paraId="2E491560" w14:textId="77777777" w:rsidR="00803550" w:rsidRPr="00BB1C8F" w:rsidRDefault="00803550" w:rsidP="00803550">
      <w:pPr>
        <w:spacing w:line="360" w:lineRule="auto"/>
        <w:ind w:firstLine="426"/>
        <w:rPr>
          <w:szCs w:val="22"/>
        </w:rPr>
      </w:pPr>
    </w:p>
    <w:p w14:paraId="44C5CD14" w14:textId="77777777" w:rsidR="00803550" w:rsidRPr="00BB1C8F" w:rsidRDefault="00803550" w:rsidP="00803550">
      <w:pPr>
        <w:spacing w:line="360" w:lineRule="auto"/>
        <w:ind w:firstLine="426"/>
        <w:rPr>
          <w:szCs w:val="22"/>
        </w:rPr>
      </w:pPr>
    </w:p>
    <w:p w14:paraId="735963DC" w14:textId="77777777" w:rsidR="00803550" w:rsidRPr="00BB1C8F" w:rsidRDefault="00803550" w:rsidP="00803550">
      <w:pPr>
        <w:spacing w:line="360" w:lineRule="auto"/>
        <w:jc w:val="center"/>
        <w:rPr>
          <w:b/>
          <w:bCs/>
          <w:szCs w:val="22"/>
        </w:rPr>
      </w:pPr>
      <w:r w:rsidRPr="00BB1C8F">
        <w:rPr>
          <w:b/>
          <w:bCs/>
          <w:szCs w:val="22"/>
        </w:rPr>
        <w:t>BIBLIOGRAPHY</w:t>
      </w:r>
    </w:p>
    <w:p w14:paraId="2A6771EB" w14:textId="77777777" w:rsidR="00350F12" w:rsidRPr="00350F12" w:rsidRDefault="00350F12" w:rsidP="00350F12">
      <w:pPr>
        <w:pStyle w:val="FootnoteText"/>
        <w:ind w:left="851" w:hanging="851"/>
        <w:rPr>
          <w:noProof/>
          <w:szCs w:val="22"/>
        </w:rPr>
      </w:pPr>
      <w:r w:rsidRPr="00350F12">
        <w:rPr>
          <w:noProof/>
          <w:szCs w:val="22"/>
        </w:rPr>
        <w:t xml:space="preserve">Abadi, </w:t>
      </w:r>
      <w:r w:rsidRPr="00350F12">
        <w:rPr>
          <w:noProof/>
          <w:szCs w:val="22"/>
        </w:rPr>
        <w:fldChar w:fldCharType="begin" w:fldLock="1"/>
      </w:r>
      <w:r w:rsidRPr="00350F12">
        <w:rPr>
          <w:noProof/>
          <w:szCs w:val="22"/>
        </w:rPr>
        <w:instrText>ADDIN CSL_CITATION {"citationItems":[{"id":"ITEM-1","itemData":{"URL":"https://www.merdeka.com/uang/ylki-catat-3692-pengaduan-masyarakat-di-2020-terbanyak-soal-produk-jasa-keuangan.html","accessed":{"date-parts":[["2021","11","5"]]},"author":[{"dropping-particle":"","family":"Tulus Abadi","given":"","non-dropping-particle":"","parse-names":false,"suffix":""}],"container-title":"Merdeka.com","id":"ITEM-1","issued":{"date-parts":[["2021"]]},"title":"YLKI Catat 3.692 Pengaduan Masyarakat di 2020, Terbanyak Soal Produk Jasa Keuangan","type":"webpage"},"uris":["http://www.mendeley.com/documents/?uuid=2a91e2b2-27af-43e8-b275-6ccdcee4b6e0"]}],"mendeley":{"formattedCitation":"Tulus Abadi, “YLKI Catat 3.692 Pengaduan Masyarakat Di 2020, Terbanyak Soal Produk Jasa Keuangan,” &lt;i&gt;Merdeka.Com&lt;/i&gt;, last modified 2021, accessed November 5, 2021, https://www.merdeka.com/uang/ylki-catat-3692-pengaduan-masyarakat-di-2020-terbanyak-soal-produk-jasa-keuangan.html.","plainTextFormattedCitation":"Tulus Abadi, “YLKI Catat 3.692 Pengaduan Masyarakat Di 2020, Terbanyak Soal Produk Jasa Keuangan,” Merdeka.Com, last modified 2021, accessed November 5, 2021, https://www.merdeka.com/uang/ylki-catat-3692-pengaduan-masyarakat-di-2020-terbanyak-soal-produk-jasa-keuangan.html.","previouslyFormattedCitation":"Tulus Abadi, “YLKI Catat 3.692 Pengaduan Masyarakat Di 2020, Terbanyak Soal Produk Jasa Keuangan,” Merdeka.com, 2021, https://www.merdeka.com/uang/ylki-catat-3692-pengaduan-masyarakat-di-2020-terbanyak-soal-produk-jasa-keuangan.html."},"properties":{"noteIndex":10},"schema":"https://github.com/citation-style-language/schema/raw/master/csl-citation.json"}</w:instrText>
      </w:r>
      <w:r w:rsidRPr="00350F12">
        <w:rPr>
          <w:noProof/>
          <w:szCs w:val="22"/>
        </w:rPr>
        <w:fldChar w:fldCharType="separate"/>
      </w:r>
      <w:r w:rsidRPr="00350F12">
        <w:rPr>
          <w:noProof/>
          <w:szCs w:val="22"/>
        </w:rPr>
        <w:t>Tulus, “YLKI Catat 3.692 Pengaduan Masyarakat Di 2020, Terbanyak Soal Produk Jasa Keuangan,” Merdeka.Com, last modified 2021, accessed November 5, 2021, https://www.merdeka.com/uang/ylki-catat-3692-pengaduan-masyarakat-di-2020-terbanyak-soal-produk-jasa-keuangan.html.</w:t>
      </w:r>
      <w:r w:rsidRPr="00350F12">
        <w:rPr>
          <w:noProof/>
          <w:szCs w:val="22"/>
        </w:rPr>
        <w:fldChar w:fldCharType="end"/>
      </w:r>
      <w:r w:rsidRPr="00350F12">
        <w:rPr>
          <w:noProof/>
          <w:szCs w:val="22"/>
        </w:rPr>
        <w:t xml:space="preserve"> Diakses pada Tanggal 5 November 2021</w:t>
      </w:r>
    </w:p>
    <w:p w14:paraId="5D8A03AF" w14:textId="77777777" w:rsidR="00350F12" w:rsidRPr="00350F12" w:rsidRDefault="00350F12" w:rsidP="00350F12">
      <w:pPr>
        <w:pStyle w:val="FootnoteText"/>
        <w:ind w:left="851" w:hanging="851"/>
        <w:rPr>
          <w:noProof/>
          <w:szCs w:val="22"/>
        </w:rPr>
      </w:pPr>
      <w:r w:rsidRPr="00350F12">
        <w:rPr>
          <w:noProof/>
          <w:szCs w:val="22"/>
        </w:rPr>
        <w:t>Adnan, Mohd Hamdan, Kepenggunaan, Kuala Lumpur: Dewan Bahasa dan Pustaka, 1987, hal 15.</w:t>
      </w:r>
    </w:p>
    <w:p w14:paraId="12BC3D13" w14:textId="347A5ADF" w:rsidR="00350F12" w:rsidRPr="00350F12" w:rsidRDefault="00350F12" w:rsidP="00350F12">
      <w:pPr>
        <w:pStyle w:val="FootnoteText"/>
        <w:ind w:left="851" w:hanging="851"/>
        <w:rPr>
          <w:noProof/>
          <w:szCs w:val="22"/>
        </w:rPr>
      </w:pPr>
      <w:r w:rsidRPr="00350F12">
        <w:rPr>
          <w:noProof/>
          <w:szCs w:val="22"/>
        </w:rPr>
        <w:t xml:space="preserve">Aziz, </w:t>
      </w:r>
      <w:r w:rsidRPr="00350F12">
        <w:rPr>
          <w:noProof/>
          <w:szCs w:val="22"/>
        </w:rPr>
        <w:fldChar w:fldCharType="begin" w:fldLock="1"/>
      </w:r>
      <w:r w:rsidRPr="00350F12">
        <w:rPr>
          <w:noProof/>
          <w:szCs w:val="22"/>
        </w:rPr>
        <w:instrText>ADDIN CSL_CITATION {"citationItems":[{"id":"ITEM-1","itemData":{"abstract":"Kepesatan dan evolusi kepenggunaan di Malaysia memperlihatkan satu petanda baik ke arah proses dan usaha mendaulatkan keadilan sejagat. Transformasi dalam pasaran yang secara langsung memberi impak kepada pengguna telah memperlihatkan kepelbagaian bentuk dan transaksi perdagangan yang diaplikasikan ke dalam transaksi harian pengguna di seluruh dunia. Dengan bermotifkan keuntungan, kebajikan dan kepentingan pengguna tidak lagi diletakkan sebagai keutamaan oleh pemain-pemain utama pasaran. Kes-kes penindasan dan penipuan pengguna berlaku dari masa ke semasa tanpa sekatan. Kesedaran pengguna untuk membuat aduan dan membawa kes-kes penindasan ke muka pengadilan masih di tahap yang minima. Kertas kerja ini cuba melontarkan pemikiran kepada aspek mekanisme tebus rugi pengguna yang dijadikan sebagai ‘avenue’ oleh pengguna dalam mencari penyelesaian kepada pertikaian antara pengguna dan peniaga. Mekanisme-mekanisme tebusrugi pengguna yang mendapat tempat di hati pengguna dalam kes-kes pertikaian yang dikenal pasti adalah Tribunal Tuntutan Pengguna Malaysia dan Jabatan Bantuan Guaman Malaysia. Kedua-dua mekanisme ini akan dihuraikan peranannya dalam menyelesaikan pertikaian pengguna. Di samping itu, kelemahan dan permasalahan yang wujud pada mekanisme ini akan turut dikupas bagi mengenal pasti impak yang perlu ditanggung oleh pengguna dalam mendapatkan keadilan melalui tuntutan yang dibawa ke mekanisme-mekanisme ini","author":[{"dropping-particle":"","family":"Azimon Abdul Aziz","given":"","non-dropping-particle":"","parse-names":false,"suffix":""},{"dropping-particle":"","family":"Sakina Shaik Ahmad Yusoff","given":"","non-dropping-particle":"","parse-names":false,"suffix":""},{"dropping-particle":"","family":"Rahmah Ismail","given":"","non-dropping-particle":"","parse-names":false,"suffix":""},{"dropping-particle":"","family":"Shamsudin Suhor","given":"","non-dropping-particle":"","parse-names":false,"suffix":""},{"dropping-particle":"","family":"Kartini Aboo Khalid","given":"","non-dropping-particle":"","parse-names":false,"suffix":""},{"dropping-particle":"","family":"Muhammad Rizal Razman","given":"","non-dropping-particle":"","parse-names":false,"suffix":""}],"container-title":"Prosiding Sixth Malaysian National Economic Conference (PERKEM VI), High Income Economy: Transformation Towards Improving Innovation, Productivity and Quality of Life 5 – 7 June 2011 Melaka Bandaraya Bersejarah","id":"ITEM-1","issued":{"date-parts":[["2011"]]},"page":"228-237","title":"Permasalahan dalam Mekanisme Penyelesaaian Pertikaian Pengguna : Impak ke atas Pengguna dalam Mendapatkan Keadilan","type":"paper-conference","volume":"1"},"uris":["http://www.mendeley.com/documents/?uuid=a6029f4d-e3b0-4305-b1b4-696f2f8341df"]}],"mendeley":{"formattedCitation":"Azimon Abdul Aziz et al., “Permasalahan Dalam Mekanisme Penyelesaaian Pertikaian Pengguna : Impak Ke Atas Pengguna Dalam Mendapatkan Keadilan,” in &lt;i&gt;Prosiding Sixth Malaysian National Economic Conference (PERKEM VI), High Income Economy: Transformation Towards Improving Innovation, Productivity and Quality of Life 5 – 7 June 2011 Melaka Bandaraya Bersejarah&lt;/i&gt;, vol. 1, 2011, 228–237.","manualFormatting":"Azimon Abdul Aziz et al., “Permasalahan Dalam Mekanisme Penyelesaaian Pertikaian Pengguna : Impak Ke Atas Pengguna Dalam Mendapatkan Keadilan,” in Prosiding Sixth Malaysian National Economic Conference (PERKEM VI), High Income Economy: Transformation Towards Improving Innovation, Productivity and Quality of Life 5 – 7 June 2011 Melaka Bandaraya Bersejarah, vol. 1, 2011, hlm.","plainTextFormattedCitation":"Azimon Abdul Aziz et al., “Permasalahan Dalam Mekanisme Penyelesaaian Pertikaian Pengguna : Impak Ke Atas Pengguna Dalam Mendapatkan Keadilan,” in Prosiding Sixth Malaysian National Economic Conference (PERKEM VI), High Income Economy: Transformation Towards Improving Innovation, Productivity and Quality of Life 5 – 7 June 2011 Melaka Bandaraya Bersejarah, vol. 1, 2011, 228–237.","previouslyFormattedCitation":"Azimon Abdul Aziz et al., “Permasalahan Dalam Mekanisme Penyelesaaian Pertikaian Pengguna : Impak Ke Atas Pengguna Dalam Mendapatkan Keadilan,” in &lt;i&gt;Prosiding Sixth Malaysian National Economic Conference (PERKEM VI), High Income Economy: Transformation Towards Improving Innovation, Productivity and Quality of Life 5 – 7 June 2011 Melaka Bandaraya Bersejarah&lt;/i&gt;, vol. 1, 2011, 228–37."},"properties":{"noteIndex":30},"schema":"https://github.com/citation-style-language/schema/raw/master/csl-citation.json"}</w:instrText>
      </w:r>
      <w:r w:rsidRPr="00350F12">
        <w:rPr>
          <w:noProof/>
          <w:szCs w:val="22"/>
        </w:rPr>
        <w:fldChar w:fldCharType="separate"/>
      </w:r>
      <w:r w:rsidRPr="00350F12">
        <w:rPr>
          <w:noProof/>
          <w:szCs w:val="22"/>
        </w:rPr>
        <w:t xml:space="preserve">Azimon Abdul et al., “Permasalahan Dalam Mekanisme Penyelesaaian Pertikaian Pengguna : Impak Ke Atas Pengguna Dalam Mendapatkan Keadilan,” in Prosiding Sixth Malaysian National Economic Conference (PERKEM VI), High Income Economy: Transformation Towards Improving Innovation, Productivity and Quality of Life 5 – 7 June 2011 Melaka Bandaraya Bersejarah, vol. 1, </w:t>
      </w:r>
      <w:r w:rsidRPr="00350F12">
        <w:rPr>
          <w:noProof/>
          <w:szCs w:val="22"/>
        </w:rPr>
        <w:fldChar w:fldCharType="end"/>
      </w:r>
    </w:p>
    <w:p w14:paraId="5A7FB5FA" w14:textId="54FCF8B9" w:rsidR="00350F12" w:rsidRPr="00350F12" w:rsidRDefault="00350F12" w:rsidP="00350F12">
      <w:pPr>
        <w:pStyle w:val="FootnoteText"/>
        <w:ind w:left="851" w:hanging="851"/>
        <w:rPr>
          <w:noProof/>
          <w:szCs w:val="22"/>
        </w:rPr>
      </w:pPr>
      <w:r w:rsidRPr="00350F12">
        <w:rPr>
          <w:noProof/>
          <w:szCs w:val="22"/>
        </w:rPr>
        <w:t xml:space="preserve">Arif, Afida Mastura Muhammad, “Sejarah Pergerakan Pengguna,” Jurnal Pengguna Malaysia, No. 2, Vol. 2 Tahun 1998,  </w:t>
      </w:r>
    </w:p>
    <w:p w14:paraId="70751ADF" w14:textId="77777777" w:rsidR="00350F12" w:rsidRPr="00350F12" w:rsidRDefault="00350F12" w:rsidP="00350F12">
      <w:pPr>
        <w:pStyle w:val="FootnoteText"/>
        <w:ind w:left="851" w:hanging="851"/>
        <w:rPr>
          <w:szCs w:val="22"/>
        </w:rPr>
      </w:pPr>
      <w:r w:rsidRPr="00350F12">
        <w:rPr>
          <w:noProof/>
          <w:szCs w:val="22"/>
        </w:rPr>
        <w:t xml:space="preserve">Azimon, </w:t>
      </w:r>
      <w:r w:rsidRPr="00350F12">
        <w:rPr>
          <w:noProof/>
          <w:szCs w:val="22"/>
        </w:rPr>
        <w:fldChar w:fldCharType="begin" w:fldLock="1"/>
      </w:r>
      <w:r w:rsidRPr="00350F12">
        <w:rPr>
          <w:noProof/>
          <w:szCs w:val="22"/>
        </w:rPr>
        <w:instrText>ADDIN CSL_CITATION {"citationItems":[{"id":"ITEM-1","itemData":{"author":[{"dropping-particle":"","family":"Azimon bt. Abdul Aziz, Maisarag bt. Ahmad","given":"Nordin b. Muhamad","non-dropping-particle":"","parse-names":false,"suffix":""}],"container-title":"Malaysian Journal of Consumer","id":"ITEM-1","issued":{"date-parts":[["2011"]]},"page":"60-76","title":"Akta Perlindungan Pengguna 1999: Analisis dan Permasalahan Peruntukan-Peruntukan Terpilih","type":"article-journal","volume":"16"},"uris":["http://www.mendeley.com/documents/?uuid=bc70bf43-ec0b-4b11-b036-cb489ffbeb5b"]}],"mendeley":{"formattedCitation":"Nordin b. Muhamad Azimon bt. Abdul Aziz, Maisarag bt. Ahmad, “Akta Perlindungan Pengguna 1999: Analisis Dan Permasalahan Peruntukan-Peruntukan Terpilih,” &lt;i&gt;Malaysian Journal of Consumer&lt;/i&gt; 16 (2011): 60–76.","manualFormatting":"Nordin b. Muhamad Azimon bt. Abdul Aziz, Maisarag bt. Ahmad, “Akta Perlindungan Pengguna 1999: Analisis Dan Permasalahan Peruntukan-Peruntukan Terpilih,” Malaysian Journal of Consumer 16 (2011), hlm. 63.","plainTextFormattedCitation":"Nordin b. Muhamad Azimon bt. Abdul Aziz, Maisarag bt. Ahmad, “Akta Perlindungan Pengguna 1999: Analisis Dan Permasalahan Peruntukan-Peruntukan Terpilih,” Malaysian Journal of Consumer 16 (2011): 60–76.","previouslyFormattedCitation":"Nordin b. Muhamad Azimon bt. Abdul Aziz, Maisarag bt. Ahmad, “Akta Perlindungan Pengguna 1999: Analisis Dan Permasalahan Peruntukan-Peruntukan Terpilih,” &lt;i&gt;Malaysian Journal of Consumer&lt;/i&gt; 16 (2011): 60–76."},"properties":{"noteIndex":27},"schema":"https://github.com/citation-style-language/schema/raw/master/csl-citation.json"}</w:instrText>
      </w:r>
      <w:r w:rsidRPr="00350F12">
        <w:rPr>
          <w:noProof/>
          <w:szCs w:val="22"/>
        </w:rPr>
        <w:fldChar w:fldCharType="separate"/>
      </w:r>
      <w:r w:rsidRPr="00350F12">
        <w:rPr>
          <w:noProof/>
          <w:szCs w:val="22"/>
        </w:rPr>
        <w:t>Nordin b. Muhamad bt. Abdul Aziz, Maisarag bt. Ahmad, “Akta Perlindungan Pengguna 1999: Analisis Dan Permasalahan Peruntukan-Peruntukan Terpilih,” Malaysian Journal of Consumer 16 (2011), hlm. 63.</w:t>
      </w:r>
      <w:r w:rsidRPr="00350F12">
        <w:rPr>
          <w:noProof/>
          <w:szCs w:val="22"/>
        </w:rPr>
        <w:fldChar w:fldCharType="end"/>
      </w:r>
      <w:r w:rsidRPr="00350F12">
        <w:rPr>
          <w:noProof/>
          <w:szCs w:val="22"/>
        </w:rPr>
        <w:t>Hadjon,</w:t>
      </w:r>
      <w:r w:rsidRPr="00350F12">
        <w:rPr>
          <w:szCs w:val="22"/>
        </w:rPr>
        <w:t xml:space="preserve"> </w:t>
      </w:r>
      <w:r w:rsidRPr="00350F12">
        <w:rPr>
          <w:szCs w:val="22"/>
        </w:rPr>
        <w:fldChar w:fldCharType="begin" w:fldLock="1"/>
      </w:r>
      <w:r w:rsidRPr="00350F12">
        <w:rPr>
          <w:szCs w:val="22"/>
        </w:rPr>
        <w:instrText>ADDIN CSL_CITATION {"citationItems":[{"id":"ITEM-1","itemData":{"author":[{"dropping-particle":"","family":"Philipus M Hadjon","given":"","non-dropping-particle":"","parse-names":false,"suffix":""}],"container-title":"Simposium Politik, Hak Asasi Manusia dan Pembangunan Hukum","id":"ITEM-1","issued":{"date-parts":[["1994"]]},"publisher":"Lustrum VIII, Universitas Airlangga","publisher-place":"Surabaya","title":"Perlindungan Hukum dalam Negara Hukum Pancasila","type":"paper-conference"},"uris":["http://www.mendeley.com/documents/?uuid=accf5bae-d357-4020-9d4d-9e5803a9565b"]}],"mendeley":{"formattedCitation":"Philipus M Hadjon, “Perlindungan Hukum Dalam Negara Hukum Pancasila,” in &lt;i&gt;Simposium Politik, Hak Asasi Manusia Dan Pembangunan Hukum&lt;/i&gt; (Surabaya: Lustrum VIII, Universitas Airlangga, 1994).","manualFormatting":"Philipus M Hadjon, “Perlindungan Hukum Dalam Negara Hukum Pancasila,” in Simposium Politik, Hak Asasi Manusia Dan Pembangunan Hukum (Surabaya: Lustrum VIII, Universitas Airlangga, 1994), hlm.","plainTextFormattedCitation":"Philipus M Hadjon, “Perlindungan Hukum Dalam Negara Hukum Pancasila,” in Simposium Politik, Hak Asasi Manusia Dan Pembangunan Hukum (Surabaya: Lustrum VIII, Universitas Airlangga, 1994).","previouslyFormattedCitation":"Philipus M Hadjon, “Perlindungan Hukum Dalam Negara Hukum Pancasila,” in &lt;i&gt;Simposium Politik, Hak Asasi Manusia Dan Pembangunan Hukum&lt;/i&gt; (Surabaya: Lustrum VIII, Universitas Airlangga, 1994)."},"properties":{"noteIndex":7},"schema":"https://github.com/citation-style-language/schema/raw/master/csl-citation.json"}</w:instrText>
      </w:r>
      <w:r w:rsidRPr="00350F12">
        <w:rPr>
          <w:szCs w:val="22"/>
        </w:rPr>
        <w:fldChar w:fldCharType="separate"/>
      </w:r>
      <w:r w:rsidRPr="00350F12">
        <w:rPr>
          <w:noProof/>
          <w:szCs w:val="22"/>
        </w:rPr>
        <w:t xml:space="preserve">Philipus M, “Perlindungan Hukum Dalam Negara </w:t>
      </w:r>
      <w:r w:rsidRPr="00350F12">
        <w:rPr>
          <w:noProof/>
          <w:szCs w:val="22"/>
        </w:rPr>
        <w:lastRenderedPageBreak/>
        <w:t xml:space="preserve">Hukum Pancasila,” in </w:t>
      </w:r>
      <w:r w:rsidRPr="00350F12">
        <w:rPr>
          <w:i/>
          <w:noProof/>
          <w:szCs w:val="22"/>
        </w:rPr>
        <w:t>Simposium Politik, Hak Asasi Manusia Dan Pembangunan Hukum</w:t>
      </w:r>
      <w:r w:rsidRPr="00350F12">
        <w:rPr>
          <w:noProof/>
          <w:szCs w:val="22"/>
        </w:rPr>
        <w:t xml:space="preserve"> (Surabaya: Lustrum VIII, Universitas Airlangga, 1994), </w:t>
      </w:r>
      <w:r w:rsidRPr="00350F12">
        <w:rPr>
          <w:szCs w:val="22"/>
        </w:rPr>
        <w:fldChar w:fldCharType="end"/>
      </w:r>
    </w:p>
    <w:p w14:paraId="5794E228" w14:textId="77777777" w:rsidR="00350F12" w:rsidRPr="00350F12" w:rsidRDefault="00350F12" w:rsidP="00350F12">
      <w:pPr>
        <w:pStyle w:val="FootnoteText"/>
        <w:ind w:left="851" w:hanging="851"/>
        <w:rPr>
          <w:szCs w:val="22"/>
        </w:rPr>
      </w:pPr>
      <w:r w:rsidRPr="00350F12">
        <w:rPr>
          <w:noProof/>
          <w:szCs w:val="22"/>
        </w:rPr>
        <w:fldChar w:fldCharType="begin" w:fldLock="1"/>
      </w:r>
      <w:r w:rsidRPr="00350F12">
        <w:rPr>
          <w:noProof/>
          <w:szCs w:val="22"/>
        </w:rPr>
        <w:instrText>ADDIN CSL_CITATION {"citationItems":[{"id":"ITEM-1","itemData":{"URL":"https://bpkn.go.id/posts/show/id/1937","accessed":{"date-parts":[["2021","11","6"]]},"author":[{"dropping-particle":"","family":"Nasional","given":"Badan Perlindungan Konsumen","non-dropping-particle":"","parse-names":false,"suffix":""}],"id":"ITEM-1","issued":{"date-parts":[["2020"]]},"title":"BPKN TERIMA 3.555 ADUAN KONSUMEN, 70 PERSEN DARI SEKTOR BISNIS PERUMAHAN","type":"webpage"},"uris":["http://www.mendeley.com/documents/?uuid=6a15fe72-cb9e-452d-af75-f1ba1a83bbe9"]}],"mendeley":{"formattedCitation":"Badan Perlindungan Konsumen Nasional, “BPKN TERIMA 3.555 ADUAN KONSUMEN, 70 PERSEN DARI SEKTOR BISNIS PERUMAHAN,” last modified 2020, accessed November 6, 2021, https://bpkn.go.id/posts/show/id/1937.","plainTextFormattedCitation":"Badan Perlindungan Konsumen Nasional, “BPKN TERIMA 3.555 ADUAN KONSUMEN, 70 PERSEN DARI SEKTOR BISNIS PERUMAHAN,” last modified 2020, accessed November 6, 2021, https://bpkn.go.id/posts/show/id/1937.","previouslyFormattedCitation":"Badan Perlindungan Konsumen Nasional, “BPKN TERIMA 3.555 ADUAN KONSUMEN, 70 PERSEN DARI SEKTOR BISNIS PERUMAHAN,” 2020, https://bpkn.go.id/posts/show/id/1937."},"properties":{"noteIndex":8},"schema":"https://github.com/citation-style-language/schema/raw/master/csl-citation.json"}</w:instrText>
      </w:r>
      <w:r w:rsidRPr="00350F12">
        <w:rPr>
          <w:noProof/>
          <w:szCs w:val="22"/>
        </w:rPr>
        <w:fldChar w:fldCharType="separate"/>
      </w:r>
      <w:r w:rsidRPr="00350F12">
        <w:rPr>
          <w:noProof/>
          <w:szCs w:val="22"/>
        </w:rPr>
        <w:t>Badan Perlindungan Konsumen Nasional, “BPKN TERIMA 3.555 ADUAN KONSUMEN, 70 PERSEN DARI SEKTOR BISNIS PERUMAHAN,” last modified 2020, accessed November 6, 2021, https://bpkn.go.id/posts/show/id/1937.</w:t>
      </w:r>
      <w:r w:rsidRPr="00350F12">
        <w:rPr>
          <w:noProof/>
          <w:szCs w:val="22"/>
        </w:rPr>
        <w:fldChar w:fldCharType="end"/>
      </w:r>
      <w:r w:rsidRPr="00350F12">
        <w:rPr>
          <w:szCs w:val="22"/>
        </w:rPr>
        <w:t xml:space="preserve"> Diakses pada Tanggal 5 November 2021</w:t>
      </w:r>
    </w:p>
    <w:p w14:paraId="05B51032" w14:textId="77777777" w:rsidR="00350F12" w:rsidRPr="00350F12" w:rsidRDefault="00350F12" w:rsidP="00350F12">
      <w:pPr>
        <w:pStyle w:val="FootnoteText"/>
        <w:ind w:left="851" w:hanging="851"/>
        <w:rPr>
          <w:noProof/>
          <w:szCs w:val="22"/>
        </w:rPr>
      </w:pPr>
      <w:r w:rsidRPr="00350F12">
        <w:rPr>
          <w:noProof/>
          <w:szCs w:val="22"/>
        </w:rPr>
        <w:t xml:space="preserve">Bhat,  </w:t>
      </w:r>
      <w:r w:rsidRPr="00350F12">
        <w:rPr>
          <w:noProof/>
          <w:szCs w:val="22"/>
        </w:rPr>
        <w:fldChar w:fldCharType="begin" w:fldLock="1"/>
      </w:r>
      <w:r w:rsidRPr="00350F12">
        <w:rPr>
          <w:noProof/>
          <w:szCs w:val="22"/>
        </w:rPr>
        <w:instrText>ADDIN CSL_CITATION {"citationItems":[{"id":"ITEM-1","itemData":{"author":[{"dropping-particle":"","family":"P . Ishwara Bhat","given":"","non-dropping-particle":"","parse-names":false,"suffix":""}],"container-title":"Journal of the Indian Law Institute","id":"ITEM-1","issue":"2","issued":{"date-parts":[["2015"]]},"page":"147-173","title":"COMPARATIVE METHOD OF LEGAL RESEARCH : NATURE , PROCESS AND POTENTIALITY","type":"article-journal","volume":"57"},"uris":["http://www.mendeley.com/documents/?uuid=b422617c-0804-487a-8d03-16779a9ab09b"]}],"mendeley":{"formattedCitation":"P . Ishwara Bhat, “COMPARATIVE METHOD OF LEGAL RESEARCH : NATURE , PROCESS AND POTENTIALITY,” &lt;i&gt;Journal of the Indian Law Institute&lt;/i&gt; 57, no. 2 (2015): 147–173.","manualFormatting":"P . Ishwara Bhat, “Comparative Method Of Legal Research : Nature , Process And Potentiality,” Journal of the Indian Law Institute 57, no. 2 (2015): 145","plainTextFormattedCitation":"P . Ishwara Bhat, “COMPARATIVE METHOD OF LEGAL RESEARCH : NATURE , PROCESS AND POTENTIALITY,” Journal of the Indian Law Institute 57, no. 2 (2015): 147–173.","previouslyFormattedCitation":"P . Ishwara Bhat, “COMPARATIVE METHOD OF LEGAL RESEARCH : NATURE , PROCESS AND POTENTIALITY,” &lt;i&gt;Journal of the Indian Law Institute&lt;/i&gt; 57, no. 2 (2015): 147–73."},"properties":{"noteIndex":32},"schema":"https://github.com/citation-style-language/schema/raw/master/csl-citation.json"}</w:instrText>
      </w:r>
      <w:r w:rsidRPr="00350F12">
        <w:rPr>
          <w:noProof/>
          <w:szCs w:val="22"/>
        </w:rPr>
        <w:fldChar w:fldCharType="separate"/>
      </w:r>
      <w:r w:rsidRPr="00350F12">
        <w:rPr>
          <w:noProof/>
          <w:szCs w:val="22"/>
        </w:rPr>
        <w:t>P . Ishwara, “Comparative Method Of Legal Research : Nature , Process And Potentiality,” Journal of the Indian Law Institute 57, no. 2 (2015): 145</w:t>
      </w:r>
      <w:r w:rsidRPr="00350F12">
        <w:rPr>
          <w:noProof/>
          <w:szCs w:val="22"/>
        </w:rPr>
        <w:fldChar w:fldCharType="end"/>
      </w:r>
    </w:p>
    <w:p w14:paraId="0E3B04B7" w14:textId="77777777" w:rsidR="00350F12" w:rsidRPr="00350F12" w:rsidRDefault="00350F12" w:rsidP="00350F12">
      <w:pPr>
        <w:pStyle w:val="FootnoteText"/>
        <w:ind w:left="851" w:hanging="851"/>
        <w:rPr>
          <w:noProof/>
          <w:szCs w:val="22"/>
        </w:rPr>
      </w:pPr>
      <w:r w:rsidRPr="00350F12">
        <w:rPr>
          <w:noProof/>
          <w:szCs w:val="22"/>
        </w:rPr>
        <w:fldChar w:fldCharType="begin" w:fldLock="1"/>
      </w:r>
      <w:r w:rsidRPr="00350F12">
        <w:rPr>
          <w:noProof/>
          <w:szCs w:val="22"/>
        </w:rPr>
        <w:instrText>ADDIN CSL_CITATION {"citationItems":[{"id":"ITEM-1","itemData":{"URL":"https://www.instagram.com/p/CTTeYZXpeVQ/","accessed":{"date-parts":[["2021","11","5"]]},"author":[{"dropping-particle":"","family":"Niaga","given":"Direktorat Jenderal Perlindunngan Konsumen dan Tertib","non-dropping-particle":"","parse-names":false,"suffix":""}],"container-title":"Instagram","id":"ITEM-1","issued":{"date-parts":[["2021"]]},"title":"Info Grafik Layanan Perlindungan KOnsumen","type":"webpage"},"uris":["http://www.mendeley.com/documents/?uuid=5e6d700c-b953-49db-9731-c9d907de672f"]}],"mendeley":{"formattedCitation":"Direktorat Jenderal Perlindunngan Konsumen dan Tertib Niaga, “Info Grafik Layanan Perlindungan KOnsumen,” &lt;i&gt;Instagram&lt;/i&gt;, last modified 2021, accessed November 5, 2021, https://www.instagram.com/p/CTTeYZXpeVQ/.","plainTextFormattedCitation":"Direktorat Jenderal Perlindunngan Konsumen dan Tertib Niaga, “Info Grafik Layanan Perlindungan KOnsumen,” Instagram, last modified 2021, accessed November 5, 2021, https://www.instagram.com/p/CTTeYZXpeVQ/.","previouslyFormattedCitation":"Direktorat Jenderal Perlindunngan Konsumen dan Tertib Niaga, “Info Grafik Layanan Perlindungan KOnsumen,” Instagram, 2021, https://www.instagram.com/p/CTTeYZXpeVQ/."},"properties":{"noteIndex":11},"schema":"https://github.com/citation-style-language/schema/raw/master/csl-citation.json"}</w:instrText>
      </w:r>
      <w:r w:rsidRPr="00350F12">
        <w:rPr>
          <w:noProof/>
          <w:szCs w:val="22"/>
        </w:rPr>
        <w:fldChar w:fldCharType="separate"/>
      </w:r>
      <w:r w:rsidRPr="00350F12">
        <w:rPr>
          <w:noProof/>
          <w:szCs w:val="22"/>
        </w:rPr>
        <w:t>Direktorat Jenderal Perlindunngan Konsumen dan Tertib Niaga, “Info Grafik Layanan Perlindungan KOnsumen,” Instagram, last modified 2021, accessed November 5, 2021, https://www.instagram.com/p/CTTeYZXpeVQ/.</w:t>
      </w:r>
      <w:r w:rsidRPr="00350F12">
        <w:rPr>
          <w:noProof/>
          <w:szCs w:val="22"/>
        </w:rPr>
        <w:fldChar w:fldCharType="end"/>
      </w:r>
    </w:p>
    <w:p w14:paraId="09309CF4" w14:textId="04FD1D7D" w:rsidR="00350F12" w:rsidRPr="00350F12" w:rsidRDefault="00350F12" w:rsidP="00350F12">
      <w:pPr>
        <w:pStyle w:val="FootnoteText"/>
        <w:ind w:left="851" w:hanging="851"/>
        <w:rPr>
          <w:noProof/>
          <w:szCs w:val="22"/>
        </w:rPr>
      </w:pPr>
      <w:r w:rsidRPr="00350F12">
        <w:rPr>
          <w:noProof/>
          <w:szCs w:val="22"/>
        </w:rPr>
        <w:fldChar w:fldCharType="begin" w:fldLock="1"/>
      </w:r>
      <w:r w:rsidRPr="00350F12">
        <w:rPr>
          <w:noProof/>
          <w:szCs w:val="22"/>
        </w:rPr>
        <w:instrText>ADDIN CSL_CITATION {"citationItems":[{"id":"ITEM-1","itemData":{"abstract":"Cosmetic products are generally formulated as emulsions, ointments, solutions or powders containing active ingredients. According to EU legislation, a cosmetic product is \"any substance or preparation intended to be placed in contact with the various external parts of the human body with a view exclusively or mainly to cleaning, perfuming them, changing their appearance, and/or correcting body odors and/or protecting them or keeping them in good conditions\". However, science advancement in both active carriers and ingredients has streamlined the process through which many cosmetic products by their delivery systems can induce modifications on the skin physiology. This is the reason why Reed and Kligman redefined these products as \"cosmeceuticals\", which refers to the combination of cosmetics and pharmaceuticals. Until recently, the term of cosmeceuticals has not had legal significance. The so-called cosmeceuticals, in fact, may induce modifications on the skin physiology, modifying, for example, transepidermal water loss, keratinocytes cohesion and turnover, modulating the inflammatory cascade, and/or altering the surface microbiota by the activity of the preservatives content. For these reasons, they are claimed to have medical or drug-like benefits. Naturally, their effectiveness on minor skin disorders or mild skin abnormalities has to be shown by in vitro and in vivo studies. On the other hand, their formulations contain emulsifiers, preservatives, and other chemicals which, by their cumulative use, may provoke side effects, such as allergic and/or sensitization phenomena. Moreover, many ingredients and packaging for such products are not biodegradable. In this study, we would like to introduce an innovative category of cosmeceuticals made by biodegradable nonwoven tissues. These cosmeceutical tissues, produced through the use of natural fibers, may bind different active ingredients and therefore become effective as antibacterial, anti-inflammatory, sun-protective, whitening, or anti-aging products, depending on the ingredient(s) used. Differently from the usual cosmetics, they do not contain preservatives, emulsifiers, colors, and other chemicals. They can be applied as dried tissue on wet skin, remaining in loco for around 30 min, slowly releasing the active ingredients entrapped into the fibers. It is interesting to underline that the tissue, acting as a carrier, has its own effectiveness via chitin and lignin polymers with an antibacterial and a…","author":[{"dropping-particle":"","family":"Niaga","given":"Direktorat Perlindungan Konsumen dan Tertib","non-dropping-particle":"","parse-names":false,"suffix":""}],"id":"ITEM-1","issued":{"date-parts":[["2020"]]},"title":"Lampiran Keputusan Direktur Jenderal Perlindungan Konsumen dan Tertib Niaga Kementrian Perdagangan No. 162 Tahun 2020 tentang Rencana Strategis Direktorat Perlindungan Konsumen dan Tertib Niaga 2020-2024","type":"legislation"},"uris":["http://www.mendeley.com/documents/?uuid=7c56c119-7172-4fa0-a007-b37ed4249652"]}],"mendeley":{"formattedCitation":"Direktorat Perlindungan Konsumen dan Tertib Niaga, &lt;i&gt;Lampiran Keputusan Direktur Jenderal Perlindungan Konsumen Dan Tertib Niaga Kementrian Perdagangan No. 162 Tahun 2020 Tentang Rencana Strategis Direktorat Perlindungan Konsumen Dan Tertib Niaga 2020-2024&lt;/i&gt;, 2020.","manualFormatting":"Direktorat Perlindungan Konsumen dan Tertib Niaga, “Lampiran Keputusan Direktur Jenderal Perlindungan Konsumen Dan Tertib Niaga Kementrian Perdagangan No. 162 Tahun 2020 Tentang Rencana Strategis Direktorat Perlindungan Konsumen Dan Tertib Niaga 2020-2024” (2020), hlm.","plainTextFormattedCitation":"Direktorat Perlindungan Konsumen dan Tertib Niaga, Lampiran Keputusan Direktur Jenderal Perlindungan Konsumen Dan Tertib Niaga Kementrian Perdagangan No. 162 Tahun 2020 Tentang Rencana Strategis Direktorat Perlindungan Konsumen Dan Tertib Niaga 2020-2024, 2020.","previouslyFormattedCitation":"Direktorat Perlindungan Konsumen dan Tertib Niaga, “Lampiran Keputusan Direktur Jenderal Perlindungan Konsumen Dan Tertib Niaga Kementrian Perdagangan No. 162 Tahun 2020 Tentang Rencana Strategis Direktorat Perlindungan Konsumen Dan Tertib Niaga 2020-2024” (2020)."},"properties":{"noteIndex":22},"schema":"https://github.com/citation-style-language/schema/raw/master/csl-citation.json"}</w:instrText>
      </w:r>
      <w:r w:rsidRPr="00350F12">
        <w:rPr>
          <w:noProof/>
          <w:szCs w:val="22"/>
        </w:rPr>
        <w:fldChar w:fldCharType="separate"/>
      </w:r>
      <w:r w:rsidRPr="00350F12">
        <w:rPr>
          <w:noProof/>
          <w:szCs w:val="22"/>
        </w:rPr>
        <w:t>Direktorat Perlindungan Konsumen dan Tertib Niaga, “Lampiran Keputusan Direktur Jenderal Perlindungan Konsumen Dan Tertib Niaga Kementrian Perdagangan No. 162 Tahun 2020 Tentang Rencana Strategis Direktorat Perlindungan Konsumen Dan Tertib Niaga 2020-2024” (2020).</w:t>
      </w:r>
      <w:r w:rsidRPr="00350F12">
        <w:rPr>
          <w:noProof/>
          <w:szCs w:val="22"/>
        </w:rPr>
        <w:fldChar w:fldCharType="end"/>
      </w:r>
    </w:p>
    <w:p w14:paraId="2901E029" w14:textId="77777777" w:rsidR="00350F12" w:rsidRPr="00350F12" w:rsidRDefault="00350F12" w:rsidP="00350F12">
      <w:pPr>
        <w:pStyle w:val="FootnoteText"/>
        <w:ind w:left="851" w:hanging="851"/>
        <w:rPr>
          <w:noProof/>
          <w:szCs w:val="22"/>
        </w:rPr>
      </w:pPr>
      <w:r w:rsidRPr="00350F12">
        <w:rPr>
          <w:noProof/>
          <w:szCs w:val="22"/>
        </w:rPr>
        <w:t xml:space="preserve">Hamid, </w:t>
      </w:r>
      <w:r w:rsidRPr="00350F12">
        <w:rPr>
          <w:noProof/>
          <w:szCs w:val="22"/>
        </w:rPr>
        <w:fldChar w:fldCharType="begin" w:fldLock="1"/>
      </w:r>
      <w:r w:rsidRPr="00350F12">
        <w:rPr>
          <w:noProof/>
          <w:szCs w:val="22"/>
        </w:rPr>
        <w:instrText>ADDIN CSL_CITATION {"citationItems":[{"id":"ITEM-1","itemData":{"author":[{"dropping-particle":"","family":"Nor'adha Ab Hamid","given":"Sakinah Shaik Ahmad Yusoff","non-dropping-particle":"","parse-names":false,"suffix":""}],"id":"ITEM-1","issued":{"date-parts":[["2011"]]},"publisher":"Dewan Bahasa dan Pustaka","publisher-place":"Kuala Lumpur","title":"Pertikaian Perdagangan Pengguna: Penyelesaian Pertikaian Alternatif di Malaysia","type":"book"},"uris":["http://www.mendeley.com/documents/?uuid=559673a7-c71f-444f-a9e9-dccd05d13736"]}],"mendeley":{"formattedCitation":"Sakinah Shaik Ahmad Yusoff Nor’adha Ab Hamid, &lt;i&gt;Pertikaian Perdagangan Pengguna: Penyelesaian Pertikaian Alternatif Di Malaysia&lt;/i&gt; (Kuala Lumpur: Dewan Bahasa dan Pustaka, 2011).","manualFormatting":"Sakinah Shaik Ahmad Yusoff Nor’adha Ab Hamid, Pertikaian Perdagangan Pengguna: Penyelesaian Pertikaian Alternatif Di Malaysia (Kuala Lumpur: Dewan Bahasa dan Pustaka, 2011), hlm.","plainTextFormattedCitation":"Sakinah Shaik Ahmad Yusoff Nor’adha Ab Hamid, Pertikaian Perdagangan Pengguna: Penyelesaian Pertikaian Alternatif Di Malaysia (Kuala Lumpur: Dewan Bahasa dan Pustaka, 2011).","previouslyFormattedCitation":"Sakinah Shaik Ahmad Yusoff Nor’adha Ab Hamid, &lt;i&gt;Pertikaian Perdagangan Pengguna: Penyelesaian Pertikaian Alternatif Di Malaysia&lt;/i&gt; (Kuala Lumpur: Dewan Bahasa dan Pustaka, 2011)."},"properties":{"noteIndex":29},"schema":"https://github.com/citation-style-language/schema/raw/master/csl-citation.json"}</w:instrText>
      </w:r>
      <w:r w:rsidRPr="00350F12">
        <w:rPr>
          <w:noProof/>
          <w:szCs w:val="22"/>
        </w:rPr>
        <w:fldChar w:fldCharType="separate"/>
      </w:r>
      <w:r w:rsidRPr="00350F12">
        <w:rPr>
          <w:noProof/>
          <w:szCs w:val="22"/>
        </w:rPr>
        <w:t>Sakinah Shaik Ahmad Yusoff Nor’adha Ab, Pertikaian Perdagangan Pengguna: Penyelesaian Pertikaian Alternatif Di Malaysia (Kuala Lumpur: Dewan Bahasa dan Pustaka, 2011), hlm.</w:t>
      </w:r>
      <w:r w:rsidRPr="00350F12">
        <w:rPr>
          <w:noProof/>
          <w:szCs w:val="22"/>
        </w:rPr>
        <w:fldChar w:fldCharType="end"/>
      </w:r>
      <w:r w:rsidRPr="00350F12">
        <w:rPr>
          <w:noProof/>
          <w:szCs w:val="22"/>
        </w:rPr>
        <w:t xml:space="preserve"> 134</w:t>
      </w:r>
    </w:p>
    <w:p w14:paraId="48013C1E" w14:textId="298C24E1" w:rsidR="00350F12" w:rsidRPr="00350F12" w:rsidRDefault="00350F12" w:rsidP="00350F12">
      <w:pPr>
        <w:pStyle w:val="FootnoteText"/>
        <w:ind w:left="851" w:hanging="851"/>
        <w:rPr>
          <w:noProof/>
          <w:szCs w:val="22"/>
        </w:rPr>
      </w:pPr>
      <w:r w:rsidRPr="00350F12">
        <w:rPr>
          <w:noProof/>
          <w:szCs w:val="22"/>
        </w:rPr>
        <w:t xml:space="preserve">Helmi, </w:t>
      </w:r>
      <w:r w:rsidRPr="00350F12">
        <w:rPr>
          <w:noProof/>
          <w:szCs w:val="22"/>
        </w:rPr>
        <w:fldChar w:fldCharType="begin" w:fldLock="1"/>
      </w:r>
      <w:r w:rsidRPr="00350F12">
        <w:rPr>
          <w:noProof/>
          <w:szCs w:val="22"/>
        </w:rPr>
        <w:instrText>ADDIN CSL_CITATION {"citationItems":[{"id":"ITEM-1","itemData":{"abstract":"Abstract Keberadaan Badan Penyelesaian Sengketa Konsumen (BPSK) dalam menyelesaikan sengketa konsumen di Indonesia ternyata mengalami banyak kendala. Salah satunya adalah eksistensi BPSK dalam memutuskan suatu sengketa konsumen …","author":[{"dropping-particle":"","family":"Helmi","given":"Hanum Rahmaniar","non-dropping-particle":"","parse-names":false,"suffix":""}],"container-title":"Jurnal Hukum Acara Perdata ADHAPER","id":"ITEM-1","issue":"1","issued":{"date-parts":[["2015"]]},"page":"77-89","title":"Eksistensi Badan Penyelesaian Sengketa Konsumen Dalam Memutus Sengketa Konsumen Di Indonesia","type":"article-journal","volume":"1"},"uris":["http://www.mendeley.com/documents/?uuid=5f62d69b-58b7-4a3c-b1ce-cf9e8efbc651"]}],"mendeley":{"formattedCitation":"Hanum Rahmaniar Helmi, “Eksistensi Badan Penyelesaian Sengketa Konsumen Dalam Memutus Sengketa Konsumen Di Indonesia,” &lt;i&gt;Jurnal Hukum Acara Perdata ADHAPER&lt;/i&gt; 1, no. 1 (2015): 77–89.","plainTextFormattedCitation":"Hanum Rahmaniar Helmi, “Eksistensi Badan Penyelesaian Sengketa Konsumen Dalam Memutus Sengketa Konsumen Di Indonesia,” Jurnal Hukum Acara Perdata ADHAPER 1, no. 1 (2015): 77–89.","previouslyFormattedCitation":"Hanum Rahmaniar Helmi, “Eksistensi Badan Penyelesaian Sengketa Konsumen Dalam Memutus Sengketa Konsumen Di Indonesia,” &lt;i&gt;Jurnal Hukum Acara Perdata ADHAPER&lt;/i&gt; 1, no. 1 (2015): 77–89."},"properties":{"noteIndex":141},"schema":"https://github.com/citation-style-language/schema/raw/master/csl-citation.json"}</w:instrText>
      </w:r>
      <w:r w:rsidRPr="00350F12">
        <w:rPr>
          <w:noProof/>
          <w:szCs w:val="22"/>
        </w:rPr>
        <w:fldChar w:fldCharType="separate"/>
      </w:r>
      <w:r w:rsidRPr="00350F12">
        <w:rPr>
          <w:noProof/>
          <w:szCs w:val="22"/>
        </w:rPr>
        <w:t>Hanum Rahmaniar, “Eksistensi Badan Penyelesaian Sengketa Konsumen Dalam Memutus Sengketa Konsumen Di Indonesia,” Jurnal Hukum Acara Perdata ADHAPER 1, no. 1 (2015): 77–89.</w:t>
      </w:r>
      <w:r w:rsidRPr="00350F12">
        <w:rPr>
          <w:noProof/>
          <w:szCs w:val="22"/>
        </w:rPr>
        <w:fldChar w:fldCharType="end"/>
      </w:r>
    </w:p>
    <w:p w14:paraId="726C1FB7" w14:textId="55F6B17B" w:rsidR="00350F12" w:rsidRPr="00350F12" w:rsidRDefault="00350F12" w:rsidP="00350F12">
      <w:pPr>
        <w:pStyle w:val="FootnoteText"/>
        <w:ind w:left="851" w:hanging="851"/>
        <w:rPr>
          <w:noProof/>
          <w:szCs w:val="22"/>
        </w:rPr>
      </w:pPr>
      <w:r w:rsidRPr="00350F12">
        <w:rPr>
          <w:noProof/>
          <w:szCs w:val="22"/>
        </w:rPr>
        <w:fldChar w:fldCharType="begin" w:fldLock="1"/>
      </w:r>
      <w:r w:rsidRPr="00350F12">
        <w:rPr>
          <w:noProof/>
          <w:szCs w:val="22"/>
        </w:rPr>
        <w:instrText>ADDIN CSL_CITATION {"citationItems":[{"id":"ITEM-1","itemData":{"author":[{"dropping-particle":"","family":"Kementerian Perdagangan Dalam Negeri Koperasi dan Kepenggunaan","given":"","non-dropping-particle":"","parse-names":false,"suffix":""}],"id":"ITEM-1","issued":{"date-parts":[["0"]]},"publisher-place":"Putrajaya","title":"Perlindungan Pengguna (Consumer Protection) Mudah Murah Cepat: Tribunal Tuntutan Pengguna Malaysia","type":"book"},"uris":["http://www.mendeley.com/documents/?uuid=da4d6eaf-13d9-4bf6-b446-3b8b16a56185"]}],"mendeley":{"formattedCitation":"Kementerian Perdagangan Dalam Negeri Koperasi dan Kepenggunaan, &lt;i&gt;Perlindungan Pengguna (Consumer Protection) Mudah Murah Cepat: Tribunal Tuntutan Pengguna Malaysia&lt;/i&gt; (Putrajaya, n.d.).","manualFormatting":"Kementerian Perdagangan Dalam Negeri Koperasi dan Kepenggunaan, Perlindungan Pengguna (Consumer Protection) Mudah Murah Cepat: Tribunal Tuntutan Pengguna Malaysia (Putrajaya), hlm.","plainTextFormattedCitation":"Kementerian Perdagangan Dalam Negeri Koperasi dan Kepenggunaan, Perlindungan Pengguna (Consumer Protection) Mudah Murah Cepat: Tribunal Tuntutan Pengguna Malaysia (Putrajaya, n.d.).","previouslyFormattedCitation":"Kementerian Perdagangan Dalam Negeri Koperasi dan Kepenggunaan, &lt;i&gt;Perlindungan Pengguna (Consumer Protection) Mudah Murah Cepat: Tribunal Tuntutan Pengguna Malaysia&lt;/i&gt; (Putrajaya, n.d.)."},"properties":{"noteIndex":26},"schema":"https://github.com/citation-style-language/schema/raw/master/csl-citation.json"}</w:instrText>
      </w:r>
      <w:r w:rsidRPr="00350F12">
        <w:rPr>
          <w:noProof/>
          <w:szCs w:val="22"/>
        </w:rPr>
        <w:fldChar w:fldCharType="separate"/>
      </w:r>
      <w:r w:rsidRPr="00350F12">
        <w:rPr>
          <w:noProof/>
          <w:szCs w:val="22"/>
        </w:rPr>
        <w:t>Kementerian Perdagangan Dalam Negeri Koperasi dan Kepenggunaan, Perlindungan Pengguna (Consumer Protection) Mudah Murah Cepat: Tribunal Tuntutan Pengguna Malaysia (Putrajaya).</w:t>
      </w:r>
      <w:r w:rsidRPr="00350F12">
        <w:rPr>
          <w:noProof/>
          <w:szCs w:val="22"/>
        </w:rPr>
        <w:fldChar w:fldCharType="end"/>
      </w:r>
    </w:p>
    <w:p w14:paraId="3909A0FF" w14:textId="77777777" w:rsidR="00350F12" w:rsidRPr="00350F12" w:rsidRDefault="00350F12" w:rsidP="00350F12">
      <w:pPr>
        <w:pStyle w:val="FootnoteText"/>
        <w:ind w:left="851" w:hanging="851"/>
        <w:rPr>
          <w:noProof/>
          <w:szCs w:val="22"/>
        </w:rPr>
      </w:pPr>
      <w:r w:rsidRPr="00350F12">
        <w:rPr>
          <w:noProof/>
          <w:szCs w:val="22"/>
        </w:rPr>
        <w:fldChar w:fldCharType="begin" w:fldLock="1"/>
      </w:r>
      <w:r w:rsidRPr="00350F12">
        <w:rPr>
          <w:noProof/>
          <w:szCs w:val="22"/>
        </w:rPr>
        <w:instrText>ADDIN CSL_CITATION {"citationItems":[{"id":"ITEM-1","itemData":{"URL":"https://www.kpdnhep.gov.my/en/consumerism/consumer-rights/consumer-protection.html","accessed":{"date-parts":[["2021","11","6"]]},"author":[{"dropping-particle":"","family":"EhwalPengguna","given":"Kementerian Perdagangan dalam Negeri dan Hal","non-dropping-particle":"","parse-names":false,"suffix":""}],"container-title":"Portal Rasmi Kementrian Perdagangan dalam Negeri dan Hal Ehwal Pengguna","id":"ITEM-1","issued":{"date-parts":[["2021"]]},"title":"Perlindungan Pengguna","type":"webpage"},"uris":["http://www.mendeley.com/documents/?uuid=a70f6a05-1301-46ab-a543-ad44cc8694d1"]}],"mendeley":{"formattedCitation":"Kementerian Perdagangan dalam Negeri dan Hal EhwalPengguna, “Perlindungan Pengguna,” &lt;i&gt;Portal Rasmi Kementrian Perdagangan Dalam Negeri Dan Hal Ehwal Pengguna&lt;/i&gt;, last modified 2021, accessed November 6, 2021, https://www.kpdnhep.gov.my/en/consumerism/consumer-rights/consumer-protection.html.","plainTextFormattedCitation":"Kementerian Perdagangan dalam Negeri dan Hal EhwalPengguna, “Perlindungan Pengguna,” Portal Rasmi Kementrian Perdagangan Dalam Negeri Dan Hal Ehwal Pengguna, last modified 2021, accessed November 6, 2021, https://www.kpdnhep.gov.my/en/consumerism/consumer-rights/consumer-protection.html.","previouslyFormattedCitation":"Kementerian Perdagangan dalam Negeri dan Hal EhwalPengguna, “Perlindungan Pengguna,” Portal Rasmi Kementrian Perdagangan dalam Negeri dan Hal Ehwal Pengguna, 2021, https://www.kpdnhep.gov.my/en/consumerism/consumer-rights/consumer-protection.html."},"properties":{"noteIndex":28},"schema":"https://github.com/citation-style-language/schema/raw/master/csl-citation.json"}</w:instrText>
      </w:r>
      <w:r w:rsidRPr="00350F12">
        <w:rPr>
          <w:noProof/>
          <w:szCs w:val="22"/>
        </w:rPr>
        <w:fldChar w:fldCharType="separate"/>
      </w:r>
      <w:r w:rsidRPr="00350F12">
        <w:rPr>
          <w:noProof/>
          <w:szCs w:val="22"/>
        </w:rPr>
        <w:t>Kementerian Perdagangan dalam Negeri dan Hal Ehwal Pengguna, “Perlindungan Pengguna,” Portal Rasmi Kementrian Perdagangan Dalam Negeri Dan Hal Ehwal Pengguna, last modified 2021, accessed November 6, 2021, https://www.kpdnhep.gov.my/en/consumerism/consumer-rights/consumer-protection.html.</w:t>
      </w:r>
      <w:r w:rsidRPr="00350F12">
        <w:rPr>
          <w:noProof/>
          <w:szCs w:val="22"/>
        </w:rPr>
        <w:fldChar w:fldCharType="end"/>
      </w:r>
    </w:p>
    <w:p w14:paraId="417237AB" w14:textId="77777777" w:rsidR="00350F12" w:rsidRPr="00350F12" w:rsidRDefault="00350F12" w:rsidP="00350F12">
      <w:pPr>
        <w:pStyle w:val="FootnoteText"/>
        <w:ind w:left="851" w:hanging="851"/>
        <w:rPr>
          <w:noProof/>
          <w:szCs w:val="22"/>
        </w:rPr>
      </w:pPr>
      <w:r w:rsidRPr="00350F12">
        <w:rPr>
          <w:noProof/>
          <w:szCs w:val="22"/>
        </w:rPr>
        <w:t xml:space="preserve">Kristiyanti, </w:t>
      </w:r>
      <w:r w:rsidRPr="00350F12">
        <w:rPr>
          <w:noProof/>
          <w:szCs w:val="22"/>
        </w:rPr>
        <w:fldChar w:fldCharType="begin" w:fldLock="1"/>
      </w:r>
      <w:r w:rsidRPr="00350F12">
        <w:rPr>
          <w:noProof/>
          <w:szCs w:val="22"/>
        </w:rPr>
        <w:instrText>ADDIN CSL_CITATION {"citationItems":[{"id":"ITEM-1","itemData":{"author":[{"dropping-particle":"","family":"Celina Tri Siwi Kristiyanti","given":"","non-dropping-particle":"","parse-names":false,"suffix":""}],"id":"ITEM-1","issued":{"date-parts":[["2017"]]},"publisher":"Sinar Grafika","publisher-place":"Jakarta","title":"Hukum Perlindungan Konsumen","type":"book"},"uris":["http://www.mendeley.com/documents/?uuid=433845f7-64dd-4efd-8078-d15cacfe2d71"]}],"mendeley":{"formattedCitation":"Celina Tri Siwi Kristiyanti, &lt;i&gt;Hukum Perlindungan Konsumen&lt;/i&gt; (Jakarta: Sinar Grafika, 2017).","manualFormatting":"Celina Tri Siwi Kristiyanti, Hukum Perlindungan Konsumen (Jakarta: Sinar Grafika, 2017), hlm.","plainTextFormattedCitation":"Celina Tri Siwi Kristiyanti, Hukum Perlindungan Konsumen (Jakarta: Sinar Grafika, 2017).","previouslyFormattedCitation":"Celina Tri Siwi Kristiyanti, &lt;i&gt;Hukum Perlindungan Konsumen&lt;/i&gt; (Jakarta: Sinar Grafika, 2017)."},"properties":{"noteIndex":109},"schema":"https://github.com/citation-style-language/schema/raw/master/csl-citation.json"}</w:instrText>
      </w:r>
      <w:r w:rsidRPr="00350F12">
        <w:rPr>
          <w:noProof/>
          <w:szCs w:val="22"/>
        </w:rPr>
        <w:fldChar w:fldCharType="separate"/>
      </w:r>
      <w:r w:rsidRPr="00350F12">
        <w:rPr>
          <w:noProof/>
          <w:szCs w:val="22"/>
        </w:rPr>
        <w:t>Celina Tri Siwi, Hukum Perlindungan Konsumen (Jakarta: Sinar Grafika, 2017), hlm.</w:t>
      </w:r>
      <w:r w:rsidRPr="00350F12">
        <w:rPr>
          <w:noProof/>
          <w:szCs w:val="22"/>
        </w:rPr>
        <w:fldChar w:fldCharType="end"/>
      </w:r>
      <w:r w:rsidRPr="00350F12">
        <w:rPr>
          <w:noProof/>
          <w:szCs w:val="22"/>
        </w:rPr>
        <w:t xml:space="preserve"> 15</w:t>
      </w:r>
    </w:p>
    <w:p w14:paraId="55CE7D93" w14:textId="7A41A6EC" w:rsidR="00350F12" w:rsidRPr="00350F12" w:rsidRDefault="00350F12" w:rsidP="00350F12">
      <w:pPr>
        <w:pStyle w:val="FootnoteText"/>
        <w:ind w:left="851" w:hanging="851"/>
        <w:rPr>
          <w:noProof/>
          <w:szCs w:val="22"/>
        </w:rPr>
      </w:pPr>
      <w:r w:rsidRPr="00350F12">
        <w:rPr>
          <w:noProof/>
          <w:szCs w:val="22"/>
        </w:rPr>
        <w:fldChar w:fldCharType="begin" w:fldLock="1"/>
      </w:r>
      <w:r w:rsidRPr="00350F12">
        <w:rPr>
          <w:noProof/>
          <w:szCs w:val="22"/>
        </w:rPr>
        <w:instrText>ADDIN CSL_CITATION {"citationItems":[{"id":"ITEM-1","itemData":{"DOI":"10.20884/1.jdh.2012.12.1.113","ISSN":"1410-0797","abstract":"Consumer dispute can be resolved through on courts or outside the court based on voluntary choice of the parties. Settlement of dispute through the court provisions on the article 45. Dispute of the settlement can be solved out the court by using Consumer Dispute Settlement Body (BPSK).The purpose of establshing BPSK is to protec consumer and producer by designing consumer protection system that contain legal certainty and transparency the information. The existence of BPSK expected equality of justice especially to consumer that aggrieved by consumer. It because the dispute between consumer and producer generally involved in small value so that the consumer hesitate to registered his case to judicial process. There is no adequate between the court fee and indemnification perceived. The problems that the decision of BPSK has characteristic final and binding however it can be carried out to the district court and the decision cannot be executed directly or realized.  Keywords: consumers right, consumer’s protection, dispute resolution. ","author":[{"dropping-particle":"","family":"Kurniawan","given":"Kurniawan","non-dropping-particle":"","parse-names":false,"suffix":""}],"container-title":"Jurnal Dinamika Hukum","id":"ITEM-1","issue":"1","issued":{"date-parts":[["2012"]]},"page":"160-172","title":"Permasalahan Dan Kendala Penyelesaian Sengketa Konsumen Melalui Badan Penyelesaian Sengketa Konsumen (Bpsk)","type":"article-journal","volume":"12"},"uris":["http://www.mendeley.com/documents/?uuid=be1cb7fd-74f9-48e0-ae44-d1e64c65e990"]}],"mendeley":{"formattedCitation":"Kurniawan, “Permasalahan Dan Kendala Penyelesaian Sengketa Konsumen Melalui Badan Penyelesaian Sengketa Konsumen (Bpsk).”","plainTextFormattedCitation":"Kurniawan, “Permasalahan Dan Kendala Penyelesaian Sengketa Konsumen Melalui Badan Penyelesaian Sengketa Konsumen (Bpsk).”","previouslyFormattedCitation":"Kurniawan, “Permasalahan Dan Kendala Penyelesaian Sengketa Konsumen Melalui Badan Penyelesaian Sengketa Konsumen (Bpsk).”"},"properties":{"noteIndex":142},"schema":"https://github.com/citation-style-language/schema/raw/master/csl-citation.json"}</w:instrText>
      </w:r>
      <w:r w:rsidRPr="00350F12">
        <w:rPr>
          <w:noProof/>
          <w:szCs w:val="22"/>
        </w:rPr>
        <w:fldChar w:fldCharType="separate"/>
      </w:r>
      <w:r w:rsidRPr="00350F12">
        <w:rPr>
          <w:noProof/>
          <w:szCs w:val="22"/>
        </w:rPr>
        <w:t>Kurniawan, “Permasalahan Dan Kendala Penyelesaian Sengketa Konsumen Melalui Badan Penyelesaian Sengketa Konsumen (Bpsk).”</w:t>
      </w:r>
      <w:r w:rsidRPr="00350F12">
        <w:rPr>
          <w:noProof/>
          <w:szCs w:val="22"/>
        </w:rPr>
        <w:fldChar w:fldCharType="end"/>
      </w:r>
    </w:p>
    <w:p w14:paraId="6DB4642A" w14:textId="0284893A" w:rsidR="00350F12" w:rsidRPr="00350F12" w:rsidRDefault="00350F12" w:rsidP="00350F12">
      <w:pPr>
        <w:pStyle w:val="FootnoteText"/>
        <w:ind w:left="851" w:hanging="851"/>
        <w:rPr>
          <w:noProof/>
          <w:szCs w:val="22"/>
        </w:rPr>
      </w:pPr>
      <w:r w:rsidRPr="00350F12">
        <w:rPr>
          <w:noProof/>
          <w:szCs w:val="22"/>
        </w:rPr>
        <w:fldChar w:fldCharType="begin" w:fldLock="1"/>
      </w:r>
      <w:r w:rsidRPr="00350F12">
        <w:rPr>
          <w:noProof/>
          <w:szCs w:val="22"/>
        </w:rPr>
        <w:instrText>ADDIN CSL_CITATION {"citationItems":[{"id":"ITEM-1","itemData":{"author":[{"dropping-particle":"","family":"Kurniawan","given":"","non-dropping-particle":"","parse-names":false,"suffix":""}],"id":"ITEM-1","issued":{"date-parts":[["0"]]},"title":"Kedudukan dan Kekuatan Putusan Badan Penyelesaian Sengketa Konsumen (BPSK) dalam Menjamin Perlindungan Hukum Bagi Konsumen, Malang: Disertasi FH Universitas Brawijaya Malang, 2010","type":"book"},"uris":["http://www.mendeley.com/documents/?uuid=9c7ed4e7-d230-4caa-ad0c-8510a31509e5"]}],"mendeley":{"formattedCitation":"Kurniawan, &lt;i&gt;Kedudukan Dan Kekuatan Putusan Badan Penyelesaian Sengketa Konsumen (BPSK) Dalam Menjamin Perlindungan Hukum Bagi Konsumen, Malang: Disertasi FH Universitas Brawijaya Malang, 2010&lt;/i&gt;, n.d.","manualFormatting":"Kurniawan, Kedudukan Dan Kekuatan Putusan Badan Penyelesaian Sengketa Konsumen (BPSK) Dalam Menjamin Perlindungan Hukum Bagi Konsumen, (Malang: Disertasi FH Universitas Brawijaya Malang, 2010),hlm.","plainTextFormattedCitation":"Kurniawan, Kedudukan Dan Kekuatan Putusan Badan Penyelesaian Sengketa Konsumen (BPSK) Dalam Menjamin Perlindungan Hukum Bagi Konsumen, Malang: Disertasi FH Universitas Brawijaya Malang, 2010, n.d.","previouslyFormattedCitation":"Kurniawan, &lt;i&gt;Kedudukan Dan Kekuatan Putusan Badan Penyelesaian Sengketa Konsumen (BPSK) Dalam Menjamin Perlindungan Hukum Bagi Konsumen, Malang: Disertasi FH Universitas Brawijaya Malang, 2010&lt;/i&gt;, n.d."},"properties":{"noteIndex":18},"schema":"https://github.com/citation-style-language/schema/raw/master/csl-citation.json"}</w:instrText>
      </w:r>
      <w:r w:rsidRPr="00350F12">
        <w:rPr>
          <w:noProof/>
          <w:szCs w:val="22"/>
        </w:rPr>
        <w:fldChar w:fldCharType="separate"/>
      </w:r>
      <w:r w:rsidRPr="00350F12">
        <w:rPr>
          <w:noProof/>
          <w:szCs w:val="22"/>
        </w:rPr>
        <w:t>_______, Kedudukan Dan Kekuatan Putusan Badan Penyelesaian Sengketa Konsumen (BPSK) Dalam Menjamin Perlindungan Hukum Bagi Konsumen, (Malang: Disertasi FH Universitas Brawijaya Malang, 2010).</w:t>
      </w:r>
      <w:r w:rsidRPr="00350F12">
        <w:rPr>
          <w:noProof/>
          <w:szCs w:val="22"/>
        </w:rPr>
        <w:fldChar w:fldCharType="end"/>
      </w:r>
    </w:p>
    <w:p w14:paraId="3C739173" w14:textId="46F8D77C" w:rsidR="00350F12" w:rsidRPr="00350F12" w:rsidRDefault="00350F12" w:rsidP="00350F12">
      <w:pPr>
        <w:pStyle w:val="FootnoteText"/>
        <w:ind w:left="851" w:hanging="851"/>
        <w:rPr>
          <w:noProof/>
          <w:szCs w:val="22"/>
        </w:rPr>
      </w:pPr>
      <w:r w:rsidRPr="00350F12">
        <w:rPr>
          <w:noProof/>
          <w:szCs w:val="22"/>
        </w:rPr>
        <w:t xml:space="preserve">Lukito, </w:t>
      </w:r>
      <w:r w:rsidRPr="00350F12">
        <w:rPr>
          <w:noProof/>
          <w:szCs w:val="22"/>
        </w:rPr>
        <w:fldChar w:fldCharType="begin" w:fldLock="1"/>
      </w:r>
      <w:r w:rsidRPr="00350F12">
        <w:rPr>
          <w:noProof/>
          <w:szCs w:val="22"/>
        </w:rPr>
        <w:instrText>ADDIN CSL_CITATION {"citationItems":[{"id":"ITEM-1","itemData":{"author":[{"dropping-particle":"","family":"Ratno Lukito","given":"","non-dropping-particle":"","parse-names":false,"suffix":""}],"edition":"Cetakan Ke","id":"ITEM-1","issued":{"date-parts":[["2019"]]},"publisher":"Gadjah Mada University Press","publisher-place":"Yogyakarta","title":"Perbandingan Hukum: Perdebatan Teori dan Metode","type":"book"},"uris":["http://www.mendeley.com/documents/?uuid=9e1cee65-2a07-4710-bac5-8e16f6d93af6"]}],"mendeley":{"formattedCitation":"Ratno Lukito, &lt;i&gt;Perbandingan Hukum: Perdebatan Teori Dan Metode&lt;/i&gt;, Cetakan Ke. (Yogyakarta: Gadjah Mada University Press, 2019).","manualFormatting":"Ratno Lukito, Perbandingan Hukum: Perdebatan Teori Dan Metode, Cetakan Ke 2 (Yogyakarta: Gadjah Mada University Press, 2019), hlm.","plainTextFormattedCitation":"Ratno Lukito, Perbandingan Hukum: Perdebatan Teori Dan Metode, Cetakan Ke. (Yogyakarta: Gadjah Mada University Press, 2019).","previouslyFormattedCitation":"Ratno Lukito, &lt;i&gt;Perbandingan Hukum: Perdebatan Teori Dan Metode&lt;/i&gt;, Cetakan Ke (Yogyakarta: Gadjah Mada University Press, 2019)."},"properties":{"noteIndex":25},"schema":"https://github.com/citation-style-language/schema/raw/master/csl-citation.json"}</w:instrText>
      </w:r>
      <w:r w:rsidRPr="00350F12">
        <w:rPr>
          <w:noProof/>
          <w:szCs w:val="22"/>
        </w:rPr>
        <w:fldChar w:fldCharType="separate"/>
      </w:r>
      <w:r w:rsidRPr="00350F12">
        <w:rPr>
          <w:noProof/>
          <w:szCs w:val="22"/>
        </w:rPr>
        <w:t xml:space="preserve">Ratno, Perbandingan Hukum: Perdebatan Teori Dan Metode, Cetakan Ke 2 (Yogyakarta: Gadjah Mada University Press, 2019), </w:t>
      </w:r>
      <w:r w:rsidRPr="00350F12">
        <w:rPr>
          <w:noProof/>
          <w:szCs w:val="22"/>
        </w:rPr>
        <w:fldChar w:fldCharType="end"/>
      </w:r>
    </w:p>
    <w:p w14:paraId="389FBBB9" w14:textId="5E40B882" w:rsidR="00350F12" w:rsidRPr="00350F12" w:rsidRDefault="00350F12" w:rsidP="00350F12">
      <w:pPr>
        <w:pStyle w:val="FootnoteText"/>
        <w:ind w:left="851" w:hanging="851"/>
        <w:rPr>
          <w:noProof/>
          <w:szCs w:val="22"/>
        </w:rPr>
      </w:pPr>
      <w:r w:rsidRPr="00350F12">
        <w:rPr>
          <w:noProof/>
          <w:szCs w:val="22"/>
        </w:rPr>
        <w:t xml:space="preserve">Mahfud, </w:t>
      </w:r>
      <w:r w:rsidRPr="00350F12">
        <w:rPr>
          <w:noProof/>
          <w:szCs w:val="22"/>
        </w:rPr>
        <w:fldChar w:fldCharType="begin" w:fldLock="1"/>
      </w:r>
      <w:r w:rsidRPr="00350F12">
        <w:rPr>
          <w:noProof/>
          <w:szCs w:val="22"/>
        </w:rPr>
        <w:instrText>ADDIN CSL_CITATION {"citationItems":[{"id":"ITEM-1","itemData":{"author":[{"dropping-particle":"","family":"MD","given":"Moh Mahfud","non-dropping-particle":"","parse-names":false,"suffix":""}],"edition":"Cet. VIII","id":"ITEM-1","issued":{"date-parts":[["2019"]]},"publisher":"PT Rajagrafindo Persada","publisher-place":"Jakarta","title":"Politik Hukum di Indonesia","type":"book"},"uris":["http://www.mendeley.com/documents/?uuid=f7939ca2-813d-43c4-93c7-9010fc725983"]}],"mendeley":{"formattedCitation":"MD, &lt;i&gt;Politik Hukum Di Indonesia&lt;/i&gt;.","manualFormatting":"Moh Mahfud MD, Politik Hukum Di Indonesia, Cet. VIII. (Jakarta: PT Rajagrafindo Persada, 2019), hlm.","plainTextFormattedCitation":"MD, Politik Hukum Di Indonesia.","previouslyFormattedCitation":"Moh Mahfud MD, &lt;i&gt;Politik Hukum Di Indonesia&lt;/i&gt;, Cet. VIII. (Jakarta: PT Rajagrafindo Persada, 2019)."},"properties":{"noteIndex":117},"schema":"https://github.com/citation-style-language/schema/raw/master/csl-citation.json"}</w:instrText>
      </w:r>
      <w:r w:rsidRPr="00350F12">
        <w:rPr>
          <w:noProof/>
          <w:szCs w:val="22"/>
        </w:rPr>
        <w:fldChar w:fldCharType="separate"/>
      </w:r>
      <w:r w:rsidRPr="00350F12">
        <w:rPr>
          <w:noProof/>
          <w:szCs w:val="22"/>
        </w:rPr>
        <w:t>Moh MD, Politik Hukum Di Indonesia, Cet. VIII. (Jakarta: PT Rajagrafindo Persada, 2019).</w:t>
      </w:r>
      <w:r w:rsidRPr="00350F12">
        <w:rPr>
          <w:noProof/>
          <w:szCs w:val="22"/>
        </w:rPr>
        <w:fldChar w:fldCharType="end"/>
      </w:r>
    </w:p>
    <w:p w14:paraId="62F184F7" w14:textId="66EA3375" w:rsidR="00350F12" w:rsidRPr="00350F12" w:rsidRDefault="00350F12" w:rsidP="00350F12">
      <w:pPr>
        <w:pStyle w:val="FootnoteText"/>
        <w:ind w:left="851" w:hanging="851"/>
        <w:rPr>
          <w:noProof/>
          <w:szCs w:val="22"/>
        </w:rPr>
      </w:pPr>
      <w:r w:rsidRPr="00350F12">
        <w:rPr>
          <w:noProof/>
          <w:szCs w:val="22"/>
        </w:rPr>
        <w:t>Mahkamah Agung, Pusat Sudi Hukum dan Kebijakan Indonesia PSHK), dan Lembaga Kajian dan Advokasi untuk Independensi  Peradilan (LeIP), Buku Saku Gugatan Sederhana, Jakarta: tp, 2015,</w:t>
      </w:r>
    </w:p>
    <w:p w14:paraId="6686F2FC" w14:textId="0A3C16E6" w:rsidR="00350F12" w:rsidRPr="00350F12" w:rsidRDefault="00350F12" w:rsidP="00350F12">
      <w:pPr>
        <w:pStyle w:val="FootnoteText"/>
        <w:ind w:left="851" w:hanging="851"/>
        <w:rPr>
          <w:noProof/>
          <w:szCs w:val="22"/>
        </w:rPr>
      </w:pPr>
      <w:r w:rsidRPr="00350F12">
        <w:rPr>
          <w:noProof/>
          <w:szCs w:val="22"/>
        </w:rPr>
        <w:t xml:space="preserve">Marzuki, </w:t>
      </w:r>
      <w:r w:rsidRPr="00350F12">
        <w:rPr>
          <w:noProof/>
          <w:szCs w:val="22"/>
        </w:rPr>
        <w:fldChar w:fldCharType="begin" w:fldLock="1"/>
      </w:r>
      <w:r w:rsidRPr="00350F12">
        <w:rPr>
          <w:noProof/>
          <w:szCs w:val="22"/>
        </w:rPr>
        <w:instrText>ADDIN CSL_CITATION {"citationItems":[{"id":"ITEM-1","itemData":{"author":[{"dropping-particle":"","family":"Suparman Marzuki","given":"","non-dropping-particle":"","parse-names":false,"suffix":""}],"id":"ITEM-1","issued":{"date-parts":[["2010"]]},"publisher":"Program Studi Hukum Program Doktor Fakultas Hukum Universitas Islam Indonesia","publisher-place":"Yogyakarta","title":"POLITIK HUKUM HAK ASASI MANUSIA (HAM) DI INDONESIA PADA ERA REFORMASI Studi tentang Penegakan Hukum HAM dalam Penyelesaian Pelanggaran HAM Masa Lalu","type":"book"},"uris":["http://www.mendeley.com/documents/?uuid=0395cb33-ef4b-4355-ab85-a10604e22a74"]}],"mendeley":{"formattedCitation":"Suparman Marzuki, &lt;i&gt;POLITIK HUKUM HAK ASASI MANUSIA (HAM) DI INDONESIA PADA ERA REFORMASI Studi Tentang Penegakan Hukum HAM Dalam Penyelesaian Pelanggaran HAM Masa Lalu&lt;/i&gt; (Yogyakarta: Program Studi Hukum Program Doktor Fakultas Hukum Universitas Islam Indonesia, 2010).","manualFormatting":"Suparman Marzuki, Politik Hukum Hak Asasi Manusia (HAM) Di Indonesia Pada Era Reformasi: Studi Tentang Penegakan Hukum HAM Dalam Penyelesaian Pelanggaran HAM Masa Lalu (Yogyakarta: Program Studi Hukum Program Doktor Fakultas Hukum Universitas Islam Indonesia, 2010), hlm.","plainTextFormattedCitation":"Suparman Marzuki, POLITIK HUKUM HAK ASASI MANUSIA (HAM) DI INDONESIA PADA ERA REFORMASI Studi Tentang Penegakan Hukum HAM Dalam Penyelesaian Pelanggaran HAM Masa Lalu (Yogyakarta: Program Studi Hukum Program Doktor Fakultas Hukum Universitas Islam Indonesia, 2010).","previouslyFormattedCitation":"Suparman Marzuki, &lt;i&gt;POLITIK HUKUM HAK ASASI MANUSIA (HAM) DI INDONESIA PADA ERA REFORMASI Studi Tentang Penegakan Hukum HAM Dalam Penyelesaian Pelanggaran HAM Masa Lalu&lt;/i&gt; (Yogyakarta: Program Studi Hukum Program Doktor Fakultas Hukum Universitas Islam Indonesia, 2010)."},"properties":{"noteIndex":116},"schema":"https://github.com/citation-style-language/schema/raw/master/csl-citation.json"}</w:instrText>
      </w:r>
      <w:r w:rsidRPr="00350F12">
        <w:rPr>
          <w:noProof/>
          <w:szCs w:val="22"/>
        </w:rPr>
        <w:fldChar w:fldCharType="separate"/>
      </w:r>
      <w:r w:rsidRPr="00350F12">
        <w:rPr>
          <w:noProof/>
          <w:szCs w:val="22"/>
        </w:rPr>
        <w:t>Suparman, Politik Hukum Hak Asasi Manusia (HAM) Di Indonesia Pada Era Reformasi: Studi Tentang Penegakan Hukum HAM Dalam Penyelesaian Pelanggaran HAM Masa Lalu (Yogyakarta: Program Studi Hukum Program Doktor Fakultas Hukum Universitas Islam Indonesia, 2010).</w:t>
      </w:r>
      <w:r w:rsidRPr="00350F12">
        <w:rPr>
          <w:noProof/>
          <w:szCs w:val="22"/>
        </w:rPr>
        <w:fldChar w:fldCharType="end"/>
      </w:r>
    </w:p>
    <w:p w14:paraId="6224A608" w14:textId="77777777" w:rsidR="00350F12" w:rsidRPr="00350F12" w:rsidRDefault="00350F12" w:rsidP="00350F12">
      <w:pPr>
        <w:pStyle w:val="FootnoteText"/>
        <w:ind w:left="851" w:hanging="851"/>
        <w:rPr>
          <w:noProof/>
          <w:szCs w:val="22"/>
        </w:rPr>
      </w:pPr>
      <w:r w:rsidRPr="00350F12">
        <w:rPr>
          <w:noProof/>
          <w:szCs w:val="22"/>
        </w:rPr>
        <w:t xml:space="preserve">National Consumer Complaints Centre (NCCC): Fungsi NCCC </w:t>
      </w:r>
      <w:hyperlink r:id="rId14" w:history="1">
        <w:r w:rsidRPr="00350F12">
          <w:rPr>
            <w:noProof/>
            <w:szCs w:val="22"/>
          </w:rPr>
          <w:t>http://www.nccc.org.my/v2/index.php/mengenai-nccc/fungsi-nccc</w:t>
        </w:r>
      </w:hyperlink>
      <w:r w:rsidRPr="00350F12">
        <w:rPr>
          <w:noProof/>
          <w:szCs w:val="22"/>
        </w:rPr>
        <w:t>, diakses pada tanggal 27 Maret 2020</w:t>
      </w:r>
    </w:p>
    <w:p w14:paraId="33025DBE" w14:textId="3AC9B2FD" w:rsidR="00350F12" w:rsidRPr="00350F12" w:rsidRDefault="00350F12" w:rsidP="00350F12">
      <w:pPr>
        <w:pStyle w:val="FootnoteText"/>
        <w:ind w:left="851" w:hanging="851"/>
        <w:rPr>
          <w:noProof/>
          <w:szCs w:val="22"/>
        </w:rPr>
      </w:pPr>
      <w:r w:rsidRPr="00350F12">
        <w:rPr>
          <w:noProof/>
          <w:szCs w:val="22"/>
        </w:rPr>
        <w:t xml:space="preserve">Rijkschroeff, </w:t>
      </w:r>
      <w:r w:rsidRPr="00350F12">
        <w:rPr>
          <w:noProof/>
          <w:szCs w:val="22"/>
        </w:rPr>
        <w:fldChar w:fldCharType="begin" w:fldLock="1"/>
      </w:r>
      <w:r w:rsidRPr="00350F12">
        <w:rPr>
          <w:noProof/>
          <w:szCs w:val="22"/>
        </w:rPr>
        <w:instrText>ADDIN CSL_CITATION {"citationItems":[{"id":"ITEM-1","itemData":{"author":[{"dropping-particle":"","family":"Rijkschroeff","given":"B.R.","non-dropping-particle":"","parse-names":false,"suffix":""}],"id":"ITEM-1","issued":{"date-parts":[["2001"]]},"publisher":"Mandar Maju","publisher-place":"Bandung","title":"Sosiologi, Hukum dan Sosilogi Hukum","type":"book"},"uris":["http://www.mendeley.com/documents/?uuid=f063a364-56fb-44fb-9186-027f556b04e6"]}],"mendeley":{"formattedCitation":"B.R. Rijkschroeff, &lt;i&gt;Sosiologi, Hukum Dan Sosilogi Hukum&lt;/i&gt; (Bandung: Mandar Maju, 2001).","manualFormatting":"B.R. Rijkschroeff, Sosiologi, Hukum Dan Sosilogi Hukum (Bandung: Mandar Maju, 2001), hlm.","plainTextFormattedCitation":"B.R. Rijkschroeff, Sosiologi, Hukum Dan Sosilogi Hukum (Bandung: Mandar Maju, 2001).","previouslyFormattedCitation":"B.R. Rijkschroeff, &lt;i&gt;Sosiologi, Hukum Dan Sosilogi Hukum&lt;/i&gt; (Bandung: Mandar Maju, 2001)."},"properties":{"noteIndex":13},"schema":"https://github.com/citation-style-language/schema/raw/master/csl-citation.json"}</w:instrText>
      </w:r>
      <w:r w:rsidRPr="00350F12">
        <w:rPr>
          <w:noProof/>
          <w:szCs w:val="22"/>
        </w:rPr>
        <w:fldChar w:fldCharType="separate"/>
      </w:r>
      <w:r w:rsidRPr="00350F12">
        <w:rPr>
          <w:noProof/>
          <w:szCs w:val="22"/>
        </w:rPr>
        <w:t>B.R., Sosiologi, Hukum Dan Sosilogi Hukum (Bandung: Mandar Maju, 2001).</w:t>
      </w:r>
      <w:r w:rsidRPr="00350F12">
        <w:rPr>
          <w:noProof/>
          <w:szCs w:val="22"/>
        </w:rPr>
        <w:fldChar w:fldCharType="end"/>
      </w:r>
    </w:p>
    <w:p w14:paraId="7CD31DE2" w14:textId="77777777" w:rsidR="00350F12" w:rsidRPr="00350F12" w:rsidRDefault="00350F12" w:rsidP="00350F12">
      <w:pPr>
        <w:pStyle w:val="FootnoteText"/>
        <w:ind w:left="851" w:hanging="851"/>
        <w:rPr>
          <w:noProof/>
          <w:szCs w:val="22"/>
        </w:rPr>
      </w:pPr>
      <w:r w:rsidRPr="00350F12">
        <w:rPr>
          <w:noProof/>
          <w:szCs w:val="22"/>
        </w:rPr>
        <w:t>Risalah Rapat Proses Pembahasan Rancangan Undang-Undang tentang Perlindungan Konsumen Tahun Sidang 1998/1999 Masa Persidangan III Pada Hari Jum’at Tanggal 26 Febrauri Tahun 1999.</w:t>
      </w:r>
    </w:p>
    <w:p w14:paraId="4A2E5B77" w14:textId="77777777" w:rsidR="00350F12" w:rsidRPr="00350F12" w:rsidRDefault="00350F12" w:rsidP="00350F12">
      <w:pPr>
        <w:pStyle w:val="FootnoteText"/>
        <w:ind w:left="851" w:hanging="851"/>
        <w:rPr>
          <w:noProof/>
          <w:szCs w:val="22"/>
        </w:rPr>
      </w:pPr>
      <w:r w:rsidRPr="00350F12">
        <w:rPr>
          <w:noProof/>
          <w:szCs w:val="22"/>
        </w:rPr>
        <w:t xml:space="preserve">Saputra, </w:t>
      </w:r>
      <w:r w:rsidRPr="00350F12">
        <w:rPr>
          <w:noProof/>
          <w:szCs w:val="22"/>
        </w:rPr>
        <w:fldChar w:fldCharType="begin" w:fldLock="1"/>
      </w:r>
      <w:r w:rsidRPr="00350F12">
        <w:rPr>
          <w:noProof/>
          <w:szCs w:val="22"/>
        </w:rPr>
        <w:instrText>ADDIN CSL_CITATION {"citationItems":[{"id":"ITEM-1","itemData":{"URL":"https://news.detik.com/berita/d-3669668/tok-127-keputusan-sengketa-konsumen-dianulir-ma","accessed":{"date-parts":[["2021","11","5"]]},"author":[{"dropping-particle":"","family":"Saputra","given":"Andi","non-dropping-particle":"","parse-names":false,"suffix":""}],"container-title":"Detiknews","id":"ITEM-1","issued":{"date-parts":[["2017"]]},"title":"Tok! 127 Keputusan Sengketa Konsumen Dianulir MA","type":"webpage"},"uris":["http://www.mendeley.com/documents/?uuid=012b8d51-7219-48e1-933e-63493578193d"]}],"mendeley":{"formattedCitation":"Andi Saputra, “Tok! 127 Keputusan Sengketa Konsumen Dianulir MA,” &lt;i&gt;Detiknews&lt;/i&gt;, last modified 2017, accessed November 5, 2021, https://news.detik.com/berita/d-3669668/tok-127-keputusan-sengketa-konsumen-dianulir-ma.","plainTextFormattedCitation":"Andi Saputra, “Tok! 127 Keputusan Sengketa Konsumen Dianulir MA,” Detiknews, last modified 2017, accessed November 5, 2021, https://news.detik.com/berita/d-3669668/tok-127-keputusan-sengketa-konsumen-dianulir-ma.","previouslyFormattedCitation":"Andi Saputra, “Tok! 127 Keputusan Sengketa Konsumen Dianulir MA,” Detiknews, 2017, https://news.detik.com/berita/d-3669668/tok-127-keputusan-sengketa-konsumen-dianulir-ma."},"properties":{"noteIndex":17},"schema":"https://github.com/citation-style-language/schema/raw/master/csl-citation.json"}</w:instrText>
      </w:r>
      <w:r w:rsidRPr="00350F12">
        <w:rPr>
          <w:noProof/>
          <w:szCs w:val="22"/>
        </w:rPr>
        <w:fldChar w:fldCharType="separate"/>
      </w:r>
      <w:r w:rsidRPr="00350F12">
        <w:rPr>
          <w:noProof/>
          <w:szCs w:val="22"/>
        </w:rPr>
        <w:t>Andi, “Tok! 127 Keputusan Sengketa Konsumen Dianulir MA,” Detiknews, last modified 2017, accessed November 5, 2021, https://news.detik.com/berita/d-3669668/tok-127-keputusan-sengketa-konsumen-dianulir-ma.</w:t>
      </w:r>
      <w:r w:rsidRPr="00350F12">
        <w:rPr>
          <w:noProof/>
          <w:szCs w:val="22"/>
        </w:rPr>
        <w:fldChar w:fldCharType="end"/>
      </w:r>
      <w:r w:rsidRPr="00350F12">
        <w:rPr>
          <w:noProof/>
          <w:szCs w:val="22"/>
        </w:rPr>
        <w:t xml:space="preserve"> diakses pada Tanggal 5 November 2021</w:t>
      </w:r>
    </w:p>
    <w:p w14:paraId="6F77C183" w14:textId="77777777" w:rsidR="00350F12" w:rsidRPr="00350F12" w:rsidRDefault="00350F12" w:rsidP="00350F12">
      <w:pPr>
        <w:pStyle w:val="FootnoteText"/>
        <w:ind w:left="851" w:hanging="851"/>
        <w:rPr>
          <w:noProof/>
          <w:szCs w:val="22"/>
        </w:rPr>
      </w:pPr>
      <w:r w:rsidRPr="00350F12">
        <w:rPr>
          <w:noProof/>
          <w:szCs w:val="22"/>
        </w:rPr>
        <w:lastRenderedPageBreak/>
        <w:t>Setyowati, Rofah, Ong Tze Chin &amp; Sakina Shaik Ahmad Yusoff, ‘Perlindungan Pengguna di Malaysia,’ dalam Sakina Shaik Ahmad Yusoff, Rahmah Ismail &amp; Shamsuddin Suhor, Pengguna dan Undang-Undang (Malaysia: Penerbit Universiti Kebangsaan Malaysia, 2015), hal 32.</w:t>
      </w:r>
      <w:r w:rsidRPr="00350F12">
        <w:rPr>
          <w:noProof/>
          <w:szCs w:val="22"/>
        </w:rPr>
        <w:fldChar w:fldCharType="begin" w:fldLock="1"/>
      </w:r>
      <w:r w:rsidRPr="00350F12">
        <w:rPr>
          <w:noProof/>
          <w:szCs w:val="22"/>
        </w:rPr>
        <w:instrText>ADDIN CSL_CITATION {"citationItems":[{"id":"ITEM-1","itemData":{"author":[{"dropping-particle":"","family":"Shidarta","given":"","non-dropping-particle":"","parse-names":false,"suffix":""}],"edition":"Edisi Revi","id":"ITEM-1","issued":{"date-parts":[["2006"]]},"publisher":"Grasindo","publisher-place":"Jakarta","title":"Hukum Perlindungan Konsumen Indonesia","type":"book"},"uris":["http://www.mendeley.com/documents/?uuid=4d95e4f6-5612-4300-9cc5-cf1303f0f35f"]}],"mendeley":{"formattedCitation":"Shidarta, &lt;i&gt;Hukum Perlindungan Konsumen Indonesia&lt;/i&gt;, Edisi Revi. (Jakarta: Grasindo, 2006).","manualFormatting":"Shidarta, Hukum Perlindungan Konsumen Indonesia, Edisi Revisi. (Jakarta: Grasindo, 2006), hlm.","plainTextFormattedCitation":"Shidarta, Hukum Perlindungan Konsumen Indonesia, Edisi Revi. (Jakarta: Grasindo, 2006).","previouslyFormattedCitation":"Shidarta, &lt;i&gt;Hukum Perlindungan Konsumen Indonesia&lt;/i&gt;, Edisi Revi. (Jakarta: Grasindo, 2006)."},"properties":{"noteIndex":110},"schema":"https://github.com/citation-style-language/schema/raw/master/csl-citation.json"}</w:instrText>
      </w:r>
      <w:r w:rsidRPr="00350F12">
        <w:rPr>
          <w:noProof/>
          <w:szCs w:val="22"/>
        </w:rPr>
        <w:fldChar w:fldCharType="separate"/>
      </w:r>
      <w:r w:rsidRPr="00350F12">
        <w:rPr>
          <w:noProof/>
          <w:szCs w:val="22"/>
        </w:rPr>
        <w:t>Shidarta, Hukum Perlindungan Konsumen Indonesia, Edisi Revisi. (Jakarta: Grasindo, 2006), hlm.</w:t>
      </w:r>
      <w:r w:rsidRPr="00350F12">
        <w:rPr>
          <w:noProof/>
          <w:szCs w:val="22"/>
        </w:rPr>
        <w:fldChar w:fldCharType="end"/>
      </w:r>
      <w:r w:rsidRPr="00350F12">
        <w:rPr>
          <w:noProof/>
          <w:szCs w:val="22"/>
        </w:rPr>
        <w:t xml:space="preserve"> 50</w:t>
      </w:r>
    </w:p>
    <w:p w14:paraId="6047C443" w14:textId="77777777" w:rsidR="00350F12" w:rsidRPr="00350F12" w:rsidRDefault="00350F12" w:rsidP="00350F12">
      <w:pPr>
        <w:pStyle w:val="FootnoteText"/>
        <w:ind w:left="851" w:hanging="851"/>
        <w:rPr>
          <w:noProof/>
          <w:szCs w:val="22"/>
        </w:rPr>
      </w:pPr>
      <w:r w:rsidRPr="00350F12">
        <w:rPr>
          <w:noProof/>
          <w:szCs w:val="22"/>
        </w:rPr>
        <w:t xml:space="preserve">Sofian, </w:t>
      </w:r>
      <w:r w:rsidRPr="00350F12">
        <w:rPr>
          <w:noProof/>
          <w:szCs w:val="22"/>
        </w:rPr>
        <w:fldChar w:fldCharType="begin" w:fldLock="1"/>
      </w:r>
      <w:r w:rsidRPr="00350F12">
        <w:rPr>
          <w:noProof/>
          <w:szCs w:val="22"/>
        </w:rPr>
        <w:instrText>ADDIN CSL_CITATION {"citationItems":[{"id":"ITEM-1","itemData":{"edition":"Cetakan ke","editor":[{"dropping-particle":"","family":"Shidarta, Abdul Rasyid","given":"Ahmad Sofian","non-dropping-particle":"","parse-names":false,"suffix":""}],"id":"ITEM-1","issued":{"date-parts":[["2019"]]},"publisher":"Kencana","publisher-place":"Jakarta","title":"Aspek Hukum Ekonomi dan Bisnis","type":"book"},"uris":["http://www.mendeley.com/documents/?uuid=924a6e07-cbe1-4ea8-9c7a-5d86276f5000"]}],"mendeley":{"formattedCitation":"Ahmad Sofian Shidarta, Abdul Rasyid, ed., &lt;i&gt;Aspek Hukum Ekonomi Dan Bisnis&lt;/i&gt;, Cetakan ke. (Jakarta: Kencana, 2019).","manualFormatting":"Ahmad Sofian, Shidarta, Abdul Rasyid, ed., Aspek Hukum Ekonomi Dan Bisnis, Cetakan ke 2 (Jakarta: Kencana, 2019), hlm.","plainTextFormattedCitation":"Ahmad Sofian Shidarta, Abdul Rasyid, ed., Aspek Hukum Ekonomi Dan Bisnis, Cetakan ke. (Jakarta: Kencana, 2019).","previouslyFormattedCitation":"Ahmad Sofian Shidarta, Abdul Rasyid, ed., &lt;i&gt;Aspek Hukum Ekonomi Dan Bisnis&lt;/i&gt;, Cetakan ke (Jakarta: Kencana, 2019)."},"properties":{"noteIndex":15},"schema":"https://github.com/citation-style-language/schema/raw/master/csl-citation.json"}</w:instrText>
      </w:r>
      <w:r w:rsidRPr="00350F12">
        <w:rPr>
          <w:noProof/>
          <w:szCs w:val="22"/>
        </w:rPr>
        <w:fldChar w:fldCharType="separate"/>
      </w:r>
      <w:r w:rsidRPr="00350F12">
        <w:rPr>
          <w:noProof/>
          <w:szCs w:val="22"/>
        </w:rPr>
        <w:t>Ahmad, Shidarta, Abdul Rasyid, ed., Aspek Hukum Ekonomi Dan Bisnis, Cetakan ke 2 (Jakarta: Kencana, 2019), hlm.</w:t>
      </w:r>
      <w:r w:rsidRPr="00350F12">
        <w:rPr>
          <w:noProof/>
          <w:szCs w:val="22"/>
        </w:rPr>
        <w:fldChar w:fldCharType="end"/>
      </w:r>
      <w:r w:rsidRPr="00350F12">
        <w:rPr>
          <w:noProof/>
          <w:szCs w:val="22"/>
        </w:rPr>
        <w:t xml:space="preserve"> 190. </w:t>
      </w:r>
      <w:r w:rsidRPr="00350F12">
        <w:rPr>
          <w:noProof/>
          <w:szCs w:val="22"/>
        </w:rPr>
        <w:fldChar w:fldCharType="begin" w:fldLock="1"/>
      </w:r>
      <w:r w:rsidRPr="00350F12">
        <w:rPr>
          <w:noProof/>
          <w:szCs w:val="22"/>
        </w:rPr>
        <w:instrText>ADDIN CSL_CITATION {"citationItems":[{"id":"ITEM-1","itemData":{"author":[{"dropping-particle":"","family":"Konsumen","given":"Undang-Undang No. 8 Tahun 1999 tentang Perlindungan","non-dropping-particle":"","parse-names":false,"suffix":""}],"id":"ITEM-1","issued":{"date-parts":[["0"]]},"title":"No Title","type":"legislation"},"uris":["http://www.mendeley.com/documents/?uuid=a750f25a-8b75-452a-b462-c9485f4ffd07"]}],"mendeley":{"formattedCitation":"Konsumen, &lt;i&gt;No Title&lt;/i&gt;.","plainTextFormattedCitation":"Konsumen, No Title.","previouslyFormattedCitation":"Konsumen, No Title."},"properties":{"noteIndex":15},"schema":"https://github.com/citation-style-language/schema/raw/master/csl-citation.json"}</w:instrText>
      </w:r>
      <w:r w:rsidRPr="00350F12">
        <w:rPr>
          <w:noProof/>
          <w:szCs w:val="22"/>
        </w:rPr>
        <w:fldChar w:fldCharType="separate"/>
      </w:r>
      <w:r w:rsidRPr="00350F12">
        <w:rPr>
          <w:noProof/>
          <w:szCs w:val="22"/>
        </w:rPr>
        <w:t>Konsumen, No Title.</w:t>
      </w:r>
      <w:r w:rsidRPr="00350F12">
        <w:rPr>
          <w:noProof/>
          <w:szCs w:val="22"/>
        </w:rPr>
        <w:fldChar w:fldCharType="end"/>
      </w:r>
    </w:p>
    <w:p w14:paraId="3C4119FA" w14:textId="327C3E7F" w:rsidR="00350F12" w:rsidRPr="00350F12" w:rsidRDefault="00350F12" w:rsidP="00350F12">
      <w:pPr>
        <w:pStyle w:val="FootnoteText"/>
        <w:ind w:left="851" w:hanging="851"/>
        <w:rPr>
          <w:noProof/>
          <w:szCs w:val="22"/>
        </w:rPr>
      </w:pPr>
      <w:r w:rsidRPr="00350F12">
        <w:rPr>
          <w:noProof/>
          <w:szCs w:val="22"/>
        </w:rPr>
        <w:t xml:space="preserve">Syamsudin, </w:t>
      </w:r>
      <w:r w:rsidRPr="00350F12">
        <w:rPr>
          <w:noProof/>
          <w:szCs w:val="22"/>
        </w:rPr>
        <w:fldChar w:fldCharType="begin" w:fldLock="1"/>
      </w:r>
      <w:r w:rsidRPr="00350F12">
        <w:rPr>
          <w:noProof/>
          <w:szCs w:val="22"/>
        </w:rPr>
        <w:instrText>ADDIN CSL_CITATION {"citationItems":[{"id":"ITEM-1","itemData":{"DOI":"10.1007/s10603-020-09470-0","ISSN":"15730700","abstract":"Indonesia needs strong measures to protect its consumers, which leads to the creation of the Consumer Dispute Settlement Agency (BPSK) as an arbiter to settle disputes between consumers and businesses efficiently. The Indonesian Supreme Court (MARI) has set aside an alarming number of BPSK arbitral awards, putting the entire system in jeopardy. The aims of this study are to examine the empirical data on MARI’s decisions in setting aside arbitral awards and analyse their decision-making process. This research shows how MARI has been interpreting the statue promulgating the BPSK very narrowly. The result of MARI’s interpretation of the law has deep implications for consumer protection in Indonesia, namely that the public trust in the enforcement of Consumer Protection Law by BPSK has been severely diminishing, leaving consumers without meaningful access to justice or protection of their rights.","author":[{"dropping-particle":"","family":"Syamsudin","given":"M.","non-dropping-particle":"","parse-names":false,"suffix":""}],"container-title":"Journal of Consumer Policy","id":"ITEM-1","issue":"1","issued":{"date-parts":[["2021"]]},"page":"117-130","publisher":"Journal of Consumer Policy","title":"The Failure of the Court to Protect Consumers: A Review of Consumer Dispute Resolution in Indonesia","type":"article-journal","volume":"44"},"uris":["http://www.mendeley.com/documents/?uuid=f429fceb-7c57-4801-9a6a-46998988138d"]}],"mendeley":{"formattedCitation":"M. Syamsudin, “The Failure of the Court to Protect Consumers: A Review of Consumer Dispute Resolution in Indonesia,” &lt;i&gt;Journal of Consumer Policy&lt;/i&gt; 44, no. 1 (2021): 117–130.","manualFormatting":"M. Syamsudin, “The Failure of the Court to Protect Consumers: A Review of Consumer Dispute Resolution in Indonesia,” Journal of Consumer Policy 44, no. 1 (2021), https://doi.org/10.1007/s10603-020-09470-0, hlm.","plainTextFormattedCitation":"M. Syamsudin, “The Failure of the Court to Protect Consumers: A Review of Consumer Dispute Resolution in Indonesia,” Journal of Consumer Policy 44, no. 1 (2021): 117–130.","previouslyFormattedCitation":"M. Syamsudin, “The Failure of the Court to Protect Consumers: A Review of Consumer Dispute Resolution in Indonesia,” &lt;i&gt;Journal of Consumer Policy&lt;/i&gt; 44, no. 1 (2021): 117–30, https://doi.org/10.1007/s10603-020-09470-0."},"properties":{"noteIndex":19},"schema":"https://github.com/citation-style-language/schema/raw/master/csl-citation.json"}</w:instrText>
      </w:r>
      <w:r w:rsidRPr="00350F12">
        <w:rPr>
          <w:noProof/>
          <w:szCs w:val="22"/>
        </w:rPr>
        <w:fldChar w:fldCharType="separate"/>
      </w:r>
      <w:r w:rsidRPr="00350F12">
        <w:rPr>
          <w:noProof/>
          <w:szCs w:val="22"/>
        </w:rPr>
        <w:t>M., “The Failure of the Court to Protect Consumers: A Review of Consumer Dispute Resolution in Indonesia,” Journal of Consumer Policy 44, no. 1 (2021), https://doi.org/10.1007/s10603-020-09470-0.</w:t>
      </w:r>
      <w:r w:rsidRPr="00350F12">
        <w:rPr>
          <w:noProof/>
          <w:szCs w:val="22"/>
        </w:rPr>
        <w:fldChar w:fldCharType="end"/>
      </w:r>
    </w:p>
    <w:p w14:paraId="288E6B48" w14:textId="12443FD6" w:rsidR="00350F12" w:rsidRPr="00350F12" w:rsidRDefault="00350F12" w:rsidP="00350F12">
      <w:pPr>
        <w:pStyle w:val="FootnoteText"/>
        <w:ind w:left="851" w:hanging="851"/>
        <w:rPr>
          <w:noProof/>
          <w:szCs w:val="22"/>
        </w:rPr>
      </w:pPr>
      <w:r w:rsidRPr="00350F12">
        <w:rPr>
          <w:noProof/>
          <w:szCs w:val="22"/>
        </w:rPr>
        <w:fldChar w:fldCharType="begin" w:fldLock="1"/>
      </w:r>
      <w:r w:rsidRPr="00350F12">
        <w:rPr>
          <w:noProof/>
          <w:szCs w:val="22"/>
        </w:rPr>
        <w:instrText>ADDIN CSL_CITATION {"citationItems":[{"id":"ITEM-1","itemData":{"author":[{"dropping-particle":"","family":"The ASEAN Secretariat","given":"","non-dropping-particle":"","parse-names":false,"suffix":""}],"id":"ITEM-1","issued":{"date-parts":[["2020"]]},"publisher-place":"Jakarta","title":"Pilot Project ASEAN Consumer Empowerment Index 2020","type":"report"},"uris":["http://www.mendeley.com/documents/?uuid=9f592675-b389-4c71-a373-675dcb7445c0"]}],"mendeley":{"formattedCitation":"The ASEAN Secretariat, &lt;i&gt;Pilot Project ASEAN Consumer Empowerment Index 2020&lt;/i&gt; (Jakarta, 2020).","manualFormatting":"The ASEAN Secretariat, “Pilot Project ASEAN Consumer Empowerment Index 2020” (Jakarta, 2020), hlm 28.","plainTextFormattedCitation":"The ASEAN Secretariat, Pilot Project ASEAN Consumer Empowerment Index 2020 (Jakarta, 2020).","previouslyFormattedCitation":"The ASEAN Secretariat, “Pilot Project ASEAN Consumer Empowerment Index 2020” (Jakarta, 2020)."},"properties":{"noteIndex":21},"schema":"https://github.com/citation-style-language/schema/raw/master/csl-citation.json"}</w:instrText>
      </w:r>
      <w:r w:rsidRPr="00350F12">
        <w:rPr>
          <w:noProof/>
          <w:szCs w:val="22"/>
        </w:rPr>
        <w:fldChar w:fldCharType="separate"/>
      </w:r>
      <w:r w:rsidRPr="00350F12">
        <w:rPr>
          <w:noProof/>
          <w:szCs w:val="22"/>
        </w:rPr>
        <w:t>The ASEAN Secretariat, “Pilot Project ASEAN Consumer Empowerment Index 2020” (Jakarta, 2020).</w:t>
      </w:r>
      <w:r w:rsidRPr="00350F12">
        <w:rPr>
          <w:noProof/>
          <w:szCs w:val="22"/>
        </w:rPr>
        <w:fldChar w:fldCharType="end"/>
      </w:r>
    </w:p>
    <w:p w14:paraId="7AB66C5D" w14:textId="77777777" w:rsidR="00350F12" w:rsidRPr="00350F12" w:rsidRDefault="00350F12" w:rsidP="00350F12">
      <w:pPr>
        <w:pStyle w:val="FootnoteText"/>
        <w:ind w:left="851" w:hanging="851"/>
        <w:rPr>
          <w:szCs w:val="22"/>
        </w:rPr>
      </w:pPr>
      <w:r w:rsidRPr="00350F12">
        <w:rPr>
          <w:noProof/>
          <w:szCs w:val="22"/>
        </w:rPr>
        <w:fldChar w:fldCharType="begin" w:fldLock="1"/>
      </w:r>
      <w:r w:rsidRPr="00350F12">
        <w:rPr>
          <w:noProof/>
          <w:szCs w:val="22"/>
        </w:rPr>
        <w:instrText>ADDIN CSL_CITATION {"citationItems":[{"id":"ITEM-1","itemData":{"URL":"https://ylki.or.id/2020/01/pengaduan-konsumen-dan-kinerja-ojk/","accessed":{"date-parts":[["2021","11","5"]]},"author":[{"dropping-particle":"","family":"Yayasan Lembaga Konsumen Indonesia","given":"","non-dropping-particle":"","parse-names":false,"suffix":""}],"id":"ITEM-1","issued":{"date-parts":[["2019"]]},"title":"Pada 2019, YLKI telah menerima 1.871 aduan, terdiri atas 563 kasus kategori individual dan 1.308 kasus kategori kelompok/kolektif","type":"webpage"},"uris":["http://www.mendeley.com/documents/?uuid=9c229457-b541-43d2-9494-b6f0e7dab3bb"]}],"mendeley":{"formattedCitation":"Yayasan Lembaga Konsumen Indonesia, “Pada 2019, YLKI Telah Menerima 1.871 Aduan, Terdiri Atas 563 Kasus Kategori Individual Dan 1.308 Kasus Kategori Kelompok/Kolektif,” last modified 2019, accessed November 5, 2021, https://ylki.or.id/2020/01/pengaduan-konsumen-dan-kinerja-ojk/.","plainTextFormattedCitation":"Yayasan Lembaga Konsumen Indonesia, “Pada 2019, YLKI Telah Menerima 1.871 Aduan, Terdiri Atas 563 Kasus Kategori Individual Dan 1.308 Kasus Kategori Kelompok/Kolektif,” last modified 2019, accessed November 5, 2021, https://ylki.or.id/2020/01/pengaduan-konsumen-dan-kinerja-ojk/.","previouslyFormattedCitation":"Yayasan Lembaga Konsumen Indonesia, “Pada 2019, YLKI Telah Menerima 1.871 Aduan, Terdiri Atas 563 Kasus Kategori Individual Dan 1.308 Kasus Kategori Kelompok/Kolektif,” 2019, https://ylki.or.id/2020/01/pengaduan-konsumen-dan-kinerja-ojk/."},"properties":{"noteIndex":9},"schema":"https://github.com/citation-style-language/schema/raw/master/csl-citation.json"}</w:instrText>
      </w:r>
      <w:r w:rsidRPr="00350F12">
        <w:rPr>
          <w:noProof/>
          <w:szCs w:val="22"/>
        </w:rPr>
        <w:fldChar w:fldCharType="separate"/>
      </w:r>
      <w:r w:rsidRPr="00350F12">
        <w:rPr>
          <w:noProof/>
          <w:szCs w:val="22"/>
        </w:rPr>
        <w:t>Yayasan Lembaga Konsumen Indonesia, “Pada 2019, YLKI Telah Menerima 1.871 Aduan, Terdiri Atas 563 Kasus Kategori Individual Dan 1.308 Kasus Kategori Kelompok/Kolektif,” last modified 2019, accessed November 5, 2021, https://ylki.or.id/2020/01/pengaduan-konsumen-dan-kinerja-ojk/.</w:t>
      </w:r>
      <w:r w:rsidRPr="00350F12">
        <w:rPr>
          <w:szCs w:val="22"/>
        </w:rPr>
        <w:fldChar w:fldCharType="end"/>
      </w:r>
      <w:r w:rsidRPr="00350F12">
        <w:rPr>
          <w:szCs w:val="22"/>
        </w:rPr>
        <w:t xml:space="preserve"> Diakses pada Tanggal 5 November 2021</w:t>
      </w:r>
    </w:p>
    <w:p w14:paraId="4ADEF8DA" w14:textId="656D3A6E" w:rsidR="00803550" w:rsidRPr="00BB1C8F" w:rsidRDefault="00803550" w:rsidP="00803550">
      <w:pPr>
        <w:pStyle w:val="FootnoteText"/>
        <w:ind w:left="851" w:hanging="851"/>
        <w:rPr>
          <w:szCs w:val="22"/>
        </w:rPr>
      </w:pPr>
    </w:p>
    <w:p w14:paraId="66FDA8A5" w14:textId="77777777" w:rsidR="00803550" w:rsidRPr="00BB1C8F" w:rsidRDefault="00803550" w:rsidP="00803550">
      <w:pPr>
        <w:pStyle w:val="FootnoteText"/>
        <w:ind w:left="851" w:hanging="851"/>
        <w:rPr>
          <w:rFonts w:asciiTheme="majorBidi" w:hAnsiTheme="majorBidi" w:cstheme="majorBidi"/>
          <w:noProof/>
          <w:sz w:val="24"/>
          <w:szCs w:val="24"/>
        </w:rPr>
      </w:pPr>
    </w:p>
    <w:p w14:paraId="2C3BBFE6" w14:textId="77777777" w:rsidR="00803550" w:rsidRPr="00BB1C8F" w:rsidRDefault="00803550" w:rsidP="00803550">
      <w:pPr>
        <w:pStyle w:val="FootnoteText"/>
        <w:ind w:left="851" w:hanging="851"/>
        <w:rPr>
          <w:rFonts w:asciiTheme="majorBidi" w:hAnsiTheme="majorBidi" w:cstheme="majorBidi"/>
          <w:noProof/>
          <w:sz w:val="24"/>
          <w:szCs w:val="24"/>
        </w:rPr>
      </w:pPr>
    </w:p>
    <w:p w14:paraId="0B3D9AFF" w14:textId="77777777" w:rsidR="00803550" w:rsidRPr="00BB1C8F" w:rsidRDefault="00803550" w:rsidP="00803550">
      <w:pPr>
        <w:pStyle w:val="FootnoteText"/>
        <w:ind w:left="851" w:hanging="851"/>
        <w:rPr>
          <w:rFonts w:asciiTheme="majorBidi" w:hAnsiTheme="majorBidi" w:cstheme="majorBidi"/>
          <w:noProof/>
          <w:sz w:val="24"/>
          <w:szCs w:val="24"/>
        </w:rPr>
      </w:pPr>
    </w:p>
    <w:p w14:paraId="6716CC9A" w14:textId="77777777" w:rsidR="00803550" w:rsidRPr="00BB1C8F" w:rsidRDefault="00803550">
      <w:pPr>
        <w:pStyle w:val="AbstractContent"/>
        <w:spacing w:after="0" w:line="276" w:lineRule="auto"/>
      </w:pPr>
    </w:p>
    <w:sectPr w:rsidR="00803550" w:rsidRPr="00BB1C8F" w:rsidSect="0053193C">
      <w:footnotePr>
        <w:numRestart w:val="eachSect"/>
      </w:footnotePr>
      <w:type w:val="continuous"/>
      <w:pgSz w:w="11906" w:h="16838"/>
      <w:pgMar w:top="1985" w:right="1418" w:bottom="1418" w:left="1418"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CF1C4" w14:textId="77777777" w:rsidR="00FE382B" w:rsidRDefault="00FE382B">
      <w:pPr>
        <w:spacing w:after="0"/>
      </w:pPr>
      <w:r>
        <w:separator/>
      </w:r>
    </w:p>
  </w:endnote>
  <w:endnote w:type="continuationSeparator" w:id="0">
    <w:p w14:paraId="7A87E840" w14:textId="77777777" w:rsidR="00FE382B" w:rsidRDefault="00FE38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ngal">
    <w:altName w:val="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29B76" w14:textId="77777777" w:rsidR="00FE382B" w:rsidRDefault="00FE382B">
      <w:pPr>
        <w:rPr>
          <w:sz w:val="12"/>
        </w:rPr>
      </w:pPr>
      <w:r>
        <w:separator/>
      </w:r>
    </w:p>
  </w:footnote>
  <w:footnote w:type="continuationSeparator" w:id="0">
    <w:p w14:paraId="0621791F" w14:textId="77777777" w:rsidR="00FE382B" w:rsidRDefault="00FE382B">
      <w:pPr>
        <w:rPr>
          <w:sz w:val="12"/>
        </w:rPr>
      </w:pPr>
      <w:r>
        <w:continuationSeparator/>
      </w:r>
    </w:p>
  </w:footnote>
  <w:footnote w:id="1">
    <w:p w14:paraId="556FE434"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{"citationItems":[{"id":"ITEM-1","itemData":{"author":[{"dropping-particle":"","family":"Philipus M Hadjon","given":"","non-dropping-particle":"","parse-names":false,"suffix":""}],"container-title":"Simposium Politik, Hak Asasi Manusia dan Pembangunan Hukum","id":"ITEM-1","issued":{"date-parts":[["1994"]]},"publisher":"Lustrum VIII, Universitas Airlangga","publisher-place":"Surabaya","title":"Perlindungan Hukum dalam Negara Hukum Pancasila","type":"paper-conference"},"uris":["http://www.mendeley.com/documents/?uuid=accf5bae-d357-4020-9d4d-9e5803a9565b"]}],"mendeley":{"formattedCitation":"Philipus M Hadjon, “Perlindungan Hukum Dalam Negara Hukum Pancasila,” in &lt;i&gt;Simposium Politik, Hak Asasi Manusia Dan Pembangunan Hukum&lt;/i&gt; (Surabaya: Lustrum VIII, Universitas Airlangga, 1994).","manualFormatting":"Philipus M Hadjon, “Perlindungan Hukum Dalam Negara Hukum Pancasila,” in Simposium Politik, Hak Asasi Manusia Dan Pembangunan Hukum (Surabaya: Lustrum VIII, Universitas Airlangga, 1994), hlm.","plainTextFormattedCitation":"Philipus M Hadjon, “Perlindungan Hukum Dalam Negara Hukum Pancasila,” in Simposium Politik, Hak Asasi Manusia Dan Pembangunan Hukum (Surabaya: Lustrum VIII, Universitas Airlangga, 1994).","previouslyFormattedCitation":"Philipus M Hadjon, “Perlindungan Hukum Dalam Negara Hukum Pancasila,” in &lt;i&gt;Simposium Politik, Hak Asasi Manusia Dan Pembangunan Hukum&lt;/i&gt; (Surabaya: Lustrum VIII, Universitas Airlangga, 1994)."},"properties":{"noteIndex":7},"schema":"https://github.com/citation-style-language/schema/raw/master/csl-citation.json"}</w:instrText>
      </w:r>
      <w:r w:rsidRPr="00803550">
        <w:rPr>
          <w:sz w:val="18"/>
          <w:szCs w:val="18"/>
        </w:rPr>
        <w:fldChar w:fldCharType="separate"/>
      </w:r>
      <w:r w:rsidRPr="00803550">
        <w:rPr>
          <w:noProof/>
          <w:sz w:val="18"/>
          <w:szCs w:val="18"/>
        </w:rPr>
        <w:t>Philipus M Hadjon, "Legal Protection in a Pancasila Law State," in Symposium on Politics, Human Rights and Legal Development (Surabaya: Lustrum VIII, Airlangga University, 1994), p.</w:t>
      </w:r>
      <w:r w:rsidRPr="00803550">
        <w:rPr>
          <w:sz w:val="18"/>
          <w:szCs w:val="18"/>
        </w:rPr>
        <w:fldChar w:fldCharType="end"/>
      </w:r>
      <w:r w:rsidRPr="00803550">
        <w:rPr>
          <w:sz w:val="18"/>
          <w:szCs w:val="18"/>
        </w:rPr>
        <w:t>1</w:t>
      </w:r>
    </w:p>
  </w:footnote>
  <w:footnote w:id="2">
    <w:p w14:paraId="4092883D"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{"citationItems":[{"id":"ITEM-1","itemData":{"URL":"https://bpkn.go.id/posts/show/id/1937","accessed":{"date-parts":[["2021","11","6"]]},"author":[{"dropping-particle":"","family":"Nasional","given":"Badan Perlindungan Konsumen","non-dropping-particle":"","parse-names":false,"suffix":""}],"id":"ITEM-1","issued":{"date-parts":[["2020"]]},"title":"BPKN TERIMA 3.555 ADUAN KONSUMEN, 70 PERSEN DARI SEKTOR BISNIS PERUMAHAN","type":"webpage"},"uris":["http://www.mendeley.com/documents/?uuid=6a15fe72-cb9e-452d-af75-f1ba1a83bbe9"]}],"mendeley":{"formattedCitation":"Badan Perlindungan Konsumen Nasional, “BPKN TERIMA 3.555 ADUAN KONSUMEN, 70 PERSEN DARI SEKTOR BISNIS PERUMAHAN,” last modified 2020, accessed November 6, 2021, https://bpkn.go.id/posts/show/id/1937.","plainTextFormattedCitation":"Badan Perlindungan Konsumen Nasional, “BPKN TERIMA 3.555 ADUAN KONSUMEN, 70 PERSEN DARI SEKTOR BISNIS PERUMAHAN,” last modified 2020, accessed November 6, 2021, https://bpkn.go.id/posts/show/id/1937.","previouslyFormattedCitation":"Badan Perlindungan Konsumen Nasional, “BPKN TERIMA 3.555 ADUAN KONSUMEN, 70 PERSEN DARI SEKTOR BISNIS PERUMAHAN,” 2020, https://bpkn.go.id/posts/show/id/1937."},"properties":{"noteIndex":8},"schema":"https://github.com/citation-style-language/schema/raw/master/csl-citation.json"}</w:instrText>
      </w:r>
      <w:r w:rsidRPr="00803550">
        <w:rPr>
          <w:sz w:val="18"/>
          <w:szCs w:val="18"/>
        </w:rPr>
        <w:fldChar w:fldCharType="separate"/>
      </w:r>
      <w:r w:rsidRPr="00803550">
        <w:rPr>
          <w:noProof/>
          <w:sz w:val="18"/>
          <w:szCs w:val="18"/>
        </w:rPr>
        <w:t>National Consumer Protection Agency, "BPKN ACCEPT 3,555 CONSUMER COMPLAINTS, 70 PERCENT FROM THE HOUSING BUSINESS SECTOR," last modified 2020, accessed November 6, 2021, https://bpkn.go.id/posts/show/id/1937.</w:t>
      </w:r>
      <w:r w:rsidRPr="00803550">
        <w:rPr>
          <w:sz w:val="18"/>
          <w:szCs w:val="18"/>
        </w:rPr>
        <w:fldChar w:fldCharType="end"/>
      </w:r>
      <w:r w:rsidRPr="00803550">
        <w:rPr>
          <w:sz w:val="18"/>
          <w:szCs w:val="18"/>
        </w:rPr>
        <w:t>Accessed November 5, 2021</w:t>
      </w:r>
    </w:p>
  </w:footnote>
  <w:footnote w:id="3">
    <w:p w14:paraId="508174D6"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{"citationItems":[{"id":"ITEM-1","itemData":{"URL":"https://ylki.or.id/2020/01/pengaduan-konsumen-dan-kinerja-ojk/","accessed":{"date-parts":[["2021","11","5"]]},"author":[{"dropping-particle":"","family":"Yayasan Lembaga Konsumen Indonesia","given":"","non-dropping-particle":"","parse-names":false,"suffix":""}],"id":"ITEM-1","issued":{"date-parts":[["2019"]]},"title":"Pada 2019, YLKI telah menerima 1.871 aduan, terdiri atas 563 kasus kategori individual dan 1.308 kasus kategori kelompok/kolektif","type":"webpage"},"uris":["http://www.mendeley.com/documents/?uuid=9c229457-b541-43d2-9494-b6f0e7dab3bb"]}],"mendeley":{"formattedCitation":"Yayasan Lembaga Konsumen Indonesia, “Pada 2019, YLKI Telah Menerima 1.871 Aduan, Terdiri Atas 563 Kasus Kategori Individual Dan 1.308 Kasus Kategori Kelompok/Kolektif,” last modified 2019, accessed November 5, 2021, https://ylki.or.id/2020/01/pengaduan-konsumen-dan-kinerja-ojk/.","plainTextFormattedCitation":"Yayasan Lembaga Konsumen Indonesia, “Pada 2019, YLKI Telah Menerima 1.871 Aduan, Terdiri Atas 563 Kasus Kategori Individual Dan 1.308 Kasus Kategori Kelompok/Kolektif,” last modified 2019, accessed November 5, 2021, https://ylki.or.id/2020/01/pengaduan-konsumen-dan-kinerja-ojk/.","previouslyFormattedCitation":"Yayasan Lembaga Konsumen Indonesia, “Pada 2019, YLKI Telah Menerima 1.871 Aduan, Terdiri Atas 563 Kasus Kategori Individual Dan 1.308 Kasus Kategori Kelompok/Kolektif,” 2019, https://ylki.or.id/2020/01/pengaduan-konsumen-dan-kinerja-ojk/."},"properties":{"noteIndex":9},"schema":"https://github.com/citation-style-language/schema/raw/master/csl-citation.json"}</w:instrText>
      </w:r>
      <w:r w:rsidRPr="00803550">
        <w:rPr>
          <w:sz w:val="18"/>
          <w:szCs w:val="18"/>
        </w:rPr>
        <w:fldChar w:fldCharType="separate"/>
      </w:r>
      <w:r w:rsidRPr="00803550">
        <w:rPr>
          <w:noProof/>
          <w:sz w:val="18"/>
          <w:szCs w:val="18"/>
        </w:rPr>
        <w:t>Indonesian Consumers Foundation, "In 2019, YLKI Received 1,871 Complaints, Consisting of 563 Cases in the Individual Category and 1,308 Cases in the Group/Collective Category," last modified 2019, accessed November 5, 2021, https://ylki.or.id/ 2020/01/consumer-complaints-and-ojk-performance/.</w:t>
      </w:r>
      <w:r w:rsidRPr="00803550">
        <w:rPr>
          <w:sz w:val="18"/>
          <w:szCs w:val="18"/>
        </w:rPr>
        <w:fldChar w:fldCharType="end"/>
      </w:r>
      <w:r w:rsidRPr="00803550">
        <w:rPr>
          <w:sz w:val="18"/>
          <w:szCs w:val="18"/>
        </w:rPr>
        <w:t>Accessed November 5, 2021</w:t>
      </w:r>
    </w:p>
  </w:footnote>
  <w:footnote w:id="4">
    <w:p w14:paraId="116C0612"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{"citationItems":[{"id":"ITEM-1","itemData":{"URL":"https://www.merdeka.com/uang/ylki-catat-3692-pengaduan-masyarakat-di-2020-terbanyak-soal-produk-jasa-keuangan.html","accessed":{"date-parts":[["2021","11","5"]]},"author":[{"dropping-particle":"","family":"Tulus Abadi","given":"","non-dropping-particle":"","parse-names":false,"suffix":""}],"container-title":"Merdeka.com","id":"ITEM-1","issued":{"date-parts":[["2021"]]},"title":"YLKI Catat 3.692 Pengaduan Masyarakat di 2020, Terbanyak Soal Produk Jasa Keuangan","type":"webpage"},"uris":["http://www.mendeley.com/documents/?uuid=2a91e2b2-27af-43e8-b275-6ccdcee4b6e0"]}],"mendeley":{"formattedCitation":"Tulus Abadi, “YLKI Catat 3.692 Pengaduan Masyarakat Di 2020, Terbanyak Soal Produk Jasa Keuangan,” &lt;i&gt;Merdeka.Com&lt;/i&gt;, last modified 2021, accessed November 5, 2021, https://www.merdeka.com/uang/ylki-catat-3692-pengaduan-masyarakat-di-2020-terbanyak-soal-produk-jasa-keuangan.html.","plainTextFormattedCitation":"Tulus Abadi, “YLKI Catat 3.692 Pengaduan Masyarakat Di 2020, Terbanyak Soal Produk Jasa Keuangan,” Merdeka.Com, last modified 2021, accessed November 5, 2021, https://www.merdeka.com/uang/ylki-catat-3692-pengaduan-masyarakat-di-2020-terbanyak-soal-produk-jasa-keuangan.html.","previouslyFormattedCitation":"Tulus Abadi, “YLKI Catat 3.692 Pengaduan Masyarakat Di 2020, Terbanyak Soal Produk Jasa Keuangan,” Merdeka.com, 2021, https://www.merdeka.com/uang/ylki-catat-3692-pengaduan-masyarakat-di-2020-terbanyak-soal-produk-jasa-keuangan.html."},"properties":{"noteIndex":10},"schema":"https://github.com/citation-style-language/schema/raw/master/csl-citation.json"}</w:instrText>
      </w:r>
      <w:r w:rsidRPr="00803550">
        <w:rPr>
          <w:sz w:val="18"/>
          <w:szCs w:val="18"/>
        </w:rPr>
        <w:fldChar w:fldCharType="separate"/>
      </w:r>
      <w:r w:rsidRPr="00803550">
        <w:rPr>
          <w:noProof/>
          <w:sz w:val="18"/>
          <w:szCs w:val="18"/>
        </w:rPr>
        <w:t>Tulus Abadi, "YLKI Records 3,692 Public Complaints In 2020, Most Concerning Financial Services Products," Merdeka.Com, last modified 2021, accessed November 5, 2021, https://www.merdeka.com/uang/ylki-catat-3692 -most-public-complaints-in-2020-about-financial-services-products.html.</w:t>
      </w:r>
      <w:r w:rsidRPr="00803550">
        <w:rPr>
          <w:sz w:val="18"/>
          <w:szCs w:val="18"/>
        </w:rPr>
        <w:fldChar w:fldCharType="end"/>
      </w:r>
      <w:r w:rsidRPr="00803550">
        <w:rPr>
          <w:sz w:val="18"/>
          <w:szCs w:val="18"/>
        </w:rPr>
        <w:t>Accessed November 5, 2021</w:t>
      </w:r>
    </w:p>
  </w:footnote>
  <w:footnote w:id="5">
    <w:p w14:paraId="78318939"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{"citationItems":[{"id":"ITEM-1","itemData":{"URL":"https://www.instagram.com/p/CTTeYZXpeVQ/","accessed":{"date-parts":[["2021","11","5"]]},"author":[{"dropping-particle":"","family":"Niaga","given":"Direktorat Jenderal Perlindunngan Konsumen dan Tertib","non-dropping-particle":"","parse-names":false,"suffix":""}],"container-title":"Instagram","id":"ITEM-1","issued":{"date-parts":[["2021"]]},"title":"Info Grafik Layanan Perlindungan KOnsumen","type":"webpage"},"uris":["http://www.mendeley.com/documents/?uuid=5e6d700c-b953-49db-9731-c9d907de672f"]}],"mendeley":{"formattedCitation":"Direktorat Jenderal Perlindunngan Konsumen dan Tertib Niaga, “Info Grafik Layanan Perlindungan KOnsumen,” &lt;i&gt;Instagram&lt;/i&gt;, last modified 2021, accessed November 5, 2021, https://www.instagram.com/p/CTTeYZXpeVQ/.","plainTextFormattedCitation":"Direktorat Jenderal Perlindunngan Konsumen dan Tertib Niaga, “Info Grafik Layanan Perlindungan KOnsumen,” Instagram, last modified 2021, accessed November 5, 2021, https://www.instagram.com/p/CTTeYZXpeVQ/.","previouslyFormattedCitation":"Direktorat Jenderal Perlindunngan Konsumen dan Tertib Niaga, “Info Grafik Layanan Perlindungan KOnsumen,” Instagram, 2021, https://www.instagram.com/p/CTTeYZXpeVQ/."},"properties":{"noteIndex":11},"schema":"https://github.com/citation-style-language/schema/raw/master/csl-citation.json"}</w:instrText>
      </w:r>
      <w:r w:rsidRPr="00803550">
        <w:rPr>
          <w:sz w:val="18"/>
          <w:szCs w:val="18"/>
        </w:rPr>
        <w:fldChar w:fldCharType="separate"/>
      </w:r>
      <w:r w:rsidRPr="00803550">
        <w:rPr>
          <w:noProof/>
          <w:sz w:val="18"/>
          <w:szCs w:val="18"/>
        </w:rPr>
        <w:t>Directorate General of Consumer Protection and Commerce, “Consumer Protection Service Graphic Info,” Instagram, last modified 2021, accessed November 5, 2021, https://www.instagram.com/p/CTTeYZXpeVQ/.</w:t>
      </w:r>
      <w:r w:rsidRPr="00803550">
        <w:rPr>
          <w:sz w:val="18"/>
          <w:szCs w:val="18"/>
        </w:rPr>
        <w:fldChar w:fldCharType="end"/>
      </w:r>
    </w:p>
  </w:footnote>
  <w:footnote w:id="6">
    <w:p w14:paraId="1F6A41C0"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{"citationItems":[{"id":"ITEM-1","itemData":{"abstract":"The neonatal outcome of 61 infants born after pregnancies complicated by absent or reversed end diastolic flow velocities (AREDFV) in the fetal umbilical artery was compared with that of 61 controls matched for gestational age born after high risk pregnancies with documented forward end diastolic flow velocities (EDFV). The AREDFV group was significantly more growth retarded, had lower platelet counts at birth, and were more likely to become significantly thrombocytopenic in the first week after birth. Owing to concerns about the possible increased risk of necrotising enterocolitis in newborn infants after AREDFV, this group was started on enteral feeds later and was more likely to receive parenteral nutrition than the EDFV group. Seven infants with AREDFV and one control infant developed necrotising enterocolitis.","id":"ITEM-1","issued":{"date-parts":[["2001"]]},"page":"11","title":"Keputusan Menteri Perindustrian dan Perdagangan Republik Indonesia No 350/MPP/Kep/12/2001 tentang Pelaksanaan Tugas dan Wewenang Badan Penyelesaian Sengketa Konsumen","type":"legislation"},"uris":["http://www.mendeley.com/documents/?uuid=185f634e-cfd1-4d1e-8a98-bcbb9f6d3571"]}],"mendeley":{"formattedCitation":"&lt;i&gt;Keputusan Menteri Perindustrian Dan Perdagangan Republik Indonesia No 350/MPP/Kep/12/2001 Tentang Pelaksanaan Tugas Dan Wewenang Badan Penyelesaian Sengketa Konsumen&lt;/i&gt;, 2001.","manualFormatting":"Pasal 1 Butir 8 Keputusan Menteri Perindustrian Dan Perdagangan Republik Indonesia No 350/MPP/Kep/12/2001 Tentang Pelaksanaan Tugas Dan Wewenang Badan Penyelesaian Sengketa Konsumen.","plainTextFormattedCitation":"Keputusan Menteri Perindustrian Dan Perdagangan Republik Indonesia No 350/MPP/Kep/12/2001 Tentang Pelaksanaan Tugas Dan Wewenang Badan Penyelesaian Sengketa Konsumen, 2001.","previouslyFormattedCitation":"“Keputusan Menteri Perindustrian Dan Perdagangan Republik Indonesia No 350/MPP/Kep/12/2001 Tentang Pelaksanaan Tugas Dan Wewenang Badan Penyelesaian Sengketa Konsumen” (2001)."},"properties":{"noteIndex":12},"schema":"https://github.com/citation-style-language/schema/raw/master/csl-citation.json"}</w:instrText>
      </w:r>
      <w:r w:rsidRPr="00803550">
        <w:rPr>
          <w:sz w:val="18"/>
          <w:szCs w:val="18"/>
        </w:rPr>
        <w:fldChar w:fldCharType="separate"/>
      </w:r>
      <w:r w:rsidRPr="00803550">
        <w:rPr>
          <w:noProof/>
          <w:sz w:val="18"/>
          <w:szCs w:val="18"/>
        </w:rPr>
        <w:t>Article 1 Point 8 of the Decree of the Minister of Industry and Trade of the Republic of Indonesia No. 350/MPP/Kep/12/2001 concerning the Implementation of the Duties and Authorities of the Consumer Dispute Settlement Agency.</w:t>
      </w:r>
      <w:r w:rsidRPr="00803550">
        <w:rPr>
          <w:sz w:val="18"/>
          <w:szCs w:val="18"/>
        </w:rPr>
        <w:fldChar w:fldCharType="end"/>
      </w:r>
    </w:p>
  </w:footnote>
  <w:footnote w:id="7">
    <w:p w14:paraId="4A6927E9"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{"citationItems":[{"id":"ITEM-1","itemData":{"author":[{"dropping-particle":"","family":"Rijkschroeff","given":"B.R.","non-dropping-particle":"","parse-names":false,"suffix":""}],"id":"ITEM-1","issued":{"date-parts":[["2001"]]},"publisher":"Mandar Maju","publisher-place":"Bandung","title":"Sosiologi, Hukum dan Sosilogi Hukum","type":"book"},"uris":["http://www.mendeley.com/documents/?uuid=f063a364-56fb-44fb-9186-027f556b04e6"]}],"mendeley":{"formattedCitation":"B.R. Rijkschroeff, &lt;i&gt;Sosiologi, Hukum Dan Sosilogi Hukum&lt;/i&gt; (Bandung: Mandar Maju, 2001).","manualFormatting":"B.R. Rijkschroeff, Sosiologi, Hukum Dan Sosilogi Hukum (Bandung: Mandar Maju, 2001), hlm.","plainTextFormattedCitation":"B.R. Rijkschroeff, Sosiologi, Hukum Dan Sosilogi Hukum (Bandung: Mandar Maju, 2001).","previouslyFormattedCitation":"B.R. Rijkschroeff, &lt;i&gt;Sosiologi, Hukum Dan Sosilogi Hukum&lt;/i&gt; (Bandung: Mandar Maju, 2001)."},"properties":{"noteIndex":13},"schema":"https://github.com/citation-style-language/schema/raw/master/csl-citation.json"}</w:instrText>
      </w:r>
      <w:r w:rsidRPr="00803550">
        <w:rPr>
          <w:sz w:val="18"/>
          <w:szCs w:val="18"/>
        </w:rPr>
        <w:fldChar w:fldCharType="separate"/>
      </w:r>
      <w:r w:rsidRPr="00803550">
        <w:rPr>
          <w:noProof/>
          <w:sz w:val="18"/>
          <w:szCs w:val="18"/>
        </w:rPr>
        <w:t>BR Rijkschroeff, Sociology, Law and Legal Sociology (Bandung: Mandar Maju, 2001), p.</w:t>
      </w:r>
      <w:r w:rsidRPr="00803550">
        <w:rPr>
          <w:sz w:val="18"/>
          <w:szCs w:val="18"/>
        </w:rPr>
        <w:fldChar w:fldCharType="end"/>
      </w:r>
      <w:r w:rsidRPr="00803550">
        <w:rPr>
          <w:sz w:val="18"/>
          <w:szCs w:val="18"/>
        </w:rPr>
        <w:t>165</w:t>
      </w:r>
    </w:p>
  </w:footnote>
  <w:footnote w:id="8">
    <w:p w14:paraId="3F2CE239"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Explanation of Dictum 11</w:t>
      </w:r>
      <w:r w:rsidRPr="00803550">
        <w:rPr>
          <w:sz w:val="18"/>
          <w:szCs w:val="18"/>
        </w:rPr>
        <w:fldChar w:fldCharType="begin" w:fldLock="1"/>
      </w:r>
      <w:r w:rsidRPr="00803550">
        <w:rPr>
          <w:sz w:val="18"/>
          <w:szCs w:val="18"/>
        </w:rPr>
        <w:instrText>ADDIN CSL_CITATION {"citationItems":[{"id":"ITEM-1","itemData":{"author":[{"dropping-particle":"","family":"Konsumen","given":"Undang-Undang No. 8 Tahun 1999 tentang Perlindungan","non-dropping-particle":"","parse-names":false,"suffix":""}],"id":"ITEM-1","issued":{"date-parts":[["0"]]},"title":"No Title","type":"legislation"},"uris":["http://www.mendeley.com/documents/?uuid=a750f25a-8b75-452a-b462-c9485f4ffd07"]}],"mendeley":{"formattedCitation":"Undang-Undang No. 8 Tahun 1999 tentang Perlindungan Konsumen, &lt;i&gt;No Title&lt;/i&gt;, n.d.","manualFormatting":"Undang-Undang No. 8 Tahun 1999 tentang Perlindungan Konsumen.","plainTextFormattedCitation":"Undang-Undang No. 8 Tahun 1999 tentang Perlindungan Konsumen, No Title, n.d.","previouslyFormattedCitation":"Undang-Undang No. 8 Tahun 1999 tentang Perlindungan Konsumen, “No Title” (n.d.)."},"properties":{"noteIndex":14},"schema":"https://github.com/citation-style-language/schema/raw/master/csl-citation.json"}</w:instrText>
      </w:r>
      <w:r w:rsidRPr="00803550">
        <w:rPr>
          <w:sz w:val="18"/>
          <w:szCs w:val="18"/>
        </w:rPr>
        <w:fldChar w:fldCharType="separate"/>
      </w:r>
      <w:r w:rsidRPr="00803550">
        <w:rPr>
          <w:noProof/>
          <w:sz w:val="18"/>
          <w:szCs w:val="18"/>
        </w:rPr>
        <w:t>Law No. 8 of 1999 concerning Consumer Protection.</w:t>
      </w:r>
      <w:r w:rsidRPr="00803550">
        <w:rPr>
          <w:sz w:val="18"/>
          <w:szCs w:val="18"/>
        </w:rPr>
        <w:fldChar w:fldCharType="end"/>
      </w:r>
    </w:p>
  </w:footnote>
  <w:footnote w:id="9">
    <w:p w14:paraId="37EF709C"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{"citationItems":[{"id":"ITEM-1","itemData":{"edition":"Cetakan ke","editor":[{"dropping-particle":"","family":"Shidarta, Abdul Rasyid","given":"Ahmad Sofian","non-dropping-particle":"","parse-names":false,"suffix":""}],"id":"ITEM-1","issued":{"date-parts":[["2019"]]},"publisher":"Kencana","publisher-place":"Jakarta","title":"Aspek Hukum Ekonomi dan Bisnis","type":"book"},"uris":["http://www.mendeley.com/documents/?uuid=924a6e07-cbe1-4ea8-9c7a-5d86276f5000"]}],"mendeley":{"formattedCitation":"Ahmad Sofian Shidarta, Abdul Rasyid, ed., &lt;i&gt;Aspek Hukum Ekonomi Dan Bisnis&lt;/i&gt;, Cetakan ke. (Jakarta: Kencana, 2019).","manualFormatting":"Ahmad Sofian, Shidarta, Abdul Rasyid, ed., Aspek Hukum Ekonomi Dan Bisnis, Cetakan ke 2 (Jakarta: Kencana, 2019), hlm.","plainTextFormattedCitation":"Ahmad Sofian Shidarta, Abdul Rasyid, ed., Aspek Hukum Ekonomi Dan Bisnis, Cetakan ke. (Jakarta: Kencana, 2019).","previouslyFormattedCitation":"Ahmad Sofian Shidarta, Abdul Rasyid, ed., &lt;i&gt;Aspek Hukum Ekonomi Dan Bisnis&lt;/i&gt;, Cetakan ke (Jakarta: Kencana, 2019)."},"properties":{"noteIndex":15},"schema":"https://github.com/citation-style-language/schema/raw/master/csl-citation.json"}</w:instrText>
      </w:r>
      <w:r w:rsidRPr="00803550">
        <w:rPr>
          <w:sz w:val="18"/>
          <w:szCs w:val="18"/>
        </w:rPr>
        <w:fldChar w:fldCharType="separate"/>
      </w:r>
      <w:r w:rsidRPr="00803550">
        <w:rPr>
          <w:noProof/>
          <w:sz w:val="18"/>
          <w:szCs w:val="18"/>
        </w:rPr>
        <w:t>Ahmad Sofian, Shidarta, Abdul Rasyid, ed., Aspects of Economic and Business Law, 2nd Edition (Jakarta: Kencana, 2019), p.</w:t>
      </w:r>
      <w:r w:rsidRPr="00803550">
        <w:rPr>
          <w:sz w:val="18"/>
          <w:szCs w:val="18"/>
        </w:rPr>
        <w:fldChar w:fldCharType="end"/>
      </w:r>
      <w:r w:rsidRPr="00803550">
        <w:rPr>
          <w:sz w:val="18"/>
          <w:szCs w:val="18"/>
        </w:rPr>
        <w:t>190.</w:t>
      </w:r>
      <w:r w:rsidRPr="00803550">
        <w:rPr>
          <w:sz w:val="18"/>
          <w:szCs w:val="18"/>
        </w:rPr>
        <w:fldChar w:fldCharType="begin" w:fldLock="1"/>
      </w:r>
      <w:r w:rsidRPr="00803550">
        <w:rPr>
          <w:sz w:val="18"/>
          <w:szCs w:val="18"/>
        </w:rPr>
        <w:instrText>ADDIN CSL_CITATION {"citationItems":[{"id":"ITEM-1","itemData":{"author":[{"dropping-particle":"","family":"Konsumen","given":"Undang-Undang No. 8 Tahun 1999 tentang Perlindungan","non-dropping-particle":"","parse-names":false,"suffix":""}],"id":"ITEM-1","issued":{"date-parts":[["0"]]},"title":"No Title","type":"legislation"},"uris":["http://www.mendeley.com/documents/?uuid=a750f25a-8b75-452a-b462-c9485f4ffd07"]}],"mendeley":{"formattedCitation":"Konsumen, &lt;i&gt;No Title&lt;/i&gt;.","plainTextFormattedCitation":"Konsumen, No Title.","previouslyFormattedCitation":"Konsumen, No Title."},"properties":{"noteIndex":15},"schema":"https://github.com/citation-style-language/schema/raw/master/csl-citation.json"}</w:instrText>
      </w:r>
      <w:r w:rsidRPr="00803550">
        <w:rPr>
          <w:sz w:val="18"/>
          <w:szCs w:val="18"/>
        </w:rPr>
        <w:fldChar w:fldCharType="separate"/>
      </w:r>
      <w:r w:rsidRPr="00803550">
        <w:rPr>
          <w:noProof/>
          <w:sz w:val="18"/>
          <w:szCs w:val="18"/>
        </w:rPr>
        <w:t>Consumer, No Title.</w:t>
      </w:r>
      <w:r w:rsidRPr="00803550">
        <w:rPr>
          <w:sz w:val="18"/>
          <w:szCs w:val="18"/>
        </w:rPr>
        <w:fldChar w:fldCharType="end"/>
      </w:r>
    </w:p>
  </w:footnote>
  <w:footnote w:id="10">
    <w:p w14:paraId="77BFEA95"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Article 4</w:t>
      </w:r>
      <w:r w:rsidRPr="00803550">
        <w:rPr>
          <w:sz w:val="18"/>
          <w:szCs w:val="18"/>
        </w:rPr>
        <w:fldChar w:fldCharType="begin" w:fldLock="1"/>
      </w:r>
      <w:r w:rsidRPr="00803550">
        <w:rPr>
          <w:sz w:val="18"/>
          <w:szCs w:val="18"/>
        </w:rPr>
        <w:instrText>ADDIN CSL_CITATION {"citationItems":[{"id":"ITEM-1","itemData":{"abstract":"The neonatal outcome of 61 infants born after pregnancies complicated by absent or reversed end diastolic flow velocities (AREDFV) in the fetal umbilical artery was compared with that of 61 controls matched for gestational age born after high risk pregnancies with documented forward end diastolic flow velocities (EDFV). The AREDFV group was significantly more growth retarded, had lower platelet counts at birth, and were more likely to become significantly thrombocytopenic in the first week after birth. Owing to concerns about the possible increased risk of necrotising enterocolitis in newborn infants after AREDFV, this group was started on enteral feeds later and was more likely to receive parenteral nutrition than the EDFV group. Seven infants with AREDFV and one control infant developed necrotising enterocolitis.","id":"ITEM-1","issued":{"date-parts":[["2001"]]},"page":"11","title":"Keputusan Menteri Perindustrian dan Perdagangan Republik Indonesia No 350/MPP/Kep/12/2001 tentang Pelaksanaan Tugas dan Wewenang Badan Penyelesaian Sengketa Konsumen","type":"legislation"},"uris":["http://www.mendeley.com/documents/?uuid=185f634e-cfd1-4d1e-8a98-bcbb9f6d3571"]}],"mendeley":{"formattedCitation":"&lt;i&gt;Keputusan Menteri Perindustrian Dan Perdagangan Republik Indonesia No 350/MPP/Kep/12/2001 Tentang Pelaksanaan Tugas Dan Wewenang Badan Penyelesaian Sengketa Konsumen&lt;/i&gt;.","plainTextFormattedCitation":"Keputusan Menteri Perindustrian Dan Perdagangan Republik Indonesia No 350/MPP/Kep/12/2001 Tentang Pelaksanaan Tugas Dan Wewenang Badan Penyelesaian Sengketa Konsumen.","previouslyFormattedCitation":"Keputusan Menteri Perindustrian dan Perdagangan Republik Indonesia No 350/MPP/Kep/12/2001 tentang Pelaksanaan Tugas dan Wewenang Badan Penyelesaian Sengketa Konsumen."},"properties":{"noteIndex":16},"schema":"https://github.com/citation-style-language/schema/raw/master/csl-citation.json"}</w:instrText>
      </w:r>
      <w:r w:rsidRPr="00803550">
        <w:rPr>
          <w:sz w:val="18"/>
          <w:szCs w:val="18"/>
        </w:rPr>
        <w:fldChar w:fldCharType="separate"/>
      </w:r>
      <w:r w:rsidRPr="00803550">
        <w:rPr>
          <w:i/>
          <w:noProof/>
          <w:sz w:val="18"/>
          <w:szCs w:val="18"/>
        </w:rPr>
        <w:t>Decree of the Minister of Industry and Trade of the Republic of Indonesia No. 350/MPP/Kep/12/2001 concerning the Implementation of the Duties and Authorities of the Consumer Dispute Settlement Agency</w:t>
      </w:r>
      <w:r w:rsidRPr="00803550">
        <w:rPr>
          <w:noProof/>
          <w:sz w:val="18"/>
          <w:szCs w:val="18"/>
        </w:rPr>
        <w:t>.</w:t>
      </w:r>
      <w:r w:rsidRPr="00803550">
        <w:rPr>
          <w:sz w:val="18"/>
          <w:szCs w:val="18"/>
        </w:rPr>
        <w:fldChar w:fldCharType="end"/>
      </w:r>
    </w:p>
  </w:footnote>
  <w:footnote w:id="11">
    <w:p w14:paraId="18975523"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URL":"https://news.detik.com/berita/d-3669668/tok-127-keputusan-sengketa-konsumen-dianulir-ma","accessed":{"date-parts":[["2021","11","5"]]},"author":[{"dropping-particle":"","family":"Saputra","given":"Andi","non-dropping-particle":"","parse-names":false,"suffix":""}],"container-title":"Detiknews","id":"ITEM-1","issued":{"date-parts":[["2017"]]},"title":"Tok! 127 Keputusan Sengketa Konsumen Dianulir MA","type":"webpage"},"uris":["http://www.mendeley.com/documents/?uuid=012b8d51-7219-48e1-933e-63493578193d"]}],"mendeley":{"formattedCitation":"Andi Saputra, “Tok! 127 Keputusan Sengketa Konsumen Dianulir MA,” &lt;i&gt;Detiknews&lt;/i&gt;, last modified 2017, accessed November 5, 2021, https://news.detik.com/berita/d-3669668/tok-127-keputusan-sengketa-konsumen-dianulir-ma.","plainTextFormattedCitation":"Andi Saputra, “Tok! 127 Keputusan Sengketa Konsumen Dianulir MA,” Detiknews, last modified 2017, accessed November 5, 2021, https://news.detik.com/berita/d-3669668/tok-127-keputusan-sengketa-konsumen-dianulir-ma.","previouslyFormattedCitation":"Andi Saputra, “Tok! 127 Keputusan Sengketa Konsumen Dianulir MA,” Detiknews, 2017, https://news.detik.com/berita/d-3669668/tok-127-keputusan-sengketa-konsumen-dianulir-ma."},"properties":{"noteIndex":17},"schema":"https://github.com/citation-style-language/schema/raw/master/csl-citation.json"}</w:instrText>
      </w:r>
      <w:r w:rsidRPr="00803550">
        <w:rPr>
          <w:sz w:val="18"/>
          <w:szCs w:val="18"/>
        </w:rPr>
        <w:fldChar w:fldCharType="separate"/>
      </w:r>
      <w:r w:rsidRPr="00803550">
        <w:rPr>
          <w:noProof/>
          <w:sz w:val="18"/>
          <w:szCs w:val="18"/>
        </w:rPr>
        <w:t>Andi Saputra, “Knock! 127 Consumer Dispute Decision Annulled by the Supreme Court," Detiknews, last modified 2017, accessed November 5, 2021, https://news.detik.com/berita/d-3669668/tok-127-kekapalan-sengketa-konsumen-dianulir-ma.</w:t>
      </w:r>
      <w:r w:rsidRPr="00803550">
        <w:rPr>
          <w:sz w:val="18"/>
          <w:szCs w:val="18"/>
        </w:rPr>
        <w:fldChar w:fldCharType="end"/>
      </w:r>
      <w:r w:rsidRPr="00803550">
        <w:rPr>
          <w:sz w:val="18"/>
          <w:szCs w:val="18"/>
        </w:rPr>
        <w:t>accessed on 5 November 2021</w:t>
      </w:r>
    </w:p>
  </w:footnote>
  <w:footnote w:id="12">
    <w:p w14:paraId="00A9CEB3"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{"citationItems":[{"id":"ITEM-1","itemData":{"author":[{"dropping-particle":"","family":"Kurniawan","given":"","non-dropping-particle":"","parse-names":false,"suffix":""}],"id":"ITEM-1","issued":{"date-parts":[["0"]]},"title":"Kedudukan dan Kekuatan Putusan Badan Penyelesaian Sengketa Konsumen (BPSK) dalam Menjamin Perlindungan Hukum Bagi Konsumen, Malang: Disertasi FH Universitas Brawijaya Malang, 2010","type":"book"},"uris":["http://www.mendeley.com/documents/?uuid=9c7ed4e7-d230-4caa-ad0c-8510a31509e5"]}],"mendeley":{"formattedCitation":"Kurniawan, &lt;i&gt;Kedudukan Dan Kekuatan Putusan Badan Penyelesaian Sengketa Konsumen (BPSK) Dalam Menjamin Perlindungan Hukum Bagi Konsumen, Malang: Disertasi FH Universitas Brawijaya Malang, 2010&lt;/i&gt;, n.d.","manualFormatting":"Kurniawan, Kedudukan Dan Kekuatan Putusan Badan Penyelesaian Sengketa Konsumen (BPSK) Dalam Menjamin Perlindungan Hukum Bagi Konsumen, (Malang: Disertasi FH Universitas Brawijaya Malang, 2010),hlm.","plainTextFormattedCitation":"Kurniawan, Kedudukan Dan Kekuatan Putusan Badan Penyelesaian Sengketa Konsumen (BPSK) Dalam Menjamin Perlindungan Hukum Bagi Konsumen, Malang: Disertasi FH Universitas Brawijaya Malang, 2010, n.d.","previouslyFormattedCitation":"Kurniawan, &lt;i&gt;Kedudukan Dan Kekuatan Putusan Badan Penyelesaian Sengketa Konsumen (BPSK) Dalam Menjamin Perlindungan Hukum Bagi Konsumen, Malang: Disertasi FH Universitas Brawijaya Malang, 2010&lt;/i&gt;, n.d."},"properties":{"noteIndex":18},"schema":"https://github.com/citation-style-language/schema/raw/master/csl-citation.json"}</w:instrText>
      </w:r>
      <w:r w:rsidRPr="00803550">
        <w:rPr>
          <w:sz w:val="18"/>
          <w:szCs w:val="18"/>
        </w:rPr>
        <w:fldChar w:fldCharType="separate"/>
      </w:r>
      <w:r w:rsidRPr="00803550">
        <w:rPr>
          <w:noProof/>
          <w:sz w:val="18"/>
          <w:szCs w:val="18"/>
        </w:rPr>
        <w:t>Kurniawan, Position and Strength of Decisions of the Consumer Dispute Settlement Agency (BPSK) in Ensuring Legal Protection for Consumers, (Malang: Dissertation of FH Brawijaya University Malang, 2010), p.</w:t>
      </w:r>
      <w:r w:rsidRPr="00803550">
        <w:rPr>
          <w:sz w:val="18"/>
          <w:szCs w:val="18"/>
        </w:rPr>
        <w:fldChar w:fldCharType="end"/>
      </w:r>
      <w:r w:rsidRPr="00803550">
        <w:rPr>
          <w:sz w:val="18"/>
          <w:szCs w:val="18"/>
        </w:rPr>
        <w:t>399-394</w:t>
      </w:r>
    </w:p>
  </w:footnote>
  <w:footnote w:id="13">
    <w:p w14:paraId="0D6B583C"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{"citationItems":[{"id":"ITEM-1","itemData":{"DOI":"10.1007/s10603-020-09470-0","ISSN":"15730700","abstract":"Indonesia needs strong measures to protect its consumers, which leads to the creation of the Consumer Dispute Settlement Agency (BPSK) as an arbiter to settle disputes between consumers and businesses efficiently. The Indonesian Supreme Court (MARI) has set aside an alarming number of BPSK arbitral awards, putting the entire system in jeopardy. The aims of this study are to examine the empirical data on MARI’s decisions in setting aside arbitral awards and analyse their decision-making process. This research shows how MARI has been interpreting the statue promulgating the BPSK very narrowly. The result of MARI’s interpretation of the law has deep implications for consumer protection in Indonesia, namely that the public trust in the enforcement of Consumer Protection Law by BPSK has been severely diminishing, leaving consumers without meaningful access to justice or protection of their rights.","author":[{"dropping-particle":"","family":"Syamsudin","given":"M.","non-dropping-particle":"","parse-names":false,"suffix":""}],"container-title":"Journal of Consumer Policy","id":"ITEM-1","issue":"1","issued":{"date-parts":[["2021"]]},"page":"117-130","publisher":"Journal of Consumer Policy","title":"The Failure of the Court to Protect Consumers: A Review of Consumer Dispute Resolution in Indonesia","type":"article-journal","volume":"44"},"uris":["http://www.mendeley.com/documents/?uuid=f429fceb-7c57-4801-9a6a-46998988138d"]}],"mendeley":{"formattedCitation":"M. Syamsudin, “The Failure of the Court to Protect Consumers: A Review of Consumer Dispute Resolution in Indonesia,” &lt;i&gt;Journal of Consumer Policy&lt;/i&gt; 44, no. 1 (2021): 117–130.","manualFormatting":"M. Syamsudin, “The Failure of the Court to Protect Consumers: A Review of Consumer Dispute Resolution in Indonesia,” Journal of Consumer Policy 44, no. 1 (2021), https://doi.org/10.1007/s10603-020-09470-0, hlm.","plainTextFormattedCitation":"M. Syamsudin, “The Failure of the Court to Protect Consumers: A Review of Consumer Dispute Resolution in Indonesia,” Journal of Consumer Policy 44, no. 1 (2021): 117–130.","previouslyFormattedCitation":"M. Syamsudin, “The Failure of the Court to Protect Consumers: A Review of Consumer Dispute Resolution in Indonesia,” &lt;i&gt;Journal of Consumer Policy&lt;/i&gt; 44, no. 1 (2021): 117–30, https://doi.org/10.1007/s10603-020-09470-0."},"properties":{"noteIndex":19},"schema":"https://github.com/citation-style-language/schema/raw/master/csl-citation.json"}</w:instrText>
      </w:r>
      <w:r w:rsidRPr="00803550">
        <w:rPr>
          <w:sz w:val="18"/>
          <w:szCs w:val="18"/>
        </w:rPr>
        <w:fldChar w:fldCharType="separate"/>
      </w:r>
      <w:r w:rsidRPr="00803550">
        <w:rPr>
          <w:noProof/>
          <w:sz w:val="18"/>
          <w:szCs w:val="18"/>
        </w:rPr>
        <w:t>M. Syamsudin, “The Failure of the Court to Protect Consumers: A Review of Consumer Dispute Resolution in Indonesia,” Journal of Consumer Policy 44, no. 1 (2021), https://doi.org/10.1007/s10603-020-09470-0, p.</w:t>
      </w:r>
      <w:r w:rsidRPr="00803550">
        <w:rPr>
          <w:sz w:val="18"/>
          <w:szCs w:val="18"/>
        </w:rPr>
        <w:fldChar w:fldCharType="end"/>
      </w:r>
      <w:r w:rsidRPr="00803550">
        <w:rPr>
          <w:sz w:val="18"/>
          <w:szCs w:val="18"/>
        </w:rPr>
        <w:t>22</w:t>
      </w:r>
    </w:p>
  </w:footnote>
  <w:footnote w:id="14">
    <w:p w14:paraId="6A24B9E8"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{"citationItems":[{"id":"ITEM-1","itemData":{"DOI":"10.1007/s10603-020-09470-0","ISSN":"15730700","abstract":"Indonesia needs strong measures to protect its consumers, which leads to the creation of the Consumer Dispute Settlement Agency (BPSK) as an arbiter to settle disputes between consumers and businesses efficiently. The Indonesian Supreme Court (MARI) has set aside an alarming number of BPSK arbitral awards, putting the entire system in jeopardy. The aims of this study are to examine the empirical data on MARI’s decisions in setting aside arbitral awards and analyse their decision-making process. This research shows how MARI has been interpreting the statue promulgating the BPSK very narrowly. The result of MARI’s interpretation of the law has deep implications for consumer protection in Indonesia, namely that the public trust in the enforcement of Consumer Protection Law by BPSK has been severely diminishing, leaving consumers without meaningful access to justice or protection of their rights.","author":[{"dropping-particle":"","family":"Syamsudin","given":"M.","non-dropping-particle":"","parse-names":false,"suffix":""}],"container-title":"Journal of Consumer Policy","id":"ITEM-1","issue":"1","issued":{"date-parts":[["2021"]]},"page":"117-130","publisher":"Journal of Consumer Policy","title":"The Failure of the Court to Protect Consumers: A Review of Consumer Dispute Resolution in Indonesia","type":"article-journal","volume":"44"},"uris":["http://www.mendeley.com/documents/?uuid=f429fceb-7c57-4801-9a6a-46998988138d"]}],"mendeley":{"formattedCitation":"Ibid.","plainTextFormattedCitation":"Ibid.","previouslyFormattedCitation":"Syamsudin."},"properties":{"noteIndex":20},"schema":"https://github.com/citation-style-language/schema/raw/master/csl-citation.json"}</w:instrText>
      </w:r>
      <w:r w:rsidRPr="00803550">
        <w:rPr>
          <w:sz w:val="18"/>
          <w:szCs w:val="18"/>
        </w:rPr>
        <w:fldChar w:fldCharType="separate"/>
      </w:r>
      <w:r w:rsidRPr="00803550">
        <w:rPr>
          <w:noProof/>
          <w:sz w:val="18"/>
          <w:szCs w:val="18"/>
        </w:rPr>
        <w:t>Ibid.</w:t>
      </w:r>
      <w:r w:rsidRPr="00803550">
        <w:rPr>
          <w:sz w:val="18"/>
          <w:szCs w:val="18"/>
        </w:rPr>
        <w:fldChar w:fldCharType="end"/>
      </w:r>
      <w:r w:rsidRPr="00803550">
        <w:rPr>
          <w:sz w:val="18"/>
          <w:szCs w:val="18"/>
        </w:rPr>
        <w:t>, p. 129</w:t>
      </w:r>
    </w:p>
  </w:footnote>
  <w:footnote w:id="15">
    <w:p w14:paraId="1DFCE2E5"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{"citationItems":[{"id":"ITEM-1","itemData":{"author":[{"dropping-particle":"","family":"The ASEAN Secretariat","given":"","non-dropping-particle":"","parse-names":false,"suffix":""}],"id":"ITEM-1","issued":{"date-parts":[["2020"]]},"publisher-place":"Jakarta","title":"Pilot Project ASEAN Consumer Empowerment Index 2020","type":"report"},"uris":["http://www.mendeley.com/documents/?uuid=9f592675-b389-4c71-a373-675dcb7445c0"]}],"mendeley":{"formattedCitation":"The ASEAN Secretariat, &lt;i&gt;Pilot Project ASEAN Consumer Empowerment Index 2020&lt;/i&gt; (Jakarta, 2020).","manualFormatting":"The ASEAN Secretariat, “Pilot Project ASEAN Consumer Empowerment Index 2020” (Jakarta, 2020), hlm 28.","plainTextFormattedCitation":"The ASEAN Secretariat, Pilot Project ASEAN Consumer Empowerment Index 2020 (Jakarta, 2020).","previouslyFormattedCitation":"The ASEAN Secretariat, “Pilot Project ASEAN Consumer Empowerment Index 2020” (Jakarta, 2020)."},"properties":{"noteIndex":21},"schema":"https://github.com/citation-style-language/schema/raw/master/csl-citation.json"}</w:instrText>
      </w:r>
      <w:r w:rsidRPr="00803550">
        <w:rPr>
          <w:sz w:val="18"/>
          <w:szCs w:val="18"/>
        </w:rPr>
        <w:fldChar w:fldCharType="separate"/>
      </w:r>
      <w:r w:rsidRPr="00803550">
        <w:rPr>
          <w:noProof/>
          <w:sz w:val="18"/>
          <w:szCs w:val="18"/>
        </w:rPr>
        <w:t>The ASEAN Secretariat, “Pilot Project ASEAN Consumer Empowerment Index 2020” (Jakarta, 2020), page 28.</w:t>
      </w:r>
      <w:r w:rsidRPr="00803550">
        <w:rPr>
          <w:sz w:val="18"/>
          <w:szCs w:val="18"/>
        </w:rPr>
        <w:fldChar w:fldCharType="end"/>
      </w:r>
    </w:p>
  </w:footnote>
  <w:footnote w:id="16">
    <w:p w14:paraId="099932AD"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{"citationItems":[{"id":"ITEM-1","itemData":{"abstract":"Cosmetic products are generally formulated as emulsions, ointments, solutions or powders containing active ingredients. According to EU legislation, a cosmetic product is \"any substance or preparation intended to be placed in contact with the various external parts of the human body with a view exclusively or mainly to cleaning, perfuming them, changing their appearance, and/or correcting body odors and/or protecting them or keeping them in good conditions\". However, science advancement in both active carriers and ingredients has streamlined the process through which many cosmetic products by their delivery systems can induce modifications on the skin physiology. This is the reason why Reed and Kligman redefined these products as \"cosmeceuticals\", which refers to the combination of cosmetics and pharmaceuticals. Until recently, the term of cosmeceuticals has not had legal significance. The so-called cosmeceuticals, in fact, may induce modifications on the skin physiology, modifying, for example, transepidermal water loss, keratinocytes cohesion and turnover, modulating the inflammatory cascade, and/or altering the surface microbiota by the activity of the preservatives content. For these reasons, they are claimed to have medical or drug-like benefits. Naturally, their effectiveness on minor skin disorders or mild skin abnormalities has to be shown by in vitro and in vivo studies. On the other hand, their formulations contain emulsifiers, preservatives, and other chemicals which, by their cumulative use, may provoke side effects, such as allergic and/or sensitization phenomena. Moreover, many ingredients and packaging for such products are not biodegradable. In this study, we would like to introduce an innovative category of cosmeceuticals made by biodegradable nonwoven tissues. These cosmeceutical tissues, produced through the use of natural fibers, may bind different active ingredients and therefore become effective as antibacterial, anti-inflammatory, sun-protective, whitening, or anti-aging products, depending on the ingredient(s) used. Differently from the usual cosmetics, they do not contain preservatives, emulsifiers, colors, and other chemicals. They can be applied as dried tissue on wet skin, remaining in loco for around 30 min, slowly releasing the active ingredients entrapped into the fibers. It is interesting to underline that the tissue, acting as a carrier, has its own effectiveness via chitin and lignin polymers with an antibacterial and a…","author":[{"dropping-particle":"","family":"Niaga","given":"Direktorat Perlindungan Konsumen dan Tertib","non-dropping-particle":"","parse-names":false,"suffix":""}],"id":"ITEM-1","issued":{"date-parts":[["2020"]]},"title":"Lampiran Keputusan Direktur Jenderal Perlindungan Konsumen dan Tertib Niaga Kementrian Perdagangan No. 162 Tahun 2020 tentang Rencana Strategis Direktorat Perlindungan Konsumen dan Tertib Niaga 2020-2024","type":"legislation"},"uris":["http://www.mendeley.com/documents/?uuid=7c56c119-7172-4fa0-a007-b37ed4249652"]}],"mendeley":{"formattedCitation":"Direktorat Perlindungan Konsumen dan Tertib Niaga, &lt;i&gt;Lampiran Keputusan Direktur Jenderal Perlindungan Konsumen Dan Tertib Niaga Kementrian Perdagangan No. 162 Tahun 2020 Tentang Rencana Strategis Direktorat Perlindungan Konsumen Dan Tertib Niaga 2020-2024&lt;/i&gt;, 2020.","manualFormatting":"Direktorat Perlindungan Konsumen dan Tertib Niaga, “Lampiran Keputusan Direktur Jenderal Perlindungan Konsumen Dan Tertib Niaga Kementrian Perdagangan No. 162 Tahun 2020 Tentang Rencana Strategis Direktorat Perlindungan Konsumen Dan Tertib Niaga 2020-2024” (2020), hlm.","plainTextFormattedCitation":"Direktorat Perlindungan Konsumen dan Tertib Niaga, Lampiran Keputusan Direktur Jenderal Perlindungan Konsumen Dan Tertib Niaga Kementrian Perdagangan No. 162 Tahun 2020 Tentang Rencana Strategis Direktorat Perlindungan Konsumen Dan Tertib Niaga 2020-2024, 2020.","previouslyFormattedCitation":"Direktorat Perlindungan Konsumen dan Tertib Niaga, “Lampiran Keputusan Direktur Jenderal Perlindungan Konsumen Dan Tertib Niaga Kementrian Perdagangan No. 162 Tahun 2020 Tentang Rencana Strategis Direktorat Perlindungan Konsumen Dan Tertib Niaga 2020-2024” (2020)."},"properties":{"noteIndex":22},"schema":"https://github.com/citation-style-language/schema/raw/master/csl-citation.json"}</w:instrText>
      </w:r>
      <w:r w:rsidRPr="00803550">
        <w:rPr>
          <w:sz w:val="18"/>
          <w:szCs w:val="18"/>
        </w:rPr>
        <w:fldChar w:fldCharType="separate"/>
      </w:r>
      <w:r w:rsidRPr="00803550">
        <w:rPr>
          <w:noProof/>
          <w:sz w:val="18"/>
          <w:szCs w:val="18"/>
        </w:rPr>
        <w:t>Directorate of Consumer Protection and Trade Order, “Attachment to the Decree of the Director General of Consumer Protection and Trade Order of the Ministry of Trade No. 162 of 2020 concerning the Strategic Plan for the Directorate of Consumer Protection and Commerce Order 2020-2024” (2020), p.</w:t>
      </w:r>
      <w:r w:rsidRPr="00803550">
        <w:rPr>
          <w:sz w:val="18"/>
          <w:szCs w:val="18"/>
        </w:rPr>
        <w:fldChar w:fldCharType="end"/>
      </w:r>
      <w:r w:rsidRPr="00803550">
        <w:rPr>
          <w:sz w:val="18"/>
          <w:szCs w:val="18"/>
        </w:rPr>
        <w:t>14</w:t>
      </w:r>
    </w:p>
  </w:footnote>
  <w:footnote w:id="17">
    <w:p w14:paraId="5539D543"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URL":"https://news.detik.com/berita/d-3669668/tok-127-keputusan-sengketa-konsumen-dianulir-ma","accessed":{"date-parts":[["2021","11","5"]]},"author":[{"dropping-particle":"","family":"Saputra","given":"Andi","non-dropping-particle":"","parse-names":false,"suffix":""}],"container-title":"Detiknews","id":"ITEM-1","issued":{"date-parts":[["2017"]]},"title":"Tok! 127 Keputusan Sengketa Konsumen Dianulir MA","type":"webpage"},"uris":["http://www.mendeley.com/documents/?uuid=012b8d51-7219-48e1-933e-63493578193d"]}],"mendeley":{"formattedCitation":"Saputra, “Tok! 127 Keputusan Sengketa Konsumen Dianulir MA.”","plainTextFormattedCitation":"Saputra, “Tok! 127 Keputusan Sengketa Konsumen Dianulir MA.”","previouslyFormattedCitation":"Saputra, “Tok! 127 Keputusan Sengketa Konsumen Dianulir MA.”"},"properties":{"noteIndex":23},"schema":"https://github.com/citation-style-language/schema/raw/master/csl-citation.json"}</w:instrText>
      </w:r>
      <w:r w:rsidRPr="00803550">
        <w:rPr>
          <w:sz w:val="18"/>
          <w:szCs w:val="18"/>
        </w:rPr>
        <w:fldChar w:fldCharType="separate"/>
      </w:r>
      <w:r w:rsidRPr="00803550">
        <w:rPr>
          <w:noProof/>
          <w:sz w:val="18"/>
          <w:szCs w:val="18"/>
        </w:rPr>
        <w:t>Saputra, “Knock! 127 Consumer Dispute Decision Annulled by Supreme Court."</w:t>
      </w:r>
      <w:r w:rsidRPr="00803550">
        <w:rPr>
          <w:sz w:val="18"/>
          <w:szCs w:val="18"/>
        </w:rPr>
        <w:fldChar w:fldCharType="end"/>
      </w:r>
    </w:p>
  </w:footnote>
  <w:footnote w:id="18">
    <w:p w14:paraId="26B750F2"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hyperlink r:id="rId1" w:history="1">
        <w:r w:rsidRPr="00803550">
          <w:rPr>
            <w:rStyle w:val="Hyperlink"/>
            <w:sz w:val="18"/>
            <w:szCs w:val="18"/>
          </w:rPr>
          <w:t>https://decision3.mahkamahagung.go.id/directory/index/categories/perlindungan-konsumen-1.html</w:t>
        </w:r>
      </w:hyperlink>
      <w:r w:rsidRPr="00803550">
        <w:rPr>
          <w:sz w:val="18"/>
          <w:szCs w:val="18"/>
        </w:rPr>
        <w:t>, accessed on September 24, 2021</w:t>
      </w:r>
    </w:p>
  </w:footnote>
  <w:footnote w:id="19">
    <w:p w14:paraId="61A91314"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Legal reform is one of the goals in comparative law.</w:t>
      </w:r>
      <w:r w:rsidRPr="00803550">
        <w:rPr>
          <w:sz w:val="18"/>
          <w:szCs w:val="18"/>
        </w:rPr>
        <w:fldChar w:fldCharType="begin" w:fldLock="1"/>
      </w:r>
      <w:r w:rsidRPr="00803550">
        <w:rPr>
          <w:sz w:val="18"/>
          <w:szCs w:val="18"/>
        </w:rPr>
        <w:instrText>ADDIN CSL_CITATION {"citationItems":[{"id":"ITEM-1","itemData":{"author":[{"dropping-particle":"","family":"Ratno Lukito","given":"","non-dropping-particle":"","parse-names":false,"suffix":""}],"edition":"Cetakan Ke","id":"ITEM-1","issued":{"date-parts":[["2019"]]},"publisher":"Gadjah Mada University Press","publisher-place":"Yogyakarta","title":"Perbandingan Hukum: Perdebatan Teori dan Metode","type":"book"},"uris":["http://www.mendeley.com/documents/?uuid=9e1cee65-2a07-4710-bac5-8e16f6d93af6"]}],"mendeley":{"formattedCitation":"Ratno Lukito, &lt;i&gt;Perbandingan Hukum: Perdebatan Teori Dan Metode&lt;/i&gt;, Cetakan Ke. (Yogyakarta: Gadjah Mada University Press, 2019).","manualFormatting":"Ratno Lukito, Perbandingan Hukum: Perdebatan Teori Dan Metode, Cetakan Ke 2 (Yogyakarta: Gadjah Mada University Press, 2019), hlm.","plainTextFormattedCitation":"Ratno Lukito, Perbandingan Hukum: Perdebatan Teori Dan Metode, Cetakan Ke. (Yogyakarta: Gadjah Mada University Press, 2019).","previouslyFormattedCitation":"Ratno Lukito, &lt;i&gt;Perbandingan Hukum: Perdebatan Teori Dan Metode&lt;/i&gt;, Cetakan Ke (Yogyakarta: Gadjah Mada University Press, 2019)."},"properties":{"noteIndex":25},"schema":"https://github.com/citation-style-language/schema/raw/master/csl-citation.json"}</w:instrText>
      </w:r>
      <w:r w:rsidRPr="00803550">
        <w:rPr>
          <w:sz w:val="18"/>
          <w:szCs w:val="18"/>
        </w:rPr>
        <w:fldChar w:fldCharType="separate"/>
      </w:r>
      <w:r w:rsidRPr="00803550">
        <w:rPr>
          <w:noProof/>
          <w:sz w:val="18"/>
          <w:szCs w:val="18"/>
        </w:rPr>
        <w:t>Ratno Lukito, Comparative Law: Theory and Method Debate, 2nd Edition (Yogyakarta: Gadjah Mada University Press, 2019), p.</w:t>
      </w:r>
      <w:r w:rsidRPr="00803550">
        <w:rPr>
          <w:sz w:val="18"/>
          <w:szCs w:val="18"/>
        </w:rPr>
        <w:fldChar w:fldCharType="end"/>
      </w:r>
      <w:r w:rsidRPr="00803550">
        <w:rPr>
          <w:sz w:val="18"/>
          <w:szCs w:val="18"/>
        </w:rPr>
        <w:t>13</w:t>
      </w:r>
    </w:p>
  </w:footnote>
  <w:footnote w:id="20">
    <w:p w14:paraId="2E4DC4D4"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{"citationItems":[{"id":"ITEM-1","itemData":{"author":[{"dropping-particle":"","family":"Kementerian Perdagangan Dalam Negeri Koperasi dan Kepenggunaan","given":"","non-dropping-particle":"","parse-names":false,"suffix":""}],"id":"ITEM-1","issued":{"date-parts":[["0"]]},"publisher-place":"Putrajaya","title":"Perlindungan Pengguna (Consumer Protection) Mudah Murah Cepat: Tribunal Tuntutan Pengguna Malaysia","type":"book"},"uris":["http://www.mendeley.com/documents/?uuid=da4d6eaf-13d9-4bf6-b446-3b8b16a56185"]}],"mendeley":{"formattedCitation":"Kementerian Perdagangan Dalam Negeri Koperasi dan Kepenggunaan, &lt;i&gt;Perlindungan Pengguna (Consumer Protection) Mudah Murah Cepat: Tribunal Tuntutan Pengguna Malaysia&lt;/i&gt; (Putrajaya, n.d.).","manualFormatting":"Kementerian Perdagangan Dalam Negeri Koperasi dan Kepenggunaan, Perlindungan Pengguna (Consumer Protection) Mudah Murah Cepat: Tribunal Tuntutan Pengguna Malaysia (Putrajaya), hlm.","plainTextFormattedCitation":"Kementerian Perdagangan Dalam Negeri Koperasi dan Kepenggunaan, Perlindungan Pengguna (Consumer Protection) Mudah Murah Cepat: Tribunal Tuntutan Pengguna Malaysia (Putrajaya, n.d.).","previouslyFormattedCitation":"Kementerian Perdagangan Dalam Negeri Koperasi dan Kepenggunaan, &lt;i&gt;Perlindungan Pengguna (Consumer Protection) Mudah Murah Cepat: Tribunal Tuntutan Pengguna Malaysia&lt;/i&gt; (Putrajaya, n.d.)."},"properties":{"noteIndex":26},"schema":"https://github.com/citation-style-language/schema/raw/master/csl-citation.json"}</w:instrText>
      </w:r>
      <w:r w:rsidRPr="00803550">
        <w:rPr>
          <w:sz w:val="18"/>
          <w:szCs w:val="18"/>
        </w:rPr>
        <w:fldChar w:fldCharType="separate"/>
      </w:r>
      <w:r w:rsidRPr="00803550">
        <w:rPr>
          <w:noProof/>
          <w:sz w:val="18"/>
          <w:szCs w:val="18"/>
        </w:rPr>
        <w:t>Ministry of Domestic Trade Cooperatives and Utilization, User Protection (Consumer Protection) Easy Cheap Fast: Malaysian User Claims Tribunal (Putrajaya), p.</w:t>
      </w:r>
      <w:r w:rsidRPr="00803550">
        <w:rPr>
          <w:sz w:val="18"/>
          <w:szCs w:val="18"/>
        </w:rPr>
        <w:fldChar w:fldCharType="end"/>
      </w:r>
      <w:r w:rsidRPr="00803550">
        <w:rPr>
          <w:sz w:val="18"/>
          <w:szCs w:val="18"/>
        </w:rPr>
        <w:t>1</w:t>
      </w:r>
    </w:p>
  </w:footnote>
  <w:footnote w:id="21">
    <w:p w14:paraId="7884B554"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noProof/>
          <w:sz w:val="18"/>
          <w:szCs w:val="18"/>
        </w:rPr>
        <w:fldChar w:fldCharType="begin" w:fldLock="1"/>
      </w:r>
      <w:r w:rsidRPr="00803550">
        <w:rPr>
          <w:noProof/>
          <w:sz w:val="18"/>
          <w:szCs w:val="18"/>
        </w:rPr>
        <w:instrText>ADDIN CSL_CITATION {"citationItems":[{"id":"ITEM-1","itemData":{"author":[{"dropping-particle":"","family":"Azimon bt. Abdul Aziz, Maisarag bt. Ahmad","given":"Nordin b. Muhamad","non-dropping-particle":"","parse-names":false,"suffix":""}],"container-title":"Malaysian Journal of Consumer","id":"ITEM-1","issued":{"date-parts":[["2011"]]},"page":"60-76","title":"Akta Perlindungan Pengguna 1999: Analisis dan Permasalahan Peruntukan-Peruntukan Terpilih","type":"article-journal","volume":"16"},"uris":["http://www.mendeley.com/documents/?uuid=bc70bf43-ec0b-4b11-b036-cb489ffbeb5b"]}],"mendeley":{"formattedCitation":"Nordin b. Muhamad Azimon bt. Abdul Aziz, Maisarag bt. Ahmad, “Akta Perlindungan Pengguna 1999: Analisis Dan Permasalahan Peruntukan-Peruntukan Terpilih,” &lt;i&gt;Malaysian Journal of Consumer&lt;/i&gt; 16 (2011): 60–76.","manualFormatting":"Nordin b. Muhamad Azimon bt. Abdul Aziz, Maisarag bt. Ahmad, “Akta Perlindungan Pengguna 1999: Analisis Dan Permasalahan Peruntukan-Peruntukan Terpilih,” Malaysian Journal of Consumer 16 (2011), hlm. 63.","plainTextFormattedCitation":"Nordin b. Muhamad Azimon bt. Abdul Aziz, Maisarag bt. Ahmad, “Akta Perlindungan Pengguna 1999: Analisis Dan Permasalahan Peruntukan-Peruntukan Terpilih,” Malaysian Journal of Consumer 16 (2011): 60–76.","previouslyFormattedCitation":"Nordin b. Muhamad Azimon bt. Abdul Aziz, Maisarag bt. Ahmad, “Akta Perlindungan Pengguna 1999: Analisis Dan Permasalahan Peruntukan-Peruntukan Terpilih,” &lt;i&gt;Malaysian Journal of Consumer&lt;/i&gt; 16 (2011): 60–76."},"properties":{"noteIndex":27},"schema":"https://github.com/citation-style-language/schema/raw/master/csl-citation.json"}</w:instrText>
      </w:r>
      <w:r w:rsidRPr="00803550">
        <w:rPr>
          <w:noProof/>
          <w:sz w:val="18"/>
          <w:szCs w:val="18"/>
        </w:rPr>
        <w:fldChar w:fldCharType="separate"/>
      </w:r>
      <w:r w:rsidRPr="00803550">
        <w:rPr>
          <w:noProof/>
          <w:sz w:val="18"/>
          <w:szCs w:val="18"/>
        </w:rPr>
        <w:t>Nordin b. Muhammad Azizon bt. Abdul Aziz, Maisarag bt. Ahmad, “User Protection Act 1999: Analysis and Problems of Selected Provisions,” Malaysian Journal of Consumer 16 (2011), p. 63.</w:t>
      </w:r>
      <w:r w:rsidRPr="00803550">
        <w:rPr>
          <w:sz w:val="18"/>
          <w:szCs w:val="18"/>
        </w:rPr>
        <w:fldChar w:fldCharType="end"/>
      </w:r>
    </w:p>
  </w:footnote>
  <w:footnote w:id="22">
    <w:p w14:paraId="162D6030"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{"citationItems":[{"id":"ITEM-1","itemData":{"URL":"https://www.kpdnhep.gov.my/en/consumerism/consumer-rights/consumer-protection.html","accessed":{"date-parts":[["2021","11","6"]]},"author":[{"dropping-particle":"","family":"EhwalPengguna","given":"Kementerian Perdagangan dalam Negeri dan Hal","non-dropping-particle":"","parse-names":false,"suffix":""}],"container-title":"Portal Rasmi Kementrian Perdagangan dalam Negeri dan Hal Ehwal Pengguna","id":"ITEM-1","issued":{"date-parts":[["2021"]]},"title":"Perlindungan Pengguna","type":"webpage"},"uris":["http://www.mendeley.com/documents/?uuid=a70f6a05-1301-46ab-a543-ad44cc8694d1"]}],"mendeley":{"formattedCitation":"Kementerian Perdagangan dalam Negeri dan Hal EhwalPengguna, “Perlindungan Pengguna,” &lt;i&gt;Portal Rasmi Kementrian Perdagangan Dalam Negeri Dan Hal Ehwal Pengguna&lt;/i&gt;, last modified 2021, accessed November 6, 2021, https://www.kpdnhep.gov.my/en/consumerism/consumer-rights/consumer-protection.html.","plainTextFormattedCitation":"Kementerian Perdagangan dalam Negeri dan Hal EhwalPengguna, “Perlindungan Pengguna,” Portal Rasmi Kementrian Perdagangan Dalam Negeri Dan Hal Ehwal Pengguna, last modified 2021, accessed November 6, 2021, https://www.kpdnhep.gov.my/en/consumerism/consumer-rights/consumer-protection.html.","previouslyFormattedCitation":"Kementerian Perdagangan dalam Negeri dan Hal EhwalPengguna, “Perlindungan Pengguna,” Portal Rasmi Kementrian Perdagangan dalam Negeri dan Hal Ehwal Pengguna, 2021, https://www.kpdnhep.gov.my/en/consumerism/consumer-rights/consumer-protection.html."},"properties":{"noteIndex":28},"schema":"https://github.com/citation-style-language/schema/raw/master/csl-citation.json"}</w:instrText>
      </w:r>
      <w:r w:rsidRPr="00803550">
        <w:rPr>
          <w:sz w:val="18"/>
          <w:szCs w:val="18"/>
        </w:rPr>
        <w:fldChar w:fldCharType="separate"/>
      </w:r>
      <w:r w:rsidRPr="00803550">
        <w:rPr>
          <w:noProof/>
          <w:sz w:val="18"/>
          <w:szCs w:val="18"/>
        </w:rPr>
        <w:t>Ministry of Domestic Trade and User Matters, “User Protection,” Official Portal of Ministry of Domestic Trade and User Matters, last modified 2021, accessed November 6, 2021, https://www.kpdnhep.gov.my/en/consumerism/ consumer-rights/consumer-protection. html.</w:t>
      </w:r>
      <w:r w:rsidRPr="00803550">
        <w:rPr>
          <w:sz w:val="18"/>
          <w:szCs w:val="18"/>
        </w:rPr>
        <w:fldChar w:fldCharType="end"/>
      </w:r>
    </w:p>
  </w:footnote>
  <w:footnote w:id="23">
    <w:p w14:paraId="65CFD0E6"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{"citationItems":[{"id":"ITEM-1","itemData":{"author":[{"dropping-particle":"","family":"Nor'adha Ab Hamid","given":"Sakinah Shaik Ahmad Yusoff","non-dropping-particle":"","parse-names":false,"suffix":""}],"id":"ITEM-1","issued":{"date-parts":[["2011"]]},"publisher":"Dewan Bahasa dan Pustaka","publisher-place":"Kuala Lumpur","title":"Pertikaian Perdagangan Pengguna: Penyelesaian Pertikaian Alternatif di Malaysia","type":"book"},"uris":["http://www.mendeley.com/documents/?uuid=559673a7-c71f-444f-a9e9-dccd05d13736"]}],"mendeley":{"formattedCitation":"Sakinah Shaik Ahmad Yusoff Nor’adha Ab Hamid, &lt;i&gt;Pertikaian Perdagangan Pengguna: Penyelesaian Pertikaian Alternatif Di Malaysia&lt;/i&gt; (Kuala Lumpur: Dewan Bahasa dan Pustaka, 2011).","manualFormatting":"Sakinah Shaik Ahmad Yusoff Nor’adha Ab Hamid, Pertikaian Perdagangan Pengguna: Penyelesaian Pertikaian Alternatif Di Malaysia (Kuala Lumpur: Dewan Bahasa dan Pustaka, 2011), hlm.","plainTextFormattedCitation":"Sakinah Shaik Ahmad Yusoff Nor’adha Ab Hamid, Pertikaian Perdagangan Pengguna: Penyelesaian Pertikaian Alternatif Di Malaysia (Kuala Lumpur: Dewan Bahasa dan Pustaka, 2011).","previouslyFormattedCitation":"Sakinah Shaik Ahmad Yusoff Nor’adha Ab Hamid, &lt;i&gt;Pertikaian Perdagangan Pengguna: Penyelesaian Pertikaian Alternatif Di Malaysia&lt;/i&gt; (Kuala Lumpur: Dewan Bahasa dan Pustaka, 2011)."},"properties":{"noteIndex":29},"schema":"https://github.com/citation-style-language/schema/raw/master/csl-citation.json"}</w:instrText>
      </w:r>
      <w:r w:rsidRPr="00803550">
        <w:rPr>
          <w:sz w:val="18"/>
          <w:szCs w:val="18"/>
        </w:rPr>
        <w:fldChar w:fldCharType="separate"/>
      </w:r>
      <w:r w:rsidRPr="00803550">
        <w:rPr>
          <w:noProof/>
          <w:sz w:val="18"/>
          <w:szCs w:val="18"/>
        </w:rPr>
        <w:t>Sakinah Shaik Ahmad Yusoff Nor'adha Ab Hamid, User Trafficking Disputes: Alternative Dispute Resolution In Malaysia (Kuala Lumpur: Dewan Bahasa dan Pustaka, 2011), p.</w:t>
      </w:r>
      <w:r w:rsidRPr="00803550">
        <w:rPr>
          <w:sz w:val="18"/>
          <w:szCs w:val="18"/>
        </w:rPr>
        <w:fldChar w:fldCharType="end"/>
      </w:r>
      <w:r w:rsidRPr="00803550">
        <w:rPr>
          <w:sz w:val="18"/>
          <w:szCs w:val="18"/>
        </w:rPr>
        <w:t>134</w:t>
      </w:r>
    </w:p>
  </w:footnote>
  <w:footnote w:id="24">
    <w:p w14:paraId="708E01FC"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{"citationItems":[{"id":"ITEM-1","itemData":{"abstract":"Kepesatan dan evolusi kepenggunaan di Malaysia memperlihatkan satu petanda baik ke arah proses dan usaha mendaulatkan keadilan sejagat. Transformasi dalam pasaran yang secara langsung memberi impak kepada pengguna telah memperlihatkan kepelbagaian bentuk dan transaksi perdagangan yang diaplikasikan ke dalam transaksi harian pengguna di seluruh dunia. Dengan bermotifkan keuntungan, kebajikan dan kepentingan pengguna tidak lagi diletakkan sebagai keutamaan oleh pemain-pemain utama pasaran. Kes-kes penindasan dan penipuan pengguna berlaku dari masa ke semasa tanpa sekatan. Kesedaran pengguna untuk membuat aduan dan membawa kes-kes penindasan ke muka pengadilan masih di tahap yang minima. Kertas kerja ini cuba melontarkan pemikiran kepada aspek mekanisme tebus rugi pengguna yang dijadikan sebagai ‘avenue’ oleh pengguna dalam mencari penyelesaian kepada pertikaian antara pengguna dan peniaga. Mekanisme-mekanisme tebusrugi pengguna yang mendapat tempat di hati pengguna dalam kes-kes pertikaian yang dikenal pasti adalah Tribunal Tuntutan Pengguna Malaysia dan Jabatan Bantuan Guaman Malaysia. Kedua-dua mekanisme ini akan dihuraikan peranannya dalam menyelesaikan pertikaian pengguna. Di samping itu, kelemahan dan permasalahan yang wujud pada mekanisme ini akan turut dikupas bagi mengenal pasti impak yang perlu ditanggung oleh pengguna dalam mendapatkan keadilan melalui tuntutan yang dibawa ke mekanisme-mekanisme ini","author":[{"dropping-particle":"","family":"Azimon Abdul Aziz","given":"","non-dropping-particle":"","parse-names":false,"suffix":""},{"dropping-particle":"","family":"Sakina Shaik Ahmad Yusoff","given":"","non-dropping-particle":"","parse-names":false,"suffix":""},{"dropping-particle":"","family":"Rahmah Ismail","given":"","non-dropping-particle":"","parse-names":false,"suffix":""},{"dropping-particle":"","family":"Shamsudin Suhor","given":"","non-dropping-particle":"","parse-names":false,"suffix":""},{"dropping-particle":"","family":"Kartini Aboo Khalid","given":"","non-dropping-particle":"","parse-names":false,"suffix":""},{"dropping-particle":"","family":"Muhammad Rizal Razman","given":"","non-dropping-particle":"","parse-names":false,"suffix":""}],"container-title":"Prosiding Sixth Malaysian National Economic Conference (PERKEM VI), High Income Economy: Transformation Towards Improving Innovation, Productivity and Quality of Life 5 – 7 June 2011 Melaka Bandaraya Bersejarah","id":"ITEM-1","issued":{"date-parts":[["2011"]]},"page":"228-237","title":"Permasalahan dalam Mekanisme Penyelesaaian Pertikaian Pengguna : Impak ke atas Pengguna dalam Mendapatkan Keadilan","type":"paper-conference","volume":"1"},"uris":["http://www.mendeley.com/documents/?uuid=a6029f4d-e3b0-4305-b1b4-696f2f8341df"]}],"mendeley":{"formattedCitation":"Azimon Abdul Aziz et al., “Permasalahan Dalam Mekanisme Penyelesaaian Pertikaian Pengguna : Impak Ke Atas Pengguna Dalam Mendapatkan Keadilan,” in &lt;i&gt;Prosiding Sixth Malaysian National Economic Conference (PERKEM VI), High Income Economy: Transformation Towards Improving Innovation, Productivity and Quality of Life 5 – 7 June 2011 Melaka Bandaraya Bersejarah&lt;/i&gt;, vol. 1, 2011, 228–237.","manualFormatting":"Azimon Abdul Aziz et al., “Permasalahan Dalam Mekanisme Penyelesaaian Pertikaian Pengguna : Impak Ke Atas Pengguna Dalam Mendapatkan Keadilan,” in Prosiding Sixth Malaysian National Economic Conference (PERKEM VI), High Income Economy: Transformation Towards Improving Innovation, Productivity and Quality of Life 5 – 7 June 2011 Melaka Bandaraya Bersejarah, vol. 1, 2011, hlm.","plainTextFormattedCitation":"Azimon Abdul Aziz et al., “Permasalahan Dalam Mekanisme Penyelesaaian Pertikaian Pengguna : Impak Ke Atas Pengguna Dalam Mendapatkan Keadilan,” in Prosiding Sixth Malaysian National Economic Conference (PERKEM VI), High Income Economy: Transformation Towards Improving Innovation, Productivity and Quality of Life 5 – 7 June 2011 Melaka Bandaraya Bersejarah, vol. 1, 2011, 228–237.","previouslyFormattedCitation":"Azimon Abdul Aziz et al., “Permasalahan Dalam Mekanisme Penyelesaaian Pertikaian Pengguna : Impak Ke Atas Pengguna Dalam Mendapatkan Keadilan,” in &lt;i&gt;Prosiding Sixth Malaysian National Economic Conference (PERKEM VI), High Income Economy: Transformation Towards Improving Innovation, Productivity and Quality of Life 5 – 7 June 2011 Melaka Bandaraya Bersejarah&lt;/i&gt;, vol. 1, 2011, 228–37."},"properties":{"noteIndex":30},"schema":"https://github.com/citation-style-language/schema/raw/master/csl-citation.json"}</w:instrText>
      </w:r>
      <w:r w:rsidRPr="00803550">
        <w:rPr>
          <w:sz w:val="18"/>
          <w:szCs w:val="18"/>
        </w:rPr>
        <w:fldChar w:fldCharType="separate"/>
      </w:r>
      <w:r w:rsidRPr="00803550">
        <w:rPr>
          <w:noProof/>
          <w:sz w:val="18"/>
          <w:szCs w:val="18"/>
        </w:rPr>
        <w:t>Azimon Abdul Aziz et al., "Problems in User Dispute Settlement Mechanisms: Impact on Users in Obtaining Justice," in Proceedings of the Sixth Malaysian National Economic Conference (PERKEM VI), High Income Economy: Transformation Towards Improving Innovation, Productivity and Quality of Life 5 – 7 June 2011 Historic Malacca Airport, vol. 1, 2011, p.</w:t>
      </w:r>
      <w:r w:rsidRPr="00803550">
        <w:rPr>
          <w:sz w:val="18"/>
          <w:szCs w:val="18"/>
        </w:rPr>
        <w:fldChar w:fldCharType="end"/>
      </w:r>
      <w:r w:rsidRPr="00803550">
        <w:rPr>
          <w:sz w:val="18"/>
          <w:szCs w:val="18"/>
        </w:rPr>
        <w:t>233</w:t>
      </w:r>
    </w:p>
  </w:footnote>
  <w:footnote w:id="25">
    <w:p w14:paraId="12EF191C"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{"citationItems":[{"id":"ITEM-1","itemData":{"author":[{"dropping-particle":"","family":"The ASEAN Secretariat","given":"","non-dropping-particle":"","parse-names":false,"suffix":""}],"id":"ITEM-1","issued":{"date-parts":[["2020"]]},"publisher-place":"Jakarta","title":"Pilot Project ASEAN Consumer Empowerment Index 2020","type":"report"},"uris":["http://www.mendeley.com/documents/?uuid=9f592675-b389-4c71-a373-675dcb7445c0"]}],"mendeley":{"formattedCitation":"The ASEAN Secretariat, &lt;i&gt;Pilot Project ASEAN Consumer Empowerment Index 2020&lt;/i&gt;.","plainTextFormattedCitation":"The ASEAN Secretariat, Pilot Project ASEAN Consumer Empowerment Index 2020.","previouslyFormattedCitation":"The ASEAN Secretariat, “Pilot Project ASEAN Consumer Empowerment Index 2020.”"},"properties":{"noteIndex":31},"schema":"https://github.com/citation-style-language/schema/raw/master/csl-citation.json"}</w:instrText>
      </w:r>
      <w:r w:rsidRPr="00803550">
        <w:rPr>
          <w:sz w:val="18"/>
          <w:szCs w:val="18"/>
        </w:rPr>
        <w:fldChar w:fldCharType="separate"/>
      </w:r>
      <w:r w:rsidRPr="00803550">
        <w:rPr>
          <w:noProof/>
          <w:sz w:val="18"/>
          <w:szCs w:val="18"/>
        </w:rPr>
        <w:t>The ASEAN Secretariat, Pilot Project ASEAN Consumer Empowerment Index 2020.</w:t>
      </w:r>
      <w:r w:rsidRPr="00803550">
        <w:rPr>
          <w:sz w:val="18"/>
          <w:szCs w:val="18"/>
        </w:rPr>
        <w:fldChar w:fldCharType="end"/>
      </w:r>
      <w:r w:rsidRPr="00803550">
        <w:rPr>
          <w:sz w:val="18"/>
          <w:szCs w:val="18"/>
        </w:rPr>
        <w:t>, p. 30</w:t>
      </w:r>
    </w:p>
  </w:footnote>
  <w:footnote w:id="26">
    <w:p w14:paraId="79A304AF"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{"citationItems":[{"id":"ITEM-1","itemData":{"author":[{"dropping-particle":"","family":"P . Ishwara Bhat","given":"","non-dropping-particle":"","parse-names":false,"suffix":""}],"container-title":"Journal of the Indian Law Institute","id":"ITEM-1","issue":"2","issued":{"date-parts":[["2015"]]},"page":"147-173","title":"COMPARATIVE METHOD OF LEGAL RESEARCH : NATURE , PROCESS AND POTENTIALITY","type":"article-journal","volume":"57"},"uris":["http://www.mendeley.com/documents/?uuid=b422617c-0804-487a-8d03-16779a9ab09b"]}],"mendeley":{"formattedCitation":"P . Ishwara Bhat, “COMPARATIVE METHOD OF LEGAL RESEARCH : NATURE , PROCESS AND POTENTIALITY,” &lt;i&gt;Journal of the Indian Law Institute&lt;/i&gt; 57, no. 2 (2015): 147–173.","manualFormatting":"P . Ishwara Bhat, “Comparative Method Of Legal Research : Nature , Process And Potentiality,” Journal of the Indian Law Institute 57, no. 2 (2015): 145","plainTextFormattedCitation":"P . Ishwara Bhat, “COMPARATIVE METHOD OF LEGAL RESEARCH : NATURE , PROCESS AND POTENTIALITY,” Journal of the Indian Law Institute 57, no. 2 (2015): 147–173.","previouslyFormattedCitation":"P . Ishwara Bhat, “COMPARATIVE METHOD OF LEGAL RESEARCH : NATURE , PROCESS AND POTENTIALITY,” &lt;i&gt;Journal of the Indian Law Institute&lt;/i&gt; 57, no. 2 (2015): 147–73."},"properties":{"noteIndex":32},"schema":"https://github.com/citation-style-language/schema/raw/master/csl-citation.json"}</w:instrText>
      </w:r>
      <w:r w:rsidRPr="00803550">
        <w:rPr>
          <w:sz w:val="18"/>
          <w:szCs w:val="18"/>
        </w:rPr>
        <w:fldChar w:fldCharType="separate"/>
      </w:r>
      <w:r w:rsidRPr="00803550">
        <w:rPr>
          <w:noProof/>
          <w:sz w:val="18"/>
          <w:szCs w:val="18"/>
        </w:rPr>
        <w:t>P. Ishwara Bhat, “Comparative Method Of Legal Research : Nature , Process And Potentiality,” Journal of the Indian Law Institute 57, no. 2 (2015): 145</w:t>
      </w:r>
      <w:r w:rsidRPr="00803550">
        <w:rPr>
          <w:sz w:val="18"/>
          <w:szCs w:val="18"/>
        </w:rPr>
        <w:fldChar w:fldCharType="end"/>
      </w:r>
    </w:p>
  </w:footnote>
  <w:footnote w:id="27">
    <w:p w14:paraId="7DF7B2A5"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{"citationItems":[{"id":"ITEM-1","itemData":{"author":[{"dropping-particle":"","family":"P . Ishwara Bhat","given":"","non-dropping-particle":"","parse-names":false,"suffix":""}],"container-title":"Journal of the Indian Law Institute","id":"ITEM-1","issue":"2","issued":{"date-parts":[["2015"]]},"page":"147-173","title":"COMPARATIVE METHOD OF LEGAL RESEARCH : NATURE , PROCESS AND POTENTIALITY","type":"article-journal","volume":"57"},"uris":["http://www.mendeley.com/documents/?uuid=b422617c-0804-487a-8d03-16779a9ab09b"]}],"mendeley":{"formattedCitation":"Ibid.","plainTextFormattedCitation":"Ibid.","previouslyFormattedCitation":"P . Ishwara Bhat."},"properties":{"noteIndex":33},"schema":"https://github.com/citation-style-language/schema/raw/master/csl-citation.json"}</w:instrText>
      </w:r>
      <w:r w:rsidRPr="00803550">
        <w:rPr>
          <w:sz w:val="18"/>
          <w:szCs w:val="18"/>
        </w:rPr>
        <w:fldChar w:fldCharType="separate"/>
      </w:r>
      <w:r w:rsidRPr="00803550">
        <w:rPr>
          <w:noProof/>
          <w:sz w:val="18"/>
          <w:szCs w:val="18"/>
        </w:rPr>
        <w:t>Ibid.</w:t>
      </w:r>
      <w:r w:rsidRPr="00803550">
        <w:rPr>
          <w:sz w:val="18"/>
          <w:szCs w:val="18"/>
        </w:rPr>
        <w:fldChar w:fldCharType="end"/>
      </w:r>
      <w:r w:rsidRPr="00803550">
        <w:rPr>
          <w:sz w:val="18"/>
          <w:szCs w:val="18"/>
        </w:rPr>
        <w:t>150</w:t>
      </w:r>
    </w:p>
  </w:footnote>
  <w:footnote w:id="28">
    <w:p w14:paraId="228D5490"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{"citationItems":[{"id":"ITEM-1","itemData":{"author":[{"dropping-particle":"","family":"P . Ishwara Bhat","given":"","non-dropping-particle":"","parse-names":false,"suffix":""}],"container-title":"Journal of the Indian Law Institute","id":"ITEM-1","issue":"2","issued":{"date-parts":[["2015"]]},"page":"147-173","title":"COMPARATIVE METHOD OF LEGAL RESEARCH : NATURE , PROCESS AND POTENTIALITY","type":"article-journal","volume":"57"},"uris":["http://www.mendeley.com/documents/?uuid=b422617c-0804-487a-8d03-16779a9ab09b"]}],"mendeley":{"formattedCitation":"Ibid.","plainTextFormattedCitation":"Ibid.","previouslyFormattedCitation":"P . Ishwara Bhat."},"properties":{"noteIndex":34},"schema":"https://github.com/citation-style-language/schema/raw/master/csl-citation.json"}</w:instrText>
      </w:r>
      <w:r w:rsidRPr="00803550">
        <w:rPr>
          <w:sz w:val="18"/>
          <w:szCs w:val="18"/>
        </w:rPr>
        <w:fldChar w:fldCharType="separate"/>
      </w:r>
      <w:r w:rsidRPr="00803550">
        <w:rPr>
          <w:noProof/>
          <w:sz w:val="18"/>
          <w:szCs w:val="18"/>
        </w:rPr>
        <w:t>Ibid.</w:t>
      </w:r>
      <w:r w:rsidRPr="00803550">
        <w:rPr>
          <w:sz w:val="18"/>
          <w:szCs w:val="18"/>
        </w:rPr>
        <w:fldChar w:fldCharType="end"/>
      </w:r>
      <w:r w:rsidRPr="00803550">
        <w:rPr>
          <w:sz w:val="18"/>
          <w:szCs w:val="18"/>
        </w:rPr>
        <w:t>164</w:t>
      </w:r>
    </w:p>
  </w:footnote>
  <w:footnote w:id="29">
    <w:p w14:paraId="22F1CC17" w14:textId="77777777" w:rsidR="00803550" w:rsidRPr="00803550" w:rsidRDefault="00803550" w:rsidP="00803550">
      <w:pPr>
        <w:pStyle w:val="FootnoteText"/>
        <w:ind w:firstLine="709"/>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{"citationItems":[{"id":"ITEM-1","itemData":{"author":[{"dropping-particle":"","family":"Ratno Lukito","given":"","non-dropping-particle":"","parse-names":false,"suffix":""}],"edition":"Cetakan Ke","id":"ITEM-1","issued":{"date-parts":[["2019"]]},"publisher":"Gadjah Mada University Press","publisher-place":"Yogyakarta","title":"Perbandingan Hukum: Perdebatan Teori dan Metode","type":"book"},"uris":["http://www.mendeley.com/documents/?uuid=9e1cee65-2a07-4710-bac5-8e16f6d93af6"]}],"mendeley":{"formattedCitation":"Ratno Lukito, &lt;i&gt;Perbandingan Hukum: Perdebatan Teori Dan Metode&lt;/i&gt;.","manualFormatting":"Ratno Lukito, Perbandingan Hukum: Perdebatan Teori Dan Metode, hlm.","plainTextFormattedCitation":"Ratno Lukito, Perbandingan Hukum: Perdebatan Teori Dan Metode.","previouslyFormattedCitation":"Ratno Lukito, &lt;i&gt;Perbandingan Hukum: Perdebatan Teori Dan Metode&lt;/i&gt;."},"properties":{"noteIndex":35},"schema":"https://github.com/citation-style-language/schema/raw/master/csl-citation.json"}</w:instrText>
      </w:r>
      <w:r w:rsidRPr="00803550">
        <w:rPr>
          <w:sz w:val="18"/>
          <w:szCs w:val="18"/>
        </w:rPr>
        <w:fldChar w:fldCharType="separate"/>
      </w:r>
      <w:r w:rsidRPr="00803550">
        <w:rPr>
          <w:noProof/>
          <w:sz w:val="18"/>
          <w:szCs w:val="18"/>
        </w:rPr>
        <w:t>Ratno Lukito, Comparison of Law: Theory and Method Debate, p.</w:t>
      </w:r>
      <w:r w:rsidRPr="00803550">
        <w:rPr>
          <w:sz w:val="18"/>
          <w:szCs w:val="18"/>
        </w:rPr>
        <w:fldChar w:fldCharType="end"/>
      </w:r>
      <w:r w:rsidRPr="00803550">
        <w:rPr>
          <w:sz w:val="18"/>
          <w:szCs w:val="18"/>
        </w:rPr>
        <w:t>27</w:t>
      </w:r>
    </w:p>
  </w:footnote>
  <w:footnote w:id="30">
    <w:p w14:paraId="312F558A" w14:textId="77777777" w:rsidR="00803550" w:rsidRPr="00803550" w:rsidRDefault="00803550" w:rsidP="00803550">
      <w:pPr>
        <w:pStyle w:val="Default"/>
        <w:ind w:firstLine="426"/>
        <w:jc w:val="both"/>
        <w:rPr>
          <w:color w:val="auto"/>
          <w:sz w:val="18"/>
          <w:szCs w:val="18"/>
        </w:rPr>
      </w:pPr>
      <w:r w:rsidRPr="00803550">
        <w:rPr>
          <w:rStyle w:val="FootnoteReference"/>
          <w:color w:val="auto"/>
          <w:sz w:val="18"/>
          <w:szCs w:val="18"/>
        </w:rPr>
        <w:footnoteRef/>
      </w:r>
      <w:r w:rsidRPr="00803550">
        <w:rPr>
          <w:color w:val="auto"/>
          <w:sz w:val="18"/>
          <w:szCs w:val="18"/>
        </w:rPr>
        <w:t>Afida Mastura Muhammad Arif, “History of User Movement,” Malaysian User Journal</w:t>
      </w:r>
      <w:r w:rsidRPr="00803550">
        <w:rPr>
          <w:sz w:val="18"/>
          <w:szCs w:val="18"/>
        </w:rPr>
        <w:t>, No. 2, Vol. 2 of 1998,</w:t>
      </w:r>
      <w:r w:rsidRPr="00803550">
        <w:rPr>
          <w:color w:val="auto"/>
          <w:sz w:val="18"/>
          <w:szCs w:val="18"/>
        </w:rPr>
        <w:t>Thing. 47.</w:t>
      </w:r>
    </w:p>
  </w:footnote>
  <w:footnote w:id="31">
    <w:p w14:paraId="7FF15809" w14:textId="77777777" w:rsidR="00803550" w:rsidRPr="00803550" w:rsidRDefault="00803550" w:rsidP="00803550">
      <w:pPr>
        <w:pStyle w:val="Default"/>
        <w:ind w:firstLine="426"/>
        <w:jc w:val="both"/>
        <w:rPr>
          <w:color w:val="auto"/>
          <w:sz w:val="18"/>
          <w:szCs w:val="18"/>
        </w:rPr>
      </w:pPr>
      <w:r w:rsidRPr="00803550">
        <w:rPr>
          <w:rStyle w:val="FootnoteReference"/>
          <w:color w:val="auto"/>
          <w:sz w:val="18"/>
          <w:szCs w:val="18"/>
        </w:rPr>
        <w:footnoteRef/>
      </w:r>
      <w:r w:rsidRPr="00803550">
        <w:rPr>
          <w:color w:val="auto"/>
          <w:sz w:val="18"/>
          <w:szCs w:val="18"/>
        </w:rPr>
        <w:t>Afida Mastura Muhammad Arif, "History of User Movement," page 47.</w:t>
      </w:r>
    </w:p>
  </w:footnote>
  <w:footnote w:id="32">
    <w:p w14:paraId="68CB475B" w14:textId="77777777" w:rsidR="00803550" w:rsidRPr="00803550" w:rsidRDefault="00803550" w:rsidP="00803550">
      <w:pPr>
        <w:pStyle w:val="Default"/>
        <w:ind w:firstLine="426"/>
        <w:jc w:val="both"/>
        <w:rPr>
          <w:color w:val="auto"/>
          <w:sz w:val="18"/>
          <w:szCs w:val="18"/>
        </w:rPr>
      </w:pPr>
      <w:r w:rsidRPr="00803550">
        <w:rPr>
          <w:rStyle w:val="FootnoteReference"/>
          <w:color w:val="auto"/>
          <w:sz w:val="18"/>
          <w:szCs w:val="18"/>
        </w:rPr>
        <w:footnoteRef/>
      </w:r>
      <w:r w:rsidRPr="00803550">
        <w:rPr>
          <w:color w:val="auto"/>
          <w:sz w:val="18"/>
          <w:szCs w:val="18"/>
        </w:rPr>
        <w:t>Afida Mastura Muhammad Arif, "History of User Movement," page 48.</w:t>
      </w:r>
    </w:p>
  </w:footnote>
  <w:footnote w:id="33">
    <w:p w14:paraId="597D5216" w14:textId="77777777" w:rsidR="00803550" w:rsidRPr="00803550" w:rsidRDefault="00803550" w:rsidP="00803550">
      <w:pPr>
        <w:pStyle w:val="Default"/>
        <w:ind w:firstLine="426"/>
        <w:jc w:val="both"/>
        <w:rPr>
          <w:color w:val="auto"/>
          <w:sz w:val="18"/>
          <w:szCs w:val="18"/>
        </w:rPr>
      </w:pPr>
      <w:r w:rsidRPr="00803550">
        <w:rPr>
          <w:rStyle w:val="FootnoteReference"/>
          <w:color w:val="auto"/>
          <w:sz w:val="18"/>
          <w:szCs w:val="18"/>
        </w:rPr>
        <w:footnoteRef/>
      </w:r>
      <w:r w:rsidRPr="00803550">
        <w:rPr>
          <w:color w:val="auto"/>
          <w:sz w:val="18"/>
          <w:szCs w:val="18"/>
        </w:rPr>
        <w:t>Afida Mastura Muhammad Arif, "History of User Movement," page 48.</w:t>
      </w:r>
    </w:p>
  </w:footnote>
  <w:footnote w:id="34">
    <w:p w14:paraId="37C302A4" w14:textId="77777777" w:rsidR="00803550" w:rsidRPr="00803550" w:rsidRDefault="00803550" w:rsidP="00803550">
      <w:pPr>
        <w:pStyle w:val="Default"/>
        <w:ind w:firstLine="426"/>
        <w:jc w:val="both"/>
        <w:rPr>
          <w:color w:val="auto"/>
          <w:sz w:val="18"/>
          <w:szCs w:val="18"/>
        </w:rPr>
      </w:pPr>
      <w:r w:rsidRPr="00803550">
        <w:rPr>
          <w:rStyle w:val="FootnoteReference"/>
          <w:color w:val="auto"/>
          <w:sz w:val="18"/>
          <w:szCs w:val="18"/>
        </w:rPr>
        <w:footnoteRef/>
      </w:r>
      <w:r w:rsidRPr="00803550">
        <w:rPr>
          <w:color w:val="auto"/>
          <w:sz w:val="18"/>
          <w:szCs w:val="18"/>
        </w:rPr>
        <w:t>Ministry of Domestic Trade, Cooperatives and Use, 2 Decades of Protecting Users, Ministry of Domestic Trade, Cooperatives and Use, Putrajaya, 2010, page 16.</w:t>
      </w:r>
    </w:p>
  </w:footnote>
  <w:footnote w:id="35">
    <w:p w14:paraId="4F490F97" w14:textId="77777777" w:rsidR="00803550" w:rsidRPr="00803550" w:rsidRDefault="00803550" w:rsidP="00803550">
      <w:pPr>
        <w:pStyle w:val="Default"/>
        <w:ind w:firstLine="426"/>
        <w:jc w:val="both"/>
        <w:rPr>
          <w:color w:val="auto"/>
          <w:sz w:val="18"/>
          <w:szCs w:val="18"/>
        </w:rPr>
      </w:pPr>
      <w:r w:rsidRPr="00803550">
        <w:rPr>
          <w:rStyle w:val="FootnoteReference"/>
          <w:color w:val="auto"/>
          <w:sz w:val="18"/>
          <w:szCs w:val="18"/>
        </w:rPr>
        <w:footnoteRef/>
      </w:r>
      <w:r w:rsidRPr="00803550">
        <w:rPr>
          <w:color w:val="auto"/>
          <w:sz w:val="18"/>
          <w:szCs w:val="18"/>
        </w:rPr>
        <w:t>Mohd Hamdan Adnan, Usability, Kuala Lumpur: Language and Library Council, 1987, p. 15.</w:t>
      </w:r>
    </w:p>
  </w:footnote>
  <w:footnote w:id="36">
    <w:p w14:paraId="40E7EEAB" w14:textId="77777777" w:rsidR="00803550" w:rsidRPr="00803550" w:rsidRDefault="00803550" w:rsidP="00803550">
      <w:pPr>
        <w:pStyle w:val="Default"/>
        <w:ind w:firstLine="426"/>
        <w:jc w:val="both"/>
        <w:rPr>
          <w:color w:val="auto"/>
          <w:sz w:val="18"/>
          <w:szCs w:val="18"/>
        </w:rPr>
      </w:pPr>
      <w:r w:rsidRPr="00803550">
        <w:rPr>
          <w:rStyle w:val="FootnoteReference"/>
          <w:color w:val="auto"/>
          <w:sz w:val="18"/>
          <w:szCs w:val="18"/>
        </w:rPr>
        <w:footnoteRef/>
      </w:r>
      <w:r w:rsidRPr="00803550">
        <w:rPr>
          <w:color w:val="auto"/>
          <w:sz w:val="18"/>
          <w:szCs w:val="18"/>
        </w:rPr>
        <w:t>Rofah Setyowati, Ong Tze Chin &amp; Sakina Shaik Ahmad Yusoff, 'User Protection in Malaysia,' in Sakina Shaik Ahmad Yusoff, Rahmah Ismail &amp; Shamsuddin Suhor, Users and Laws (Malaysia: Publishers Universiti Kebangsaan Malaysia, 2015), p. 32.</w:t>
      </w:r>
    </w:p>
  </w:footnote>
  <w:footnote w:id="37">
    <w:p w14:paraId="1CBBF5A8" w14:textId="77777777" w:rsidR="00803550" w:rsidRPr="00803550" w:rsidRDefault="00803550" w:rsidP="00803550">
      <w:pPr>
        <w:pStyle w:val="FootnoteText"/>
        <w:ind w:firstLine="426"/>
        <w:rPr>
          <w:sz w:val="18"/>
          <w:szCs w:val="18"/>
        </w:rPr>
      </w:pPr>
      <w:r w:rsidRPr="00803550">
        <w:rPr>
          <w:rStyle w:val="FootnoteReference"/>
          <w:sz w:val="18"/>
          <w:szCs w:val="18"/>
        </w:rPr>
        <w:footnoteRef/>
      </w:r>
      <w:r w:rsidRPr="00803550">
        <w:rPr>
          <w:sz w:val="18"/>
          <w:szCs w:val="18"/>
        </w:rPr>
        <w:t>Section XI Section 73 of the User Protection Act 1999</w:t>
      </w:r>
    </w:p>
  </w:footnote>
  <w:footnote w:id="38">
    <w:p w14:paraId="71CBF835" w14:textId="77777777" w:rsidR="00803550" w:rsidRPr="00803550" w:rsidRDefault="00803550" w:rsidP="00803550">
      <w:pPr>
        <w:pStyle w:val="Default"/>
        <w:ind w:firstLine="426"/>
        <w:jc w:val="both"/>
        <w:rPr>
          <w:color w:val="auto"/>
          <w:sz w:val="18"/>
          <w:szCs w:val="18"/>
        </w:rPr>
      </w:pPr>
      <w:r w:rsidRPr="00803550">
        <w:rPr>
          <w:rStyle w:val="FootnoteReference"/>
          <w:color w:val="auto"/>
          <w:sz w:val="18"/>
          <w:szCs w:val="18"/>
        </w:rPr>
        <w:footnoteRef/>
      </w:r>
      <w:r w:rsidRPr="00803550">
        <w:rPr>
          <w:color w:val="auto"/>
          <w:sz w:val="18"/>
          <w:szCs w:val="18"/>
        </w:rPr>
        <w:t>Ministry of Domestic Trade, Cooperatives and Use, 2 Decades of Protecting Users, 2010, page 12.</w:t>
      </w:r>
    </w:p>
  </w:footnote>
  <w:footnote w:id="39">
    <w:p w14:paraId="38FE02B7" w14:textId="77777777" w:rsidR="00803550" w:rsidRPr="00803550" w:rsidRDefault="00803550" w:rsidP="00803550">
      <w:pPr>
        <w:pStyle w:val="Default"/>
        <w:ind w:firstLine="426"/>
        <w:jc w:val="both"/>
        <w:rPr>
          <w:color w:val="auto"/>
          <w:sz w:val="18"/>
          <w:szCs w:val="18"/>
        </w:rPr>
      </w:pPr>
      <w:r w:rsidRPr="00803550">
        <w:rPr>
          <w:rStyle w:val="FootnoteReference"/>
          <w:color w:val="auto"/>
          <w:sz w:val="18"/>
          <w:szCs w:val="18"/>
        </w:rPr>
        <w:footnoteRef/>
      </w:r>
      <w:r w:rsidRPr="00803550">
        <w:rPr>
          <w:color w:val="auto"/>
          <w:sz w:val="18"/>
          <w:szCs w:val="18"/>
        </w:rPr>
        <w:t xml:space="preserve"> </w:t>
      </w:r>
      <w:hyperlink r:id="rId2" w:history="1">
        <w:r w:rsidRPr="00803550">
          <w:rPr>
            <w:rStyle w:val="Hyperlink"/>
            <w:color w:val="auto"/>
            <w:sz w:val="18"/>
            <w:szCs w:val="18"/>
          </w:rPr>
          <w:t>https://www.kpdnhep.gov.my/en/corporate-info/functions-of-kpdnhep.html</w:t>
        </w:r>
      </w:hyperlink>
      <w:r w:rsidRPr="00803550">
        <w:rPr>
          <w:color w:val="auto"/>
          <w:sz w:val="18"/>
          <w:szCs w:val="18"/>
        </w:rPr>
        <w:t>, accessed on the 21st of 2020</w:t>
      </w:r>
    </w:p>
  </w:footnote>
  <w:footnote w:id="40">
    <w:p w14:paraId="03BAEAE5" w14:textId="77777777" w:rsidR="00803550" w:rsidRPr="00803550" w:rsidRDefault="00803550" w:rsidP="00803550">
      <w:pPr>
        <w:pStyle w:val="Default"/>
        <w:ind w:firstLine="426"/>
        <w:jc w:val="both"/>
        <w:rPr>
          <w:color w:val="auto"/>
          <w:sz w:val="18"/>
          <w:szCs w:val="18"/>
        </w:rPr>
      </w:pPr>
      <w:r w:rsidRPr="00803550">
        <w:rPr>
          <w:rStyle w:val="FootnoteReference"/>
          <w:color w:val="auto"/>
          <w:sz w:val="18"/>
          <w:szCs w:val="18"/>
        </w:rPr>
        <w:footnoteRef/>
      </w:r>
      <w:r w:rsidRPr="00803550">
        <w:rPr>
          <w:color w:val="auto"/>
          <w:sz w:val="18"/>
          <w:szCs w:val="18"/>
        </w:rPr>
        <w:t>Ministry of Domestic Trade, Cooperatives and Utilization, KPDNKK Annual Report 2011, 2011, page 10.</w:t>
      </w:r>
    </w:p>
  </w:footnote>
  <w:footnote w:id="41">
    <w:p w14:paraId="34D20073" w14:textId="77777777" w:rsidR="00803550" w:rsidRPr="00803550" w:rsidRDefault="00803550" w:rsidP="00803550">
      <w:pPr>
        <w:pStyle w:val="Default"/>
        <w:ind w:firstLine="426"/>
        <w:jc w:val="both"/>
        <w:rPr>
          <w:color w:val="auto"/>
          <w:sz w:val="18"/>
          <w:szCs w:val="18"/>
        </w:rPr>
      </w:pPr>
      <w:r w:rsidRPr="00803550">
        <w:rPr>
          <w:rStyle w:val="FootnoteReference"/>
          <w:color w:val="auto"/>
          <w:sz w:val="18"/>
          <w:szCs w:val="18"/>
        </w:rPr>
        <w:footnoteRef/>
      </w:r>
      <w:r w:rsidRPr="00803550">
        <w:rPr>
          <w:color w:val="auto"/>
          <w:sz w:val="18"/>
          <w:szCs w:val="18"/>
        </w:rPr>
        <w:t>Rofah Setyowati, Ong Tze Chin &amp; Sakina Shaik Ahmad Yusoff, 'User Protection in Malaysia,' in Sakina Shaik Ahmad Yusoff, Rahmah Ismail &amp; Shamsuddin Suhor, Users and Laws…, page 33.</w:t>
      </w:r>
      <w:hyperlink r:id="rId3" w:history="1">
        <w:r w:rsidRPr="00803550">
          <w:rPr>
            <w:rStyle w:val="Hyperlink"/>
            <w:color w:val="auto"/>
            <w:sz w:val="18"/>
            <w:szCs w:val="18"/>
          </w:rPr>
          <w:t>http://www.fomca.org.my/v1/index.php/about-us/pusat-investigation-and-source-users</w:t>
        </w:r>
      </w:hyperlink>
      <w:r w:rsidRPr="00803550">
        <w:rPr>
          <w:color w:val="auto"/>
          <w:sz w:val="18"/>
          <w:szCs w:val="18"/>
        </w:rPr>
        <w:t>, accessed on March 27, 2020.</w:t>
      </w:r>
    </w:p>
  </w:footnote>
  <w:footnote w:id="42">
    <w:p w14:paraId="77680A86" w14:textId="77777777" w:rsidR="00803550" w:rsidRPr="00803550" w:rsidRDefault="00803550" w:rsidP="00803550">
      <w:pPr>
        <w:pStyle w:val="Default"/>
        <w:ind w:firstLine="426"/>
        <w:jc w:val="both"/>
        <w:rPr>
          <w:color w:val="auto"/>
          <w:sz w:val="18"/>
          <w:szCs w:val="18"/>
        </w:rPr>
      </w:pPr>
      <w:r w:rsidRPr="00803550">
        <w:rPr>
          <w:rStyle w:val="FootnoteReference"/>
          <w:color w:val="auto"/>
          <w:sz w:val="18"/>
          <w:szCs w:val="18"/>
        </w:rPr>
        <w:footnoteRef/>
      </w:r>
      <w:r w:rsidRPr="00803550">
        <w:rPr>
          <w:color w:val="auto"/>
          <w:sz w:val="18"/>
          <w:szCs w:val="18"/>
        </w:rPr>
        <w:t>National Consumer Complaints Center (NCCC): Functions of the NCCC</w:t>
      </w:r>
      <w:hyperlink r:id="rId4" w:history="1">
        <w:r w:rsidRPr="00803550">
          <w:rPr>
            <w:rStyle w:val="Hyperlink"/>
            <w:sz w:val="18"/>
            <w:szCs w:val="18"/>
          </w:rPr>
          <w:t>http://www.nccc.org.my/v2/index.php/mengenai-nccc/fungsi-nccc</w:t>
        </w:r>
      </w:hyperlink>
      <w:r w:rsidRPr="00803550">
        <w:rPr>
          <w:color w:val="auto"/>
          <w:sz w:val="18"/>
          <w:szCs w:val="18"/>
        </w:rPr>
        <w:t>, accessed on March 27, 2020</w:t>
      </w:r>
    </w:p>
  </w:footnote>
  <w:footnote w:id="43">
    <w:p w14:paraId="6D68B335" w14:textId="77777777" w:rsidR="00803550" w:rsidRPr="00803550" w:rsidRDefault="00803550" w:rsidP="00803550">
      <w:pPr>
        <w:pStyle w:val="Default"/>
        <w:ind w:firstLine="426"/>
        <w:jc w:val="both"/>
        <w:rPr>
          <w:color w:val="auto"/>
          <w:sz w:val="18"/>
          <w:szCs w:val="18"/>
        </w:rPr>
      </w:pPr>
      <w:r w:rsidRPr="00803550">
        <w:rPr>
          <w:rStyle w:val="FootnoteReference"/>
          <w:color w:val="auto"/>
          <w:sz w:val="18"/>
          <w:szCs w:val="18"/>
        </w:rPr>
        <w:footnoteRef/>
      </w:r>
      <w:r w:rsidRPr="00803550">
        <w:rPr>
          <w:color w:val="auto"/>
          <w:sz w:val="18"/>
          <w:szCs w:val="18"/>
        </w:rPr>
        <w:t>Afida Mastura Muhammad Arif, "History of User Movement,"..., page 50.</w:t>
      </w:r>
    </w:p>
  </w:footnote>
  <w:footnote w:id="44">
    <w:p w14:paraId="64AFF442" w14:textId="77777777" w:rsidR="00803550" w:rsidRPr="00803550" w:rsidRDefault="00803550" w:rsidP="00803550">
      <w:pPr>
        <w:autoSpaceDE w:val="0"/>
        <w:autoSpaceDN w:val="0"/>
        <w:adjustRightInd w:val="0"/>
        <w:ind w:firstLine="426"/>
        <w:rPr>
          <w:sz w:val="18"/>
          <w:szCs w:val="18"/>
          <w:lang w:val="en-GB" w:eastAsia="en-GB"/>
        </w:rPr>
      </w:pPr>
      <w:r w:rsidRPr="00803550">
        <w:rPr>
          <w:rStyle w:val="FootnoteReference"/>
          <w:sz w:val="18"/>
          <w:szCs w:val="18"/>
        </w:rPr>
        <w:footnoteRef/>
      </w:r>
      <w:r w:rsidRPr="00803550">
        <w:rPr>
          <w:sz w:val="18"/>
          <w:szCs w:val="18"/>
        </w:rPr>
        <w:t>Azimon bint. Abdul Aziz, et al, user protection act 1999: Analysis and problems of Selected Appropriations, Malaysian Journal of Consumer, Volume 16 June 2011, p. 62</w:t>
      </w:r>
    </w:p>
  </w:footnote>
  <w:footnote w:id="45">
    <w:p w14:paraId="4D3A797E" w14:textId="77777777" w:rsidR="00803550" w:rsidRPr="00803550" w:rsidRDefault="00803550" w:rsidP="00803550">
      <w:pPr>
        <w:pStyle w:val="FootnoteText"/>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{"citationItems":[{"id":"ITEM-1","itemData":{"author":[{"dropping-particle":"","family":"Celina Tri Siwi Kristiyanti","given":"","non-dropping-particle":"","parse-names":false,"suffix":""}],"id":"ITEM-1","issued":{"date-parts":[["2017"]]},"publisher":"Sinar Grafika","publisher-place":"Jakarta","title":"Hukum Perlindungan Konsumen","type":"book"},"uris":["http://www.mendeley.com/documents/?uuid=433845f7-64dd-4efd-8078-d15cacfe2d71"]}],"mendeley":{"formattedCitation":"Celina Tri Siwi Kristiyanti, &lt;i&gt;Hukum Perlindungan Konsumen&lt;/i&gt; (Jakarta: Sinar Grafika, 2017).","manualFormatting":"Celina Tri Siwi Kristiyanti, Hukum Perlindungan Konsumen (Jakarta: Sinar Grafika, 2017), hlm.","plainTextFormattedCitation":"Celina Tri Siwi Kristiyanti, Hukum Perlindungan Konsumen (Jakarta: Sinar Grafika, 2017).","previouslyFormattedCitation":"Celina Tri Siwi Kristiyanti, &lt;i&gt;Hukum Perlindungan Konsumen&lt;/i&gt; (Jakarta: Sinar Grafika, 2017)."},"properties":{"noteIndex":109},"schema":"https://github.com/citation-style-language/schema/raw/master/csl-citation.json"}</w:instrText>
      </w:r>
      <w:r w:rsidRPr="00803550">
        <w:rPr>
          <w:sz w:val="18"/>
          <w:szCs w:val="18"/>
        </w:rPr>
        <w:fldChar w:fldCharType="separate"/>
      </w:r>
      <w:r w:rsidRPr="00803550">
        <w:rPr>
          <w:noProof/>
          <w:sz w:val="18"/>
          <w:szCs w:val="18"/>
        </w:rPr>
        <w:t>Celina Tri Siwi Kristiyanti, Consumer Protection Law (Jakarta: Sinar Graphic, 2017), p.</w:t>
      </w:r>
      <w:r w:rsidRPr="00803550">
        <w:rPr>
          <w:sz w:val="18"/>
          <w:szCs w:val="18"/>
        </w:rPr>
        <w:fldChar w:fldCharType="end"/>
      </w:r>
      <w:r w:rsidRPr="00803550">
        <w:rPr>
          <w:sz w:val="18"/>
          <w:szCs w:val="18"/>
        </w:rPr>
        <w:t>15</w:t>
      </w:r>
    </w:p>
  </w:footnote>
  <w:footnote w:id="46">
    <w:p w14:paraId="5753B7BB" w14:textId="77777777" w:rsidR="00803550" w:rsidRPr="00803550" w:rsidRDefault="00803550" w:rsidP="00803550">
      <w:pPr>
        <w:pStyle w:val="FootnoteText"/>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{"citationItems":[{"id":"ITEM-1","itemData":{"author":[{"dropping-particle":"","family":"Shidarta","given":"","non-dropping-particle":"","parse-names":false,"suffix":""}],"edition":"Edisi Revi","id":"ITEM-1","issued":{"date-parts":[["2006"]]},"publisher":"Grasindo","publisher-place":"Jakarta","title":"Hukum Perlindungan Konsumen Indonesia","type":"book"},"uris":["http://www.mendeley.com/documents/?uuid=4d95e4f6-5612-4300-9cc5-cf1303f0f35f"]}],"mendeley":{"formattedCitation":"Shidarta, &lt;i&gt;Hukum Perlindungan Konsumen Indonesia&lt;/i&gt;, Edisi Revi. (Jakarta: Grasindo, 2006).","manualFormatting":"Shidarta, Hukum Perlindungan Konsumen Indonesia, Edisi Revisi. (Jakarta: Grasindo, 2006), hlm.","plainTextFormattedCitation":"Shidarta, Hukum Perlindungan Konsumen Indonesia, Edisi Revi. (Jakarta: Grasindo, 2006).","previouslyFormattedCitation":"Shidarta, &lt;i&gt;Hukum Perlindungan Konsumen Indonesia&lt;/i&gt;, Edisi Revi. (Jakarta: Grasindo, 2006)."},"properties":{"noteIndex":110},"schema":"https://github.com/citation-style-language/schema/raw/master/csl-citation.json"}</w:instrText>
      </w:r>
      <w:r w:rsidRPr="00803550">
        <w:rPr>
          <w:sz w:val="18"/>
          <w:szCs w:val="18"/>
        </w:rPr>
        <w:fldChar w:fldCharType="separate"/>
      </w:r>
      <w:r w:rsidRPr="00803550">
        <w:rPr>
          <w:noProof/>
          <w:sz w:val="18"/>
          <w:szCs w:val="18"/>
        </w:rPr>
        <w:t>Shidarta, Indonesian Consumer Protection Law, Revised Edition. (Jakarta: Grasindo, 2006), p.</w:t>
      </w:r>
      <w:r w:rsidRPr="00803550">
        <w:rPr>
          <w:sz w:val="18"/>
          <w:szCs w:val="18"/>
        </w:rPr>
        <w:fldChar w:fldCharType="end"/>
      </w:r>
      <w:r w:rsidRPr="00803550">
        <w:rPr>
          <w:sz w:val="18"/>
          <w:szCs w:val="18"/>
        </w:rPr>
        <w:t>50</w:t>
      </w:r>
    </w:p>
  </w:footnote>
  <w:footnote w:id="47">
    <w:p w14:paraId="41BC5C6C" w14:textId="77777777" w:rsidR="00803550" w:rsidRPr="00803550" w:rsidRDefault="00803550" w:rsidP="00803550">
      <w:pPr>
        <w:pStyle w:val="FootnoteText"/>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{"citationItems":[{"id":"ITEM-1","itemData":{"author":[{"dropping-particle":"","family":"Shidarta","given":"","non-dropping-particle":"","parse-names":false,"suffix":""}],"edition":"Edisi Revi","id":"ITEM-1","issued":{"date-parts":[["2006"]]},"publisher":"Grasindo","publisher-place":"Jakarta","title":"Hukum Perlindungan Konsumen Indonesia","type":"book"},"uris":["http://www.mendeley.com/documents/?uuid=4d95e4f6-5612-4300-9cc5-cf1303f0f35f"]}],"mendeley":{"formattedCitation":"Ibid.","plainTextFormattedCitation":"Ibid.","previouslyFormattedCitation":"Ibid."},"properties":{"noteIndex":111},"schema":"https://github.com/citation-style-language/schema/raw/master/csl-citation.json"}</w:instrText>
      </w:r>
      <w:r w:rsidRPr="00803550">
        <w:rPr>
          <w:sz w:val="18"/>
          <w:szCs w:val="18"/>
        </w:rPr>
        <w:fldChar w:fldCharType="separate"/>
      </w:r>
      <w:r w:rsidRPr="00803550">
        <w:rPr>
          <w:noProof/>
          <w:sz w:val="18"/>
          <w:szCs w:val="18"/>
        </w:rPr>
        <w:t>Ibid.</w:t>
      </w:r>
      <w:r w:rsidRPr="00803550">
        <w:rPr>
          <w:sz w:val="18"/>
          <w:szCs w:val="18"/>
        </w:rPr>
        <w:fldChar w:fldCharType="end"/>
      </w:r>
    </w:p>
  </w:footnote>
  <w:footnote w:id="48">
    <w:p w14:paraId="72326CC1" w14:textId="77777777" w:rsidR="00803550" w:rsidRPr="00803550" w:rsidRDefault="00803550" w:rsidP="00803550">
      <w:pPr>
        <w:pStyle w:val="FootnoteText"/>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{"citationItems":[{"id":"ITEM-1","itemData":{"author":[{"dropping-particle":"","family":"Shidarta","given":"","non-dropping-particle":"","parse-names":false,"suffix":""}],"edition":"Edisi Revi","id":"ITEM-1","issued":{"date-parts":[["2006"]]},"publisher":"Grasindo","publisher-place":"Jakarta","title":"Hukum Perlindungan Konsumen Indonesia","type":"book"},"uris":["http://www.mendeley.com/documents/?uuid=4d95e4f6-5612-4300-9cc5-cf1303f0f35f"]}],"mendeley":{"formattedCitation":"Ibid.","plainTextFormattedCitation":"Ibid.","previouslyFormattedCitation":"Ibid."},"properties":{"noteIndex":112},"schema":"https://github.com/citation-style-language/schema/raw/master/csl-citation.json"}</w:instrText>
      </w:r>
      <w:r w:rsidRPr="00803550">
        <w:rPr>
          <w:sz w:val="18"/>
          <w:szCs w:val="18"/>
        </w:rPr>
        <w:fldChar w:fldCharType="separate"/>
      </w:r>
      <w:r w:rsidRPr="00803550">
        <w:rPr>
          <w:noProof/>
          <w:sz w:val="18"/>
          <w:szCs w:val="18"/>
        </w:rPr>
        <w:t>Ibid.</w:t>
      </w:r>
      <w:r w:rsidRPr="00803550">
        <w:rPr>
          <w:sz w:val="18"/>
          <w:szCs w:val="18"/>
        </w:rPr>
        <w:fldChar w:fldCharType="end"/>
      </w:r>
    </w:p>
  </w:footnote>
  <w:footnote w:id="49">
    <w:p w14:paraId="138319EF" w14:textId="77777777" w:rsidR="00803550" w:rsidRPr="00803550" w:rsidRDefault="00803550" w:rsidP="00803550">
      <w:pPr>
        <w:pStyle w:val="FootnoteText"/>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{"citationItems":[{"id":"ITEM-1","itemData":{"author":[{"dropping-particle":"","family":"Shidarta","given":"","non-dropping-particle":"","parse-names":false,"suffix":""}],"edition":"Edisi Revi","id":"ITEM-1","issued":{"date-parts":[["2006"]]},"publisher":"Grasindo","publisher-place":"Jakarta","title":"Hukum Perlindungan Konsumen Indonesia","type":"book"},"uris":["http://www.mendeley.com/documents/?uuid=4d95e4f6-5612-4300-9cc5-cf1303f0f35f"]}],"mendeley":{"formattedCitation":"Ibid.","plainTextFormattedCitation":"Ibid.","previouslyFormattedCitation":"Ibid."},"properties":{"noteIndex":113},"schema":"https://github.com/citation-style-language/schema/raw/master/csl-citation.json"}</w:instrText>
      </w:r>
      <w:r w:rsidRPr="00803550">
        <w:rPr>
          <w:sz w:val="18"/>
          <w:szCs w:val="18"/>
        </w:rPr>
        <w:fldChar w:fldCharType="separate"/>
      </w:r>
      <w:r w:rsidRPr="00803550">
        <w:rPr>
          <w:noProof/>
          <w:sz w:val="18"/>
          <w:szCs w:val="18"/>
        </w:rPr>
        <w:t>Ibid.</w:t>
      </w:r>
      <w:r w:rsidRPr="00803550">
        <w:rPr>
          <w:sz w:val="18"/>
          <w:szCs w:val="18"/>
        </w:rPr>
        <w:fldChar w:fldCharType="end"/>
      </w:r>
    </w:p>
  </w:footnote>
  <w:footnote w:id="50">
    <w:p w14:paraId="27869601" w14:textId="77777777" w:rsidR="00803550" w:rsidRPr="00803550" w:rsidRDefault="00803550" w:rsidP="00803550">
      <w:pPr>
        <w:autoSpaceDE w:val="0"/>
        <w:autoSpaceDN w:val="0"/>
        <w:adjustRightInd w:val="0"/>
        <w:ind w:firstLine="567"/>
        <w:rPr>
          <w:sz w:val="18"/>
          <w:szCs w:val="18"/>
          <w:lang w:eastAsia="zh-CN"/>
        </w:rPr>
      </w:pPr>
      <w:r w:rsidRPr="00803550">
        <w:rPr>
          <w:rStyle w:val="FootnoteReference"/>
          <w:sz w:val="18"/>
          <w:szCs w:val="18"/>
          <w:lang w:eastAsia="zh-CN"/>
        </w:rPr>
        <w:footnoteRef/>
      </w:r>
      <w:r w:rsidRPr="00803550">
        <w:rPr>
          <w:sz w:val="18"/>
          <w:szCs w:val="18"/>
          <w:lang w:eastAsia="zh-CN"/>
        </w:rPr>
        <w:t>Minutes of Meeting of the Discussion Process of the Bill on Consumer Protection Session Year 1998/1999 Session Period III on Friday, February 26, 1999.</w:t>
      </w:r>
    </w:p>
  </w:footnote>
  <w:footnote w:id="51">
    <w:p w14:paraId="71357655" w14:textId="77777777" w:rsidR="00803550" w:rsidRPr="00803550" w:rsidRDefault="00803550" w:rsidP="00803550">
      <w:pPr>
        <w:pStyle w:val="FootnoteText"/>
        <w:ind w:firstLine="567"/>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{"citationItems":[{"id":"ITEM-1","itemData":{"author":[{"dropping-particle":"","family":"Shidarta","given":"","non-dropping-particle":"","parse-names":false,"suffix":""}],"edition":"Edisi Revi","id":"ITEM-1","issued":{"date-parts":[["2006"]]},"publisher":"Grasindo","publisher-place":"Jakarta","title":"Hukum Perlindungan Konsumen Indonesia","type":"book"},"uris":["http://www.mendeley.com/documents/?uuid=4d95e4f6-5612-4300-9cc5-cf1303f0f35f"]}],"mendeley":{"formattedCitation":"Shidarta, &lt;i&gt;Hukum Perlindungan Konsumen Indonesia&lt;/i&gt;.","manualFormatting":"Shidarta, Hukum Perlindungan Konsumen Indonesia, Edisi Revisi (Jakarta: Grasindo, 2006), hlm.","plainTextFormattedCitation":"Shidarta, Hukum Perlindungan Konsumen Indonesia.","previouslyFormattedCitation":"Shidarta, &lt;i&gt;Hukum Perlindungan Konsumen Indonesia&lt;/i&gt;."},"properties":{"noteIndex":115},"schema":"https://github.com/citation-style-language/schema/raw/master/csl-citation.json"}</w:instrText>
      </w:r>
      <w:r w:rsidRPr="00803550">
        <w:rPr>
          <w:sz w:val="18"/>
          <w:szCs w:val="18"/>
        </w:rPr>
        <w:fldChar w:fldCharType="separate"/>
      </w:r>
      <w:r w:rsidRPr="00803550">
        <w:rPr>
          <w:noProof/>
          <w:sz w:val="18"/>
          <w:szCs w:val="18"/>
        </w:rPr>
        <w:t>Shidarta, Indonesian Consumer Protection Law, Revised Edition (Jakarta: Grasindo, 2006), p.</w:t>
      </w:r>
      <w:r w:rsidRPr="00803550">
        <w:rPr>
          <w:sz w:val="18"/>
          <w:szCs w:val="18"/>
        </w:rPr>
        <w:fldChar w:fldCharType="end"/>
      </w:r>
      <w:r w:rsidRPr="00803550">
        <w:rPr>
          <w:sz w:val="18"/>
          <w:szCs w:val="18"/>
        </w:rPr>
        <w:t>52</w:t>
      </w:r>
    </w:p>
  </w:footnote>
  <w:footnote w:id="52">
    <w:p w14:paraId="2B099025" w14:textId="77777777" w:rsidR="00803550" w:rsidRPr="00803550" w:rsidRDefault="00803550" w:rsidP="00803550">
      <w:pPr>
        <w:pStyle w:val="FootnoteText"/>
        <w:ind w:firstLine="567"/>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{"citationItems":[{"id":"ITEM-1","itemData":{"author":[{"dropping-particle":"","family":"Suparman Marzuki","given":"","non-dropping-particle":"","parse-names":false,"suffix":""}],"id":"ITEM-1","issued":{"date-parts":[["2010"]]},"publisher":"Program Studi Hukum Program Doktor Fakultas Hukum Universitas Islam Indonesia","publisher-place":"Yogyakarta","title":"POLITIK HUKUM HAK ASASI MANUSIA (HAM) DI INDONESIA PADA ERA REFORMASI Studi tentang Penegakan Hukum HAM dalam Penyelesaian Pelanggaran HAM Masa Lalu","type":"book"},"uris":["http://www.mendeley.com/documents/?uuid=0395cb33-ef4b-4355-ab85-a10604e22a74"]}],"mendeley":{"formattedCitation":"Suparman Marzuki, &lt;i&gt;POLITIK HUKUM HAK ASASI MANUSIA (HAM) DI INDONESIA PADA ERA REFORMASI Studi Tentang Penegakan Hukum HAM Dalam Penyelesaian Pelanggaran HAM Masa Lalu&lt;/i&gt; (Yogyakarta: Program Studi Hukum Program Doktor Fakultas Hukum Universitas Islam Indonesia, 2010).","manualFormatting":"Suparman Marzuki, Politik Hukum Hak Asasi Manusia (HAM) Di Indonesia Pada Era Reformasi: Studi Tentang Penegakan Hukum HAM Dalam Penyelesaian Pelanggaran HAM Masa Lalu (Yogyakarta: Program Studi Hukum Program Doktor Fakultas Hukum Universitas Islam Indonesia, 2010), hlm.","plainTextFormattedCitation":"Suparman Marzuki, POLITIK HUKUM HAK ASASI MANUSIA (HAM) DI INDONESIA PADA ERA REFORMASI Studi Tentang Penegakan Hukum HAM Dalam Penyelesaian Pelanggaran HAM Masa Lalu (Yogyakarta: Program Studi Hukum Program Doktor Fakultas Hukum Universitas Islam Indonesia, 2010).","previouslyFormattedCitation":"Suparman Marzuki, &lt;i&gt;POLITIK HUKUM HAK ASASI MANUSIA (HAM) DI INDONESIA PADA ERA REFORMASI Studi Tentang Penegakan Hukum HAM Dalam Penyelesaian Pelanggaran HAM Masa Lalu&lt;/i&gt; (Yogyakarta: Program Studi Hukum Program Doktor Fakultas Hukum Universitas Islam Indonesia, 2010)."},"properties":{"noteIndex":116},"schema":"https://github.com/citation-style-language/schema/raw/master/csl-citation.json"}</w:instrText>
      </w:r>
      <w:r w:rsidRPr="00803550">
        <w:rPr>
          <w:sz w:val="18"/>
          <w:szCs w:val="18"/>
        </w:rPr>
        <w:fldChar w:fldCharType="separate"/>
      </w:r>
      <w:r w:rsidRPr="00803550">
        <w:rPr>
          <w:noProof/>
          <w:sz w:val="18"/>
          <w:szCs w:val="18"/>
        </w:rPr>
        <w:t>Suparman Marzuki, The Politics of Human Rights Law (HAM) in Indonesia in the Reformation Era: Studies on Upholding Human Rights Law in Settlement of Past Human Rights Violations (Yogyakarta: Legal Study Program, Doctoral Program, Faculty of Law, Indonesian Islamic University, 2010), p.</w:t>
      </w:r>
      <w:r w:rsidRPr="00803550">
        <w:rPr>
          <w:sz w:val="18"/>
          <w:szCs w:val="18"/>
        </w:rPr>
        <w:fldChar w:fldCharType="end"/>
      </w:r>
      <w:r w:rsidRPr="00803550">
        <w:rPr>
          <w:sz w:val="18"/>
          <w:szCs w:val="18"/>
        </w:rPr>
        <w:t>219</w:t>
      </w:r>
    </w:p>
  </w:footnote>
  <w:footnote w:id="53">
    <w:p w14:paraId="28EB9942" w14:textId="77777777" w:rsidR="00803550" w:rsidRPr="00803550" w:rsidRDefault="00803550" w:rsidP="00803550">
      <w:pPr>
        <w:pStyle w:val="FootnoteText"/>
        <w:ind w:firstLine="567"/>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{"citationItems":[{"id":"ITEM-1","itemData":{"author":[{"dropping-particle":"","family":"MD","given":"Moh Mahfud","non-dropping-particle":"","parse-names":false,"suffix":""}],"edition":"Cet. VIII","id":"ITEM-1","issued":{"date-parts":[["2019"]]},"publisher":"PT Rajagrafindo Persada","publisher-place":"Jakarta","title":"Politik Hukum di Indonesia","type":"book"},"uris":["http://www.mendeley.com/documents/?uuid=f7939ca2-813d-43c4-93c7-9010fc725983"]}],"mendeley":{"formattedCitation":"MD, &lt;i&gt;Politik Hukum Di Indonesia&lt;/i&gt;.","manualFormatting":"Moh Mahfud MD, Politik Hukum Di Indonesia, Cet. VIII. (Jakarta: PT Rajagrafindo Persada, 2019), hlm.","plainTextFormattedCitation":"MD, Politik Hukum Di Indonesia.","previouslyFormattedCitation":"Moh Mahfud MD, &lt;i&gt;Politik Hukum Di Indonesia&lt;/i&gt;, Cet. VIII. (Jakarta: PT Rajagrafindo Persada, 2019)."},"properties":{"noteIndex":117},"schema":"https://github.com/citation-style-language/schema/raw/master/csl-citation.json"}</w:instrText>
      </w:r>
      <w:r w:rsidRPr="00803550">
        <w:rPr>
          <w:sz w:val="18"/>
          <w:szCs w:val="18"/>
        </w:rPr>
        <w:fldChar w:fldCharType="separate"/>
      </w:r>
      <w:r w:rsidRPr="00803550">
        <w:rPr>
          <w:noProof/>
          <w:sz w:val="18"/>
          <w:szCs w:val="18"/>
        </w:rPr>
        <w:t>Moh Mahfud MD, Legal Politics in Indonesia, Cet. VIII. (Jakarta: PT Rajagrafindo Persada, 2019), p.</w:t>
      </w:r>
      <w:r w:rsidRPr="00803550">
        <w:rPr>
          <w:sz w:val="18"/>
          <w:szCs w:val="18"/>
        </w:rPr>
        <w:fldChar w:fldCharType="end"/>
      </w:r>
      <w:r w:rsidRPr="00803550">
        <w:rPr>
          <w:sz w:val="18"/>
          <w:szCs w:val="18"/>
        </w:rPr>
        <w:t>24</w:t>
      </w:r>
    </w:p>
  </w:footnote>
  <w:footnote w:id="54">
    <w:p w14:paraId="71634D31" w14:textId="77777777" w:rsidR="00803550" w:rsidRPr="00803550" w:rsidRDefault="00803550" w:rsidP="00803550">
      <w:pPr>
        <w:pStyle w:val="FootnoteText"/>
        <w:ind w:firstLine="567"/>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{"citationItems":[{"id":"ITEM-1","itemData":{"author":[{"dropping-particle":"","family":"MD","given":"Moh Mahfud","non-dropping-particle":"","parse-names":false,"suffix":""}],"edition":"Cet. VIII","id":"ITEM-1","issued":{"date-parts":[["2019"]]},"publisher":"PT Rajagrafindo Persada","publisher-place":"Jakarta","title":"Politik Hukum di Indonesia","type":"book"},"uris":["http://www.mendeley.com/documents/?uuid=f7939ca2-813d-43c4-93c7-9010fc725983"]}],"mendeley":{"formattedCitation":"Ibid.","plainTextFormattedCitation":"Ibid.","previouslyFormattedCitation":"Ibid."},"properties":{"noteIndex":118},"schema":"https://github.com/citation-style-language/schema/raw/master/csl-citation.json"}</w:instrText>
      </w:r>
      <w:r w:rsidRPr="00803550">
        <w:rPr>
          <w:sz w:val="18"/>
          <w:szCs w:val="18"/>
        </w:rPr>
        <w:fldChar w:fldCharType="separate"/>
      </w:r>
      <w:r w:rsidRPr="00803550">
        <w:rPr>
          <w:noProof/>
          <w:sz w:val="18"/>
          <w:szCs w:val="18"/>
        </w:rPr>
        <w:t>Ibid.</w:t>
      </w:r>
      <w:r w:rsidRPr="00803550">
        <w:rPr>
          <w:sz w:val="18"/>
          <w:szCs w:val="18"/>
        </w:rPr>
        <w:fldChar w:fldCharType="end"/>
      </w:r>
      <w:r w:rsidRPr="00803550">
        <w:rPr>
          <w:sz w:val="18"/>
          <w:szCs w:val="18"/>
        </w:rPr>
        <w:t>, p. 25</w:t>
      </w:r>
    </w:p>
  </w:footnote>
  <w:footnote w:id="55">
    <w:p w14:paraId="0995574D" w14:textId="77777777" w:rsidR="00803550" w:rsidRPr="00803550" w:rsidRDefault="00803550" w:rsidP="00803550">
      <w:pPr>
        <w:pStyle w:val="FootnoteText"/>
        <w:ind w:left="350" w:hanging="142"/>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{"citationItems":[{"id":"ITEM-1","itemData":{"abstract":"Abstract Keberadaan Badan Penyelesaian Sengketa Konsumen (BPSK) dalam menyelesaikan sengketa konsumen di Indonesia ternyata mengalami banyak kendala. Salah satunya adalah eksistensi BPSK dalam memutuskan suatu sengketa konsumen …","author":[{"dropping-particle":"","family":"Helmi","given":"Hanum Rahmaniar","non-dropping-particle":"","parse-names":false,"suffix":""}],"container-title":"Jurnal Hukum Acara Perdata ADHAPER","id":"ITEM-1","issue":"1","issued":{"date-parts":[["2015"]]},"page":"77-89","title":"Eksistensi Badan Penyelesaian Sengketa Konsumen Dalam Memutus Sengketa Konsumen Di Indonesia","type":"article-journal","volume":"1"},"uris":["http://www.mendeley.com/documents/?uuid=5f62d69b-58b7-4a3c-b1ce-cf9e8efbc651"]}],"mendeley":{"formattedCitation":"Hanum Rahmaniar Helmi, “Eksistensi Badan Penyelesaian Sengketa Konsumen Dalam Memutus Sengketa Konsumen Di Indonesia,” &lt;i&gt;Jurnal Hukum Acara Perdata ADHAPER&lt;/i&gt; 1, no. 1 (2015): 77–89.","plainTextFormattedCitation":"Hanum Rahmaniar Helmi, “Eksistensi Badan Penyelesaian Sengketa Konsumen Dalam Memutus Sengketa Konsumen Di Indonesia,” Jurnal Hukum Acara Perdata ADHAPER 1, no. 1 (2015): 77–89.","previouslyFormattedCitation":"Hanum Rahmaniar Helmi, “Eksistensi Badan Penyelesaian Sengketa Konsumen Dalam Memutus Sengketa Konsumen Di Indonesia,” &lt;i&gt;Jurnal Hukum Acara Perdata ADHAPER&lt;/i&gt; 1, no. 1 (2015): 77–89."},"properties":{"noteIndex":141},"schema":"https://github.com/citation-style-language/schema/raw/master/csl-citation.json"}</w:instrText>
      </w:r>
      <w:r w:rsidRPr="00803550">
        <w:rPr>
          <w:sz w:val="18"/>
          <w:szCs w:val="18"/>
        </w:rPr>
        <w:fldChar w:fldCharType="separate"/>
      </w:r>
      <w:r w:rsidRPr="00803550">
        <w:rPr>
          <w:noProof/>
          <w:sz w:val="18"/>
          <w:szCs w:val="18"/>
        </w:rPr>
        <w:t>Hanum Rahmaniar Helmi, "The Existence of a Consumer Dispute Settlement Agency in Resolving Consumer Disputes in Indonesia," Journal of Civil Procedure Law ADHAPER 1, no. 1 (2015): 77–89.</w:t>
      </w:r>
      <w:r w:rsidRPr="00803550">
        <w:rPr>
          <w:sz w:val="18"/>
          <w:szCs w:val="18"/>
        </w:rPr>
        <w:fldChar w:fldCharType="end"/>
      </w:r>
      <w:r w:rsidRPr="00803550">
        <w:rPr>
          <w:sz w:val="18"/>
          <w:szCs w:val="18"/>
        </w:rPr>
        <w:t>, p. 83</w:t>
      </w:r>
    </w:p>
  </w:footnote>
  <w:footnote w:id="56">
    <w:p w14:paraId="4142DA3F" w14:textId="77777777" w:rsidR="00803550" w:rsidRPr="00803550" w:rsidRDefault="00803550" w:rsidP="00803550">
      <w:pPr>
        <w:pStyle w:val="FootnoteText"/>
        <w:ind w:left="350" w:hanging="142"/>
        <w:rPr>
          <w:sz w:val="18"/>
          <w:szCs w:val="18"/>
        </w:rPr>
      </w:pPr>
      <w:r w:rsidRPr="00803550">
        <w:rPr>
          <w:rStyle w:val="FootnoteReference"/>
          <w:sz w:val="18"/>
          <w:szCs w:val="18"/>
        </w:rPr>
        <w:footnoteRef/>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{"citationItems":[{"id":"ITEM-1","itemData":{"DOI":"10.20884/1.jdh.2012.12.1.113","ISSN":"1410-0797","abstract":"Consumer dispute can be resolved through on courts or outside the court based on voluntary choice of the parties. Settlement of dispute through the court provisions on the article 45. Dispute of the settlement can be solved out the court by using Consumer Dispute Settlement Body (BPSK).The purpose of establshing BPSK is to protec consumer and producer by designing consumer protection system that contain legal certainty and transparency the information. The existence of BPSK expected equality of justice especially to consumer that aggrieved by consumer. It because the dispute between consumer and producer generally involved in small value so that the consumer hesitate to registered his case to judicial process. There is no adequate between the court fee and indemnification perceived. The problems that the decision of BPSK has characteristic final and binding however it can be carried out to the district court and the decision cannot be executed directly or realized.  Keywords: consumers right, consumer’s protection, dispute resolution. ","author":[{"dropping-particle":"","family":"Kurniawan","given":"Kurniawan","non-dropping-particle":"","parse-names":false,"suffix":""}],"container-title":"Jurnal Dinamika Hukum","id":"ITEM-1","issue":"1","issued":{"date-parts":[["2012"]]},"page":"160-172","title":"Permasalahan Dan Kendala Penyelesaian Sengketa Konsumen Melalui Badan Penyelesaian Sengketa Konsumen (Bpsk)","type":"article-journal","volume":"12"},"uris":["http://www.mendeley.com/documents/?uuid=be1cb7fd-74f9-48e0-ae44-d1e64c65e990"]}],"mendeley":{"formattedCitation":"Kurniawan, “Permasalahan Dan Kendala Penyelesaian Sengketa Konsumen Melalui Badan Penyelesaian Sengketa Konsumen (Bpsk).”","plainTextFormattedCitation":"Kurniawan, “Permasalahan Dan Kendala Penyelesaian Sengketa Konsumen Melalui Badan Penyelesaian Sengketa Konsumen (Bpsk).”","previouslyFormattedCitation":"Kurniawan, “Permasalahan Dan Kendala Penyelesaian Sengketa Konsumen Melalui Badan Penyelesaian Sengketa Konsumen (Bpsk).”"},"properties":{"noteIndex":142},"schema":"https://github.com/citation-style-language/schema/raw/master/csl-citation.json"}</w:instrText>
      </w:r>
      <w:r w:rsidRPr="00803550">
        <w:rPr>
          <w:sz w:val="18"/>
          <w:szCs w:val="18"/>
        </w:rPr>
        <w:fldChar w:fldCharType="separate"/>
      </w:r>
      <w:r w:rsidRPr="00803550">
        <w:rPr>
          <w:noProof/>
          <w:sz w:val="18"/>
          <w:szCs w:val="18"/>
        </w:rPr>
        <w:t>Kurniawan, "Problems and Obstacles in Consumer Dispute Resolution through the Consumer Dispute Resolution Agency (Bpsk)."</w:t>
      </w:r>
      <w:r w:rsidRPr="00803550">
        <w:rPr>
          <w:sz w:val="18"/>
          <w:szCs w:val="18"/>
        </w:rPr>
        <w:fldChar w:fldCharType="end"/>
      </w:r>
      <w:r w:rsidRPr="00803550">
        <w:rPr>
          <w:sz w:val="18"/>
          <w:szCs w:val="18"/>
        </w:rPr>
        <w:t>, p. 162</w:t>
      </w:r>
    </w:p>
  </w:footnote>
  <w:footnote w:id="57">
    <w:p w14:paraId="3CBB8259" w14:textId="77777777" w:rsidR="00803550" w:rsidRPr="00803550" w:rsidRDefault="00803550" w:rsidP="00803550">
      <w:pPr>
        <w:pStyle w:val="FootnoteText"/>
        <w:ind w:left="350" w:hanging="142"/>
        <w:rPr>
          <w:sz w:val="18"/>
          <w:szCs w:val="18"/>
        </w:rPr>
      </w:pPr>
      <w:r w:rsidRPr="00803550">
        <w:rPr>
          <w:rStyle w:val="FootnoteReference"/>
          <w:sz w:val="18"/>
          <w:szCs w:val="18"/>
        </w:rPr>
        <w:footnoteRef/>
      </w:r>
      <w:r w:rsidRPr="00803550">
        <w:rPr>
          <w:sz w:val="18"/>
          <w:szCs w:val="18"/>
        </w:rPr>
        <w:t>To see the difference between BPSK and SCC, SCT can be read in</w:t>
      </w:r>
      <w:r w:rsidRPr="00803550">
        <w:rPr>
          <w:sz w:val="18"/>
          <w:szCs w:val="18"/>
        </w:rPr>
        <w:fldChar w:fldCharType="begin" w:fldLock="1"/>
      </w:r>
      <w:r w:rsidRPr="00803550">
        <w:rPr>
          <w:sz w:val="18"/>
          <w:szCs w:val="18"/>
        </w:rPr>
        <w:instrText>ADDIN CSL_CITATION {"citationItems":[{"id":"ITEM-1","itemData":{"DOI":"10.5901/mjss.2017.v8n3p327","abstract":"Since 2001, based on the mandate of Article 49 paragraph (1) of Law no. 8 of 1999 on Consumer Protection, BPSK (Badan Penyelesaian Sengketa Konsumen/Consumer Dispute Resolution Institution) has been established based on Presidential Decree No. 90/2001 on the establishment of BPSK in several cities in Indonesia. In some countries that embrace the Anglo Saxon legal system, consumer dispute cases are resolved by an institution called The Small Claims Court (SCC) and The Small Claims Tribunal (SCT). The difference in settlement through three institutions is that BPSK is a formal institution which resolves small disputes with low-cost, but does not limit the size of the lawsuit filed by consumers. On the other hand, SCT provides clear restrictions on claims that can be filed by consumers. At the completion done by SCC, the assemblies that resolved the case come from active and retired judges, while in BPSK the assemblies come from government, businessman and consumer with different backgrounds.","author":[{"dropping-particle":"","family":"Kurniawan","given":"","non-dropping-particle":"","parse-names":false,"suffix":""}],"container-title":"Mediterranean Journal of Social Sciences","id":"ITEM-1","issue":"3","issued":{"date-parts":[["2017"]]},"page":"327-333","title":"Consumer Dispute Resolution: A Comparative Study between Indonesia and Common Law System Countries","type":"article-journal","volume":"8"},"uris":["http://www.mendeley.com/documents/?uuid=65885c95-787a-40a6-9d8b-e4854c4b6898"]}],"mendeley":{"formattedCitation":"Kurniawan, “Consumer Dispute Resolution: A Comparative Study between Indonesia and Common Law System Countries.”","plainTextFormattedCitation":"Kurniawan, “Consumer Dispute Resolution: A Comparative Study between Indonesia and Common Law System Countries.”","previouslyFormattedCitation":"Kurniawan, “Consumer Dispute Resolution: A Comparative Study between Indonesia and Common Law System Countries.”"},"properties":{"noteIndex":143},"schema":"https://github.com/citation-style-language/schema/raw/master/csl-citation.json"}</w:instrText>
      </w:r>
      <w:r w:rsidRPr="00803550">
        <w:rPr>
          <w:sz w:val="18"/>
          <w:szCs w:val="18"/>
        </w:rPr>
        <w:fldChar w:fldCharType="separate"/>
      </w:r>
      <w:r w:rsidRPr="00803550">
        <w:rPr>
          <w:noProof/>
          <w:sz w:val="18"/>
          <w:szCs w:val="18"/>
        </w:rPr>
        <w:t>Kurniawan, "Consumer Dispute Resolution: A Comparative Study between Indonesia and Common Law System Countries."</w:t>
      </w:r>
      <w:r w:rsidRPr="00803550">
        <w:rPr>
          <w:sz w:val="18"/>
          <w:szCs w:val="18"/>
        </w:rPr>
        <w:fldChar w:fldCharType="end"/>
      </w:r>
      <w:r w:rsidRPr="00803550">
        <w:rPr>
          <w:sz w:val="18"/>
          <w:szCs w:val="18"/>
        </w:rPr>
        <w:t xml:space="preserve"> </w:t>
      </w:r>
      <w:r w:rsidRPr="00803550">
        <w:rPr>
          <w:sz w:val="18"/>
          <w:szCs w:val="18"/>
        </w:rPr>
        <w:fldChar w:fldCharType="begin" w:fldLock="1"/>
      </w:r>
      <w:r w:rsidRPr="00803550">
        <w:rPr>
          <w:sz w:val="18"/>
          <w:szCs w:val="18"/>
        </w:rPr>
        <w:instrText>ADDIN CSL_CITATION {"citationItems":[{"id":"ITEM-1","itemData":{"DOI":"10.21143/jhp.vol44.no2.23","ISSN":"0125-9687","abstract":"Sejak tahun 2001, di Indonesia sesuai dengan amanat Pasal 49 ayat (1) Undang-Undang No. 8 Tahun 1999 tentang Perlindungan Konsumen, telah dibentuk Badan Penyelesaian Sengketa Konsumen (BPSK) berdasarkan Keputusan Presiden Nomor 90 Tahun 2001 tentang Pembentukan BPSK pada beberapa kota di Indonesia. Di beberapa Negara yang menganut Common Law System, kasus-kasus sengketa konsumen diselesaikan oleh lembaga yang disebut The Small Claims Court (SCC) dan The Small Claims Tribunal (SCT). Perbedaan penyelesaian melalui BPSK dengan SCC dan SCT adalah BPSK menyelesaikan sengketa konsumen yang berskala kecil, formal dan biaya murah, namun tidak membatasi besar gugatan yang diajukan konsumen, sedangkan SCT memberikan batasan yang jelas mengenai gugatan yang dapat diajukan oleh konsumen. Pada penyelesaian model SCC, majelis yang menyelesaikan perkara berasal dari unsur hakim aktif dan pensiunan, sedangkan pada BPSK majelis berasal dari unsur pemerintah, pelaku usaha dan konsumen dengan latar belakang yang berbeda-beda.","author":[{"dropping-particle":"","family":"Kurniawan","given":"Kurniawan","non-dropping-particle":"","parse-names":false,"suffix":""}],"container-title":"Jurnal Hukum &amp; Pembangunan","id":"ITEM-1","issue":"2","issued":{"date-parts":[["2014"]]},"page":"269","title":"Perbandingan Penyelesaian Sengketa Konsumen Di Indonesia Dengan Negara-Negara Common Law System","type":"article-journal","volume":"44"},"uris":["http://www.mendeley.com/documents/?uuid=b3bc7ef3-1060-4f4e-a391-fd0638583041"]}],"mendeley":{"formattedCitation":"Kurniawan, “Perbandingan Penyelesaian Sengketa Konsumen Di Indonesia Dengan Negara-Negara Common Law System.”","plainTextFormattedCitation":"Kurniawan, “Perbandingan Penyelesaian Sengketa Konsumen Di Indonesia Dengan Negara-Negara Common Law System.”","previouslyFormattedCitation":"Kurniawan, “Perbandingan Penyelesaian Sengketa Konsumen Di Indonesia Dengan Negara-Negara Common Law System.”"},"properties":{"noteIndex":143},"schema":"https://github.com/citation-style-language/schema/raw/master/csl-citation.json"}</w:instrText>
      </w:r>
      <w:r w:rsidRPr="00803550">
        <w:rPr>
          <w:sz w:val="18"/>
          <w:szCs w:val="18"/>
        </w:rPr>
        <w:fldChar w:fldCharType="separate"/>
      </w:r>
      <w:r w:rsidRPr="00803550">
        <w:rPr>
          <w:noProof/>
          <w:sz w:val="18"/>
          <w:szCs w:val="18"/>
        </w:rPr>
        <w:t>Kurniawan, "Comparison of Consumer Dispute Resolution in Indonesia with Common Law System Countries."</w:t>
      </w:r>
      <w:r w:rsidRPr="00803550">
        <w:rPr>
          <w:sz w:val="18"/>
          <w:szCs w:val="18"/>
        </w:rPr>
        <w:fldChar w:fldCharType="end"/>
      </w:r>
    </w:p>
  </w:footnote>
  <w:footnote w:id="58">
    <w:p w14:paraId="0084538C" w14:textId="77777777" w:rsidR="00803550" w:rsidRPr="00803550" w:rsidRDefault="00803550" w:rsidP="00803550">
      <w:pPr>
        <w:pStyle w:val="FootnoteText"/>
        <w:ind w:left="142" w:hanging="142"/>
        <w:rPr>
          <w:sz w:val="18"/>
          <w:szCs w:val="18"/>
          <w:lang w:val="en-GB"/>
        </w:rPr>
      </w:pPr>
      <w:r w:rsidRPr="00803550">
        <w:rPr>
          <w:rStyle w:val="FootnoteReference"/>
          <w:sz w:val="18"/>
          <w:szCs w:val="18"/>
        </w:rPr>
        <w:footnoteRef/>
      </w:r>
      <w:r w:rsidRPr="00803550">
        <w:rPr>
          <w:sz w:val="18"/>
          <w:szCs w:val="18"/>
        </w:rPr>
        <w:t>Supreme Court, Indonesian Center for Law and Policy Studies (PSHK), and Institute for Research and Advocacy for Judicial Independence (LeIP), Pocket Book of Simple Claims, Jakarta: tp, 2015, p. 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443A"/>
    <w:multiLevelType w:val="multilevel"/>
    <w:tmpl w:val="85DCD3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02BCD"/>
    <w:multiLevelType w:val="multilevel"/>
    <w:tmpl w:val="3ADECA72"/>
    <w:lvl w:ilvl="0">
      <w:start w:val="1"/>
      <w:numFmt w:val="decimal"/>
      <w:lvlText w:val="%1."/>
      <w:lvlJc w:val="left"/>
      <w:pPr>
        <w:tabs>
          <w:tab w:val="num" w:pos="0"/>
        </w:tabs>
        <w:ind w:left="502"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3A706B8"/>
    <w:multiLevelType w:val="hybridMultilevel"/>
    <w:tmpl w:val="A4DE7DB6"/>
    <w:lvl w:ilvl="0" w:tplc="FFFFFFFF">
      <w:start w:val="1"/>
      <w:numFmt w:val="decimal"/>
      <w:lvlText w:val="%1)"/>
      <w:lvlJc w:val="left"/>
      <w:pPr>
        <w:ind w:left="2280" w:hanging="360"/>
      </w:pPr>
    </w:lvl>
    <w:lvl w:ilvl="1" w:tplc="FFFFFFFF" w:tentative="1">
      <w:start w:val="1"/>
      <w:numFmt w:val="lowerLetter"/>
      <w:lvlText w:val="%2."/>
      <w:lvlJc w:val="left"/>
      <w:pPr>
        <w:ind w:left="3000" w:hanging="360"/>
      </w:pPr>
    </w:lvl>
    <w:lvl w:ilvl="2" w:tplc="FFFFFFFF" w:tentative="1">
      <w:start w:val="1"/>
      <w:numFmt w:val="lowerRoman"/>
      <w:lvlText w:val="%3."/>
      <w:lvlJc w:val="right"/>
      <w:pPr>
        <w:ind w:left="3720" w:hanging="180"/>
      </w:pPr>
    </w:lvl>
    <w:lvl w:ilvl="3" w:tplc="FFFFFFFF" w:tentative="1">
      <w:start w:val="1"/>
      <w:numFmt w:val="decimal"/>
      <w:lvlText w:val="%4."/>
      <w:lvlJc w:val="left"/>
      <w:pPr>
        <w:ind w:left="4440" w:hanging="360"/>
      </w:pPr>
    </w:lvl>
    <w:lvl w:ilvl="4" w:tplc="FFFFFFFF" w:tentative="1">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3" w15:restartNumberingAfterBreak="0">
    <w:nsid w:val="45A76D45"/>
    <w:multiLevelType w:val="hybridMultilevel"/>
    <w:tmpl w:val="857A3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D17045"/>
    <w:multiLevelType w:val="multilevel"/>
    <w:tmpl w:val="A216C292"/>
    <w:lvl w:ilvl="0">
      <w:start w:val="1"/>
      <w:numFmt w:val="upperLetter"/>
      <w:pStyle w:val="Subbab"/>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5" w15:restartNumberingAfterBreak="0">
    <w:nsid w:val="51FF62DB"/>
    <w:multiLevelType w:val="multilevel"/>
    <w:tmpl w:val="8A964010"/>
    <w:lvl w:ilvl="0">
      <w:start w:val="1"/>
      <w:numFmt w:val="decimal"/>
      <w:lvlText w:val="%1."/>
      <w:lvlJc w:val="left"/>
      <w:pPr>
        <w:tabs>
          <w:tab w:val="num" w:pos="0"/>
        </w:tabs>
        <w:ind w:left="1080" w:hanging="720"/>
      </w:pPr>
    </w:lvl>
    <w:lvl w:ilvl="1">
      <w:start w:val="1"/>
      <w:numFmt w:val="lowerLetter"/>
      <w:lvlText w:val="%2."/>
      <w:lvlJc w:val="left"/>
      <w:pPr>
        <w:tabs>
          <w:tab w:val="num" w:pos="0"/>
        </w:tabs>
        <w:ind w:left="1575" w:hanging="495"/>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61DD257B"/>
    <w:multiLevelType w:val="hybridMultilevel"/>
    <w:tmpl w:val="75604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FE037F"/>
    <w:multiLevelType w:val="hybridMultilevel"/>
    <w:tmpl w:val="AE686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3E37C5"/>
    <w:multiLevelType w:val="hybridMultilevel"/>
    <w:tmpl w:val="573C0AB6"/>
    <w:lvl w:ilvl="0" w:tplc="56B00AD2">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9" w15:restartNumberingAfterBreak="0">
    <w:nsid w:val="656A7203"/>
    <w:multiLevelType w:val="multilevel"/>
    <w:tmpl w:val="8608796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15:restartNumberingAfterBreak="0">
    <w:nsid w:val="69146C0C"/>
    <w:multiLevelType w:val="hybridMultilevel"/>
    <w:tmpl w:val="72801B7A"/>
    <w:lvl w:ilvl="0" w:tplc="F7E80E88">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69CD25CF"/>
    <w:multiLevelType w:val="multilevel"/>
    <w:tmpl w:val="BBC4CBD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E9646E2"/>
    <w:multiLevelType w:val="multilevel"/>
    <w:tmpl w:val="73203070"/>
    <w:lvl w:ilvl="0">
      <w:start w:val="1"/>
      <w:numFmt w:val="decimal"/>
      <w:lvlText w:val="%1."/>
      <w:lvlJc w:val="left"/>
      <w:pPr>
        <w:tabs>
          <w:tab w:val="num" w:pos="0"/>
        </w:tabs>
        <w:ind w:left="1080" w:hanging="720"/>
      </w:pPr>
      <w:rPr>
        <w:rFonts w:hint="default"/>
      </w:rPr>
    </w:lvl>
    <w:lvl w:ilvl="1">
      <w:start w:val="1"/>
      <w:numFmt w:val="decimal"/>
      <w:lvlText w:val="%2)"/>
      <w:lvlJc w:val="left"/>
      <w:pPr>
        <w:tabs>
          <w:tab w:val="num" w:pos="0"/>
        </w:tabs>
        <w:ind w:left="1440" w:hanging="36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74E95FA1"/>
    <w:multiLevelType w:val="hybridMultilevel"/>
    <w:tmpl w:val="BBECBCE4"/>
    <w:lvl w:ilvl="0" w:tplc="38090019">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4" w15:restartNumberingAfterBreak="0">
    <w:nsid w:val="786B029E"/>
    <w:multiLevelType w:val="hybridMultilevel"/>
    <w:tmpl w:val="32D4731C"/>
    <w:lvl w:ilvl="0" w:tplc="38090015">
      <w:start w:val="1"/>
      <w:numFmt w:val="upp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5" w15:restartNumberingAfterBreak="0">
    <w:nsid w:val="7FA37125"/>
    <w:multiLevelType w:val="hybridMultilevel"/>
    <w:tmpl w:val="F12CE522"/>
    <w:lvl w:ilvl="0" w:tplc="D67CF56C">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num w:numId="1" w16cid:durableId="1999534742">
    <w:abstractNumId w:val="12"/>
  </w:num>
  <w:num w:numId="2" w16cid:durableId="427965965">
    <w:abstractNumId w:val="4"/>
  </w:num>
  <w:num w:numId="3" w16cid:durableId="145905796">
    <w:abstractNumId w:val="1"/>
  </w:num>
  <w:num w:numId="4" w16cid:durableId="35938171">
    <w:abstractNumId w:val="5"/>
  </w:num>
  <w:num w:numId="5" w16cid:durableId="1526403022">
    <w:abstractNumId w:val="12"/>
    <w:lvlOverride w:ilvl="0">
      <w:startOverride w:val="1"/>
      <w:lvl w:ilvl="0">
        <w:start w:val="1"/>
        <w:numFmt w:val="decimal"/>
        <w:lvlText w:val=""/>
        <w:lvlJc w:val="left"/>
      </w:lvl>
    </w:lvlOverride>
    <w:lvlOverride w:ilvl="1">
      <w:startOverride w:val="1"/>
      <w:lvl w:ilvl="1">
        <w:start w:val="1"/>
        <w:numFmt w:val="lowerLetter"/>
        <w:lvlText w:val="%2."/>
        <w:lvlJc w:val="left"/>
        <w:pPr>
          <w:tabs>
            <w:tab w:val="num" w:pos="0"/>
          </w:tabs>
          <w:ind w:left="1575" w:hanging="495"/>
        </w:pPr>
      </w:lvl>
    </w:lvlOverride>
    <w:lvlOverride w:ilvl="2">
      <w:startOverride w:val="1"/>
      <w:lvl w:ilvl="2">
        <w:start w:val="1"/>
        <w:numFmt w:val="lowerRoman"/>
        <w:lvlText w:val="%3."/>
        <w:lvlJc w:val="right"/>
        <w:pPr>
          <w:tabs>
            <w:tab w:val="num" w:pos="0"/>
          </w:tabs>
          <w:ind w:left="2160" w:hanging="180"/>
        </w:pPr>
      </w:lvl>
    </w:lvlOverride>
    <w:lvlOverride w:ilvl="3">
      <w:startOverride w:val="1"/>
      <w:lvl w:ilvl="3">
        <w:start w:val="1"/>
        <w:numFmt w:val="decimal"/>
        <w:lvlText w:val="%4."/>
        <w:lvlJc w:val="left"/>
        <w:pPr>
          <w:tabs>
            <w:tab w:val="num" w:pos="0"/>
          </w:tabs>
          <w:ind w:left="2880" w:hanging="360"/>
        </w:pPr>
      </w:lvl>
    </w:lvlOverride>
    <w:lvlOverride w:ilvl="4">
      <w:startOverride w:val="1"/>
      <w:lvl w:ilvl="4">
        <w:start w:val="1"/>
        <w:numFmt w:val="lowerLetter"/>
        <w:lvlText w:val="%5."/>
        <w:lvlJc w:val="left"/>
        <w:pPr>
          <w:tabs>
            <w:tab w:val="num" w:pos="0"/>
          </w:tabs>
          <w:ind w:left="3600" w:hanging="360"/>
        </w:pPr>
      </w:lvl>
    </w:lvlOverride>
    <w:lvlOverride w:ilvl="5">
      <w:startOverride w:val="1"/>
      <w:lvl w:ilvl="5">
        <w:start w:val="1"/>
        <w:numFmt w:val="lowerRoman"/>
        <w:lvlText w:val="%6."/>
        <w:lvlJc w:val="right"/>
        <w:pPr>
          <w:tabs>
            <w:tab w:val="num" w:pos="0"/>
          </w:tabs>
          <w:ind w:left="4320" w:hanging="180"/>
        </w:pPr>
      </w:lvl>
    </w:lvlOverride>
    <w:lvlOverride w:ilvl="6">
      <w:startOverride w:val="1"/>
      <w:lvl w:ilvl="6">
        <w:start w:val="1"/>
        <w:numFmt w:val="decimal"/>
        <w:lvlText w:val="%7."/>
        <w:lvlJc w:val="left"/>
        <w:pPr>
          <w:tabs>
            <w:tab w:val="num" w:pos="0"/>
          </w:tabs>
          <w:ind w:left="5040" w:hanging="360"/>
        </w:pPr>
      </w:lvl>
    </w:lvlOverride>
    <w:lvlOverride w:ilvl="7">
      <w:startOverride w:val="1"/>
      <w:lvl w:ilvl="7">
        <w:start w:val="1"/>
        <w:numFmt w:val="lowerLetter"/>
        <w:lvlText w:val="%8."/>
        <w:lvlJc w:val="left"/>
        <w:pPr>
          <w:tabs>
            <w:tab w:val="num" w:pos="0"/>
          </w:tabs>
          <w:ind w:left="5760" w:hanging="360"/>
        </w:pPr>
      </w:lvl>
    </w:lvlOverride>
    <w:lvlOverride w:ilvl="8">
      <w:startOverride w:val="1"/>
      <w:lvl w:ilvl="8">
        <w:start w:val="1"/>
        <w:numFmt w:val="lowerRoman"/>
        <w:lvlText w:val="%9."/>
        <w:lvlJc w:val="right"/>
        <w:pPr>
          <w:tabs>
            <w:tab w:val="num" w:pos="0"/>
          </w:tabs>
          <w:ind w:left="6480" w:hanging="180"/>
        </w:pPr>
      </w:lvl>
    </w:lvlOverride>
  </w:num>
  <w:num w:numId="6" w16cid:durableId="1774475512">
    <w:abstractNumId w:val="12"/>
  </w:num>
  <w:num w:numId="7" w16cid:durableId="19693117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74762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9430003">
    <w:abstractNumId w:val="15"/>
  </w:num>
  <w:num w:numId="10" w16cid:durableId="1414399455">
    <w:abstractNumId w:val="9"/>
  </w:num>
  <w:num w:numId="11" w16cid:durableId="1843423001">
    <w:abstractNumId w:val="10"/>
  </w:num>
  <w:num w:numId="12" w16cid:durableId="13558408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2368752">
    <w:abstractNumId w:val="7"/>
  </w:num>
  <w:num w:numId="14" w16cid:durableId="1164278009">
    <w:abstractNumId w:val="3"/>
  </w:num>
  <w:num w:numId="15" w16cid:durableId="126438747">
    <w:abstractNumId w:val="6"/>
  </w:num>
  <w:num w:numId="16" w16cid:durableId="459035406">
    <w:abstractNumId w:val="13"/>
  </w:num>
  <w:num w:numId="17" w16cid:durableId="1728722404">
    <w:abstractNumId w:val="8"/>
  </w:num>
  <w:num w:numId="18" w16cid:durableId="368994899">
    <w:abstractNumId w:val="14"/>
  </w:num>
  <w:num w:numId="19" w16cid:durableId="1116800787">
    <w:abstractNumId w:val="11"/>
  </w:num>
  <w:num w:numId="20" w16cid:durableId="175995893">
    <w:abstractNumId w:val="0"/>
  </w:num>
  <w:num w:numId="21" w16cid:durableId="880899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OxNDY1MjA1t7A0MjBX0lEKTi0uzszPAykwqQUAbSU9DCwAAAA="/>
  </w:docVars>
  <w:rsids>
    <w:rsidRoot w:val="00864FF8"/>
    <w:rsid w:val="000030F0"/>
    <w:rsid w:val="00003217"/>
    <w:rsid w:val="000257E7"/>
    <w:rsid w:val="00036BB6"/>
    <w:rsid w:val="00037FC5"/>
    <w:rsid w:val="00043924"/>
    <w:rsid w:val="0007553C"/>
    <w:rsid w:val="000941D3"/>
    <w:rsid w:val="00097D83"/>
    <w:rsid w:val="000A0E69"/>
    <w:rsid w:val="000D051A"/>
    <w:rsid w:val="000F28B0"/>
    <w:rsid w:val="00117CFE"/>
    <w:rsid w:val="001210C5"/>
    <w:rsid w:val="00130B33"/>
    <w:rsid w:val="00130F0D"/>
    <w:rsid w:val="00135722"/>
    <w:rsid w:val="0015192B"/>
    <w:rsid w:val="00154FC7"/>
    <w:rsid w:val="001570E7"/>
    <w:rsid w:val="0017747B"/>
    <w:rsid w:val="0018221F"/>
    <w:rsid w:val="00194DE4"/>
    <w:rsid w:val="00195B5B"/>
    <w:rsid w:val="001A354C"/>
    <w:rsid w:val="001B0460"/>
    <w:rsid w:val="001F09ED"/>
    <w:rsid w:val="001F79C2"/>
    <w:rsid w:val="00207E80"/>
    <w:rsid w:val="00214A4B"/>
    <w:rsid w:val="00217654"/>
    <w:rsid w:val="002343C6"/>
    <w:rsid w:val="00254473"/>
    <w:rsid w:val="002638B2"/>
    <w:rsid w:val="00263D13"/>
    <w:rsid w:val="002651B0"/>
    <w:rsid w:val="00272CEE"/>
    <w:rsid w:val="00285E67"/>
    <w:rsid w:val="002927C9"/>
    <w:rsid w:val="002B2CC0"/>
    <w:rsid w:val="002C7F49"/>
    <w:rsid w:val="002D2388"/>
    <w:rsid w:val="00337C17"/>
    <w:rsid w:val="00350F12"/>
    <w:rsid w:val="003531C7"/>
    <w:rsid w:val="00373C2B"/>
    <w:rsid w:val="00382A80"/>
    <w:rsid w:val="003A7F2D"/>
    <w:rsid w:val="003B0B09"/>
    <w:rsid w:val="003C4769"/>
    <w:rsid w:val="003E4F42"/>
    <w:rsid w:val="003E7A32"/>
    <w:rsid w:val="003F5956"/>
    <w:rsid w:val="004061C4"/>
    <w:rsid w:val="00425220"/>
    <w:rsid w:val="00433B0E"/>
    <w:rsid w:val="00447413"/>
    <w:rsid w:val="004521BB"/>
    <w:rsid w:val="004622B9"/>
    <w:rsid w:val="00481E4D"/>
    <w:rsid w:val="00483E4E"/>
    <w:rsid w:val="0049000B"/>
    <w:rsid w:val="004A03D0"/>
    <w:rsid w:val="004B4B55"/>
    <w:rsid w:val="004B70C3"/>
    <w:rsid w:val="004E7062"/>
    <w:rsid w:val="005003F7"/>
    <w:rsid w:val="00504C9B"/>
    <w:rsid w:val="00515700"/>
    <w:rsid w:val="0052140A"/>
    <w:rsid w:val="005214B9"/>
    <w:rsid w:val="00530E28"/>
    <w:rsid w:val="0053193C"/>
    <w:rsid w:val="00540743"/>
    <w:rsid w:val="00546280"/>
    <w:rsid w:val="0056273A"/>
    <w:rsid w:val="00572C05"/>
    <w:rsid w:val="0057499B"/>
    <w:rsid w:val="00576C4F"/>
    <w:rsid w:val="00596397"/>
    <w:rsid w:val="0059708D"/>
    <w:rsid w:val="005A0AD9"/>
    <w:rsid w:val="005A1487"/>
    <w:rsid w:val="005A222C"/>
    <w:rsid w:val="005A23CB"/>
    <w:rsid w:val="005B07E9"/>
    <w:rsid w:val="005B3D26"/>
    <w:rsid w:val="005B64B6"/>
    <w:rsid w:val="005F3940"/>
    <w:rsid w:val="0060217C"/>
    <w:rsid w:val="00604AB4"/>
    <w:rsid w:val="00607475"/>
    <w:rsid w:val="006318A2"/>
    <w:rsid w:val="00660940"/>
    <w:rsid w:val="006835E0"/>
    <w:rsid w:val="00684433"/>
    <w:rsid w:val="00690396"/>
    <w:rsid w:val="006A464F"/>
    <w:rsid w:val="006A7093"/>
    <w:rsid w:val="006B3DA0"/>
    <w:rsid w:val="006D0BD2"/>
    <w:rsid w:val="006D1E98"/>
    <w:rsid w:val="006D28E8"/>
    <w:rsid w:val="00754506"/>
    <w:rsid w:val="0075459A"/>
    <w:rsid w:val="007713EF"/>
    <w:rsid w:val="007A0614"/>
    <w:rsid w:val="007A5859"/>
    <w:rsid w:val="007C5A35"/>
    <w:rsid w:val="007E6558"/>
    <w:rsid w:val="008020DE"/>
    <w:rsid w:val="00803550"/>
    <w:rsid w:val="00812E28"/>
    <w:rsid w:val="008235BE"/>
    <w:rsid w:val="0082382D"/>
    <w:rsid w:val="00824BAD"/>
    <w:rsid w:val="0082646B"/>
    <w:rsid w:val="00835B37"/>
    <w:rsid w:val="0083650C"/>
    <w:rsid w:val="00840097"/>
    <w:rsid w:val="00847932"/>
    <w:rsid w:val="00860D64"/>
    <w:rsid w:val="00864FF8"/>
    <w:rsid w:val="00873C94"/>
    <w:rsid w:val="00874375"/>
    <w:rsid w:val="00874F2C"/>
    <w:rsid w:val="008C4A18"/>
    <w:rsid w:val="008D36B9"/>
    <w:rsid w:val="008F1F44"/>
    <w:rsid w:val="008F60ED"/>
    <w:rsid w:val="008F78D7"/>
    <w:rsid w:val="009009B3"/>
    <w:rsid w:val="00904D41"/>
    <w:rsid w:val="00912538"/>
    <w:rsid w:val="00930C4D"/>
    <w:rsid w:val="00944C3E"/>
    <w:rsid w:val="00946725"/>
    <w:rsid w:val="0096531C"/>
    <w:rsid w:val="00966005"/>
    <w:rsid w:val="00992549"/>
    <w:rsid w:val="009A1C12"/>
    <w:rsid w:val="009A21EA"/>
    <w:rsid w:val="009C088D"/>
    <w:rsid w:val="00A07479"/>
    <w:rsid w:val="00A30752"/>
    <w:rsid w:val="00A34340"/>
    <w:rsid w:val="00A507C5"/>
    <w:rsid w:val="00A574A2"/>
    <w:rsid w:val="00A60A0B"/>
    <w:rsid w:val="00A75092"/>
    <w:rsid w:val="00AA6F97"/>
    <w:rsid w:val="00AC3260"/>
    <w:rsid w:val="00AC6ECD"/>
    <w:rsid w:val="00AD5DD7"/>
    <w:rsid w:val="00AD5E25"/>
    <w:rsid w:val="00AE00F8"/>
    <w:rsid w:val="00B35114"/>
    <w:rsid w:val="00B64562"/>
    <w:rsid w:val="00B849C9"/>
    <w:rsid w:val="00B857A5"/>
    <w:rsid w:val="00B92045"/>
    <w:rsid w:val="00BB1C8F"/>
    <w:rsid w:val="00BC3971"/>
    <w:rsid w:val="00BE58BD"/>
    <w:rsid w:val="00BF390F"/>
    <w:rsid w:val="00C02651"/>
    <w:rsid w:val="00C111BF"/>
    <w:rsid w:val="00C223EF"/>
    <w:rsid w:val="00C227B2"/>
    <w:rsid w:val="00C230A5"/>
    <w:rsid w:val="00C23589"/>
    <w:rsid w:val="00C43551"/>
    <w:rsid w:val="00C833B0"/>
    <w:rsid w:val="00C8491D"/>
    <w:rsid w:val="00C9514C"/>
    <w:rsid w:val="00C96BC2"/>
    <w:rsid w:val="00CB1BBD"/>
    <w:rsid w:val="00CC5904"/>
    <w:rsid w:val="00CC7B7A"/>
    <w:rsid w:val="00CE01B1"/>
    <w:rsid w:val="00D018D8"/>
    <w:rsid w:val="00D12423"/>
    <w:rsid w:val="00D63519"/>
    <w:rsid w:val="00D77CAD"/>
    <w:rsid w:val="00D94C6B"/>
    <w:rsid w:val="00DA087E"/>
    <w:rsid w:val="00DA6A61"/>
    <w:rsid w:val="00DB5040"/>
    <w:rsid w:val="00DE2CAD"/>
    <w:rsid w:val="00E07BE9"/>
    <w:rsid w:val="00E10FCA"/>
    <w:rsid w:val="00E27533"/>
    <w:rsid w:val="00E30187"/>
    <w:rsid w:val="00E47DF7"/>
    <w:rsid w:val="00E577AD"/>
    <w:rsid w:val="00E66C60"/>
    <w:rsid w:val="00E7530A"/>
    <w:rsid w:val="00E76DFE"/>
    <w:rsid w:val="00E856FF"/>
    <w:rsid w:val="00E9677E"/>
    <w:rsid w:val="00EA4B5A"/>
    <w:rsid w:val="00EC2E07"/>
    <w:rsid w:val="00EC39A1"/>
    <w:rsid w:val="00EC3A7B"/>
    <w:rsid w:val="00EC4703"/>
    <w:rsid w:val="00ED4507"/>
    <w:rsid w:val="00EE5F98"/>
    <w:rsid w:val="00F05306"/>
    <w:rsid w:val="00F276E6"/>
    <w:rsid w:val="00F322E5"/>
    <w:rsid w:val="00F367F9"/>
    <w:rsid w:val="00F71F12"/>
    <w:rsid w:val="00F852B5"/>
    <w:rsid w:val="00FC7E14"/>
    <w:rsid w:val="00FD0F7A"/>
    <w:rsid w:val="00FE1E6E"/>
    <w:rsid w:val="00FE31D7"/>
    <w:rsid w:val="00FE382B"/>
    <w:rsid w:val="00FE7B1F"/>
    <w:rsid w:val="00FF3A1B"/>
  </w:rsids>
  <m:mathPr>
    <m:mathFont m:val="Cambria Math"/>
    <m:brkBin m:val="before"/>
    <m:brkBinSub m:val="--"/>
    <m:smallFrac m:val="0"/>
    <m:dispDef/>
    <m:lMargin m:val="0"/>
    <m:rMargin m:val="0"/>
    <m:defJc m:val="centerGroup"/>
    <m:wrapIndent m:val="1440"/>
    <m:intLim m:val="subSup"/>
    <m:naryLim m:val="undOvr"/>
  </m:mathPr>
  <w:themeFontLang w:val="en-GB"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45FAF"/>
  <w15:docId w15:val="{AD3B3814-0297-4101-BEE4-556E53BB2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705"/>
    <w:pPr>
      <w:spacing w:after="120"/>
      <w:ind w:firstLine="284"/>
      <w:contextualSpacing/>
      <w:jc w:val="both"/>
    </w:pPr>
    <w:rPr>
      <w:rFonts w:ascii="Times New Roman" w:hAnsi="Times New Roman"/>
      <w:sz w:val="22"/>
      <w:lang w:val="en-US" w:eastAsia="en-US"/>
    </w:rPr>
  </w:style>
  <w:style w:type="paragraph" w:styleId="Heading1">
    <w:name w:val="heading 1"/>
    <w:basedOn w:val="Normal"/>
    <w:next w:val="Normal"/>
    <w:link w:val="Heading1Char"/>
    <w:uiPriority w:val="9"/>
    <w:qFormat/>
    <w:rsid w:val="00530E28"/>
    <w:pPr>
      <w:numPr>
        <w:numId w:val="10"/>
      </w:numPr>
      <w:spacing w:after="0" w:line="276" w:lineRule="auto"/>
      <w:outlineLvl w:val="0"/>
    </w:pPr>
    <w:rPr>
      <w:b/>
      <w:bCs/>
      <w:sz w:val="24"/>
      <w:szCs w:val="24"/>
      <w:lang w:val="en-ID"/>
    </w:rPr>
  </w:style>
  <w:style w:type="paragraph" w:styleId="Heading2">
    <w:name w:val="heading 2"/>
    <w:basedOn w:val="Heading1"/>
    <w:next w:val="Normal"/>
    <w:link w:val="Heading2Char"/>
    <w:uiPriority w:val="9"/>
    <w:unhideWhenUsed/>
    <w:qFormat/>
    <w:rsid w:val="006318A2"/>
    <w:pPr>
      <w:numPr>
        <w:ilvl w:val="1"/>
      </w:numPr>
      <w:outlineLvl w:val="1"/>
    </w:pPr>
  </w:style>
  <w:style w:type="paragraph" w:styleId="Heading3">
    <w:name w:val="heading 3"/>
    <w:basedOn w:val="Heading2"/>
    <w:next w:val="Normal"/>
    <w:link w:val="Heading3Char"/>
    <w:uiPriority w:val="9"/>
    <w:unhideWhenUsed/>
    <w:qFormat/>
    <w:rsid w:val="006318A2"/>
    <w:pPr>
      <w:numPr>
        <w:ilvl w:val="2"/>
      </w:numPr>
      <w:outlineLvl w:val="2"/>
    </w:pPr>
    <w:rPr>
      <w:sz w:val="22"/>
      <w:szCs w:val="22"/>
    </w:rPr>
  </w:style>
  <w:style w:type="paragraph" w:styleId="Heading4">
    <w:name w:val="heading 4"/>
    <w:basedOn w:val="Normal"/>
    <w:next w:val="Normal"/>
    <w:link w:val="Heading4Char"/>
    <w:uiPriority w:val="9"/>
    <w:semiHidden/>
    <w:unhideWhenUsed/>
    <w:rsid w:val="00FE1E6E"/>
    <w:pPr>
      <w:keepNext/>
      <w:keepLines/>
      <w:numPr>
        <w:ilvl w:val="3"/>
        <w:numId w:val="10"/>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1E6E"/>
    <w:pPr>
      <w:keepNext/>
      <w:keepLines/>
      <w:numPr>
        <w:ilvl w:val="4"/>
        <w:numId w:val="10"/>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E1E6E"/>
    <w:pPr>
      <w:keepNext/>
      <w:keepLines/>
      <w:numPr>
        <w:ilvl w:val="5"/>
        <w:numId w:val="10"/>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E1E6E"/>
    <w:pPr>
      <w:keepNext/>
      <w:keepLines/>
      <w:numPr>
        <w:ilvl w:val="6"/>
        <w:numId w:val="10"/>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E1E6E"/>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E1E6E"/>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1 Char, Char Char,Char Char1,Char Char Char,Footnote Text1 Char"/>
    <w:basedOn w:val="DefaultParagraphFont"/>
    <w:link w:val="FootnoteText"/>
    <w:uiPriority w:val="99"/>
    <w:qFormat/>
    <w:rsid w:val="00F46757"/>
  </w:style>
  <w:style w:type="character" w:customStyle="1" w:styleId="FootnoteCharacters">
    <w:name w:val="Footnote Characters"/>
    <w:uiPriority w:val="99"/>
    <w:unhideWhenUsed/>
    <w:qFormat/>
    <w:rsid w:val="00F46757"/>
    <w:rPr>
      <w:vertAlign w:val="superscript"/>
    </w:rPr>
  </w:style>
  <w:style w:type="character" w:customStyle="1" w:styleId="FootnoteAnchor">
    <w:name w:val="Footnote Anchor"/>
    <w:rPr>
      <w:vertAlign w:val="superscript"/>
    </w:rPr>
  </w:style>
  <w:style w:type="character" w:styleId="Hyperlink">
    <w:name w:val="Hyperlink"/>
    <w:uiPriority w:val="99"/>
    <w:unhideWhenUsed/>
    <w:qFormat/>
    <w:rsid w:val="00977A42"/>
    <w:rPr>
      <w:color w:val="0563C1"/>
      <w:u w:val="single"/>
    </w:rPr>
  </w:style>
  <w:style w:type="character" w:styleId="CommentReference">
    <w:name w:val="annotation reference"/>
    <w:uiPriority w:val="99"/>
    <w:semiHidden/>
    <w:unhideWhenUsed/>
    <w:qFormat/>
    <w:rsid w:val="005124CA"/>
    <w:rPr>
      <w:sz w:val="16"/>
      <w:szCs w:val="16"/>
    </w:rPr>
  </w:style>
  <w:style w:type="character" w:customStyle="1" w:styleId="CommentTextChar">
    <w:name w:val="Comment Text Char"/>
    <w:basedOn w:val="DefaultParagraphFont"/>
    <w:link w:val="CommentText"/>
    <w:uiPriority w:val="99"/>
    <w:semiHidden/>
    <w:qFormat/>
    <w:rsid w:val="005124CA"/>
  </w:style>
  <w:style w:type="character" w:customStyle="1" w:styleId="CommentSubjectChar">
    <w:name w:val="Comment Subject Char"/>
    <w:link w:val="CommentSubject"/>
    <w:uiPriority w:val="99"/>
    <w:semiHidden/>
    <w:qFormat/>
    <w:rsid w:val="005124CA"/>
    <w:rPr>
      <w:b/>
      <w:bCs/>
    </w:rPr>
  </w:style>
  <w:style w:type="character" w:customStyle="1" w:styleId="BalloonTextChar">
    <w:name w:val="Balloon Text Char"/>
    <w:link w:val="BalloonText"/>
    <w:uiPriority w:val="99"/>
    <w:semiHidden/>
    <w:qFormat/>
    <w:rsid w:val="005124CA"/>
    <w:rPr>
      <w:rFonts w:ascii="Tahoma" w:hAnsi="Tahoma" w:cs="Tahoma"/>
      <w:sz w:val="16"/>
      <w:szCs w:val="16"/>
    </w:rPr>
  </w:style>
  <w:style w:type="character" w:styleId="UnresolvedMention">
    <w:name w:val="Unresolved Mention"/>
    <w:uiPriority w:val="99"/>
    <w:semiHidden/>
    <w:unhideWhenUsed/>
    <w:qFormat/>
    <w:rsid w:val="00F74134"/>
    <w:rPr>
      <w:color w:val="605E5C"/>
      <w:shd w:val="clear" w:color="auto" w:fill="E1DFDD"/>
    </w:rPr>
  </w:style>
  <w:style w:type="character" w:customStyle="1" w:styleId="Heading1Char">
    <w:name w:val="Heading 1 Char"/>
    <w:basedOn w:val="DefaultParagraphFont"/>
    <w:link w:val="Heading1"/>
    <w:uiPriority w:val="9"/>
    <w:qFormat/>
    <w:rsid w:val="00530E28"/>
    <w:rPr>
      <w:rFonts w:ascii="Times New Roman" w:hAnsi="Times New Roman"/>
      <w:b/>
      <w:bCs/>
      <w:sz w:val="24"/>
      <w:szCs w:val="24"/>
      <w:lang w:val="en-ID" w:eastAsia="en-US"/>
    </w:rPr>
  </w:style>
  <w:style w:type="character" w:customStyle="1" w:styleId="CatatanKakiChar">
    <w:name w:val="Catatan Kaki Char"/>
    <w:basedOn w:val="DefaultParagraphFont"/>
    <w:link w:val="CatatanKaki"/>
    <w:qFormat/>
    <w:rsid w:val="0070515F"/>
    <w:rPr>
      <w:rFonts w:ascii="Times New Roman" w:eastAsiaTheme="minorHAnsi" w:hAnsi="Times New Roman"/>
      <w:lang w:val="en-ID" w:eastAsia="en-US"/>
    </w:rPr>
  </w:style>
  <w:style w:type="character" w:customStyle="1" w:styleId="TitleChar">
    <w:name w:val="Title Char"/>
    <w:basedOn w:val="DefaultParagraphFont"/>
    <w:link w:val="Title"/>
    <w:uiPriority w:val="10"/>
    <w:qFormat/>
    <w:rsid w:val="00575D1E"/>
    <w:rPr>
      <w:rFonts w:ascii="Times New Roman" w:hAnsi="Times New Roman"/>
      <w:i/>
      <w:sz w:val="48"/>
      <w:szCs w:val="48"/>
      <w:lang w:val="en-US" w:eastAsia="en-US"/>
    </w:rPr>
  </w:style>
  <w:style w:type="character" w:customStyle="1" w:styleId="JudulArtikelChar">
    <w:name w:val="Judul Artikel Char"/>
    <w:basedOn w:val="DefaultParagraphFont"/>
    <w:link w:val="JudulArtikel"/>
    <w:qFormat/>
    <w:rsid w:val="007D5AA7"/>
    <w:rPr>
      <w:rFonts w:ascii="Times New Roman" w:eastAsiaTheme="minorHAnsi" w:hAnsi="Times New Roman"/>
      <w:b/>
      <w:bCs/>
      <w:sz w:val="26"/>
      <w:szCs w:val="26"/>
      <w:lang w:val="en-ID" w:eastAsia="en-US"/>
    </w:rPr>
  </w:style>
  <w:style w:type="character" w:customStyle="1" w:styleId="ParagrafChar">
    <w:name w:val="Paragraf Char"/>
    <w:basedOn w:val="DefaultParagraphFont"/>
    <w:link w:val="Paragraf"/>
    <w:qFormat/>
    <w:rsid w:val="007D5AA7"/>
    <w:rPr>
      <w:rFonts w:ascii="Times New Roman" w:eastAsiaTheme="minorHAnsi" w:hAnsi="Times New Roman"/>
      <w:sz w:val="22"/>
      <w:szCs w:val="22"/>
      <w:lang w:val="en-ID" w:eastAsia="en-US"/>
    </w:rPr>
  </w:style>
  <w:style w:type="character" w:customStyle="1" w:styleId="SubbabChar">
    <w:name w:val="Subbab Char"/>
    <w:basedOn w:val="DefaultParagraphFont"/>
    <w:link w:val="Subbab"/>
    <w:qFormat/>
    <w:rsid w:val="00D51AB5"/>
    <w:rPr>
      <w:rFonts w:ascii="Times New Roman" w:eastAsia="Times New Roman" w:hAnsi="Times New Roman"/>
      <w:b/>
      <w:bCs/>
      <w:sz w:val="22"/>
      <w:szCs w:val="22"/>
      <w:lang w:eastAsia="en-US"/>
    </w:rPr>
  </w:style>
  <w:style w:type="character" w:customStyle="1" w:styleId="Heading2Char">
    <w:name w:val="Heading 2 Char"/>
    <w:basedOn w:val="DefaultParagraphFont"/>
    <w:link w:val="Heading2"/>
    <w:uiPriority w:val="9"/>
    <w:qFormat/>
    <w:rsid w:val="006318A2"/>
    <w:rPr>
      <w:rFonts w:ascii="Times New Roman" w:hAnsi="Times New Roman"/>
      <w:b/>
      <w:bCs/>
      <w:sz w:val="24"/>
      <w:szCs w:val="24"/>
      <w:lang w:val="en-ID" w:eastAsia="en-US"/>
    </w:rPr>
  </w:style>
  <w:style w:type="character" w:customStyle="1" w:styleId="Heading3Char">
    <w:name w:val="Heading 3 Char"/>
    <w:basedOn w:val="DefaultParagraphFont"/>
    <w:link w:val="Heading3"/>
    <w:uiPriority w:val="9"/>
    <w:qFormat/>
    <w:rsid w:val="006318A2"/>
    <w:rPr>
      <w:rFonts w:ascii="Times New Roman" w:hAnsi="Times New Roman"/>
      <w:b/>
      <w:bCs/>
      <w:sz w:val="22"/>
      <w:szCs w:val="22"/>
      <w:lang w:val="en-ID" w:eastAsia="en-US"/>
    </w:rPr>
  </w:style>
  <w:style w:type="character" w:customStyle="1" w:styleId="AbstractContentChar">
    <w:name w:val="Abstract Content Char"/>
    <w:basedOn w:val="DefaultParagraphFont"/>
    <w:link w:val="AbstractContent"/>
    <w:qFormat/>
    <w:rsid w:val="00952EA7"/>
    <w:rPr>
      <w:rFonts w:ascii="Times New Roman" w:hAnsi="Times New Roman"/>
      <w:sz w:val="22"/>
      <w:szCs w:val="22"/>
      <w:lang w:val="en-US" w:eastAsia="en-US"/>
    </w:rPr>
  </w:style>
  <w:style w:type="character" w:customStyle="1" w:styleId="Level1ContentChar">
    <w:name w:val="Level 1 Content Char"/>
    <w:basedOn w:val="DefaultParagraphFont"/>
    <w:link w:val="Level1Content"/>
    <w:qFormat/>
    <w:rsid w:val="006318A2"/>
    <w:rPr>
      <w:rFonts w:ascii="Times New Roman" w:hAnsi="Times New Roman"/>
      <w:sz w:val="22"/>
      <w:szCs w:val="22"/>
      <w:lang w:val="en-ID" w:eastAsia="en-US"/>
    </w:rPr>
  </w:style>
  <w:style w:type="character" w:customStyle="1" w:styleId="Level2ContentChar">
    <w:name w:val="Level 2 Content Char"/>
    <w:basedOn w:val="Level1ContentChar"/>
    <w:link w:val="Level2Content"/>
    <w:qFormat/>
    <w:rsid w:val="006318A2"/>
    <w:rPr>
      <w:rFonts w:ascii="Times New Roman" w:hAnsi="Times New Roman"/>
      <w:sz w:val="22"/>
      <w:szCs w:val="22"/>
      <w:lang w:val="en-ID" w:eastAsia="en-US"/>
    </w:rPr>
  </w:style>
  <w:style w:type="character" w:customStyle="1" w:styleId="Level3ContentChar">
    <w:name w:val="Level 3 Content Char"/>
    <w:basedOn w:val="DefaultParagraphFont"/>
    <w:link w:val="Level3Content"/>
    <w:qFormat/>
    <w:rsid w:val="006318A2"/>
    <w:rPr>
      <w:rFonts w:ascii="Times New Roman" w:hAnsi="Times New Roman"/>
      <w:sz w:val="22"/>
      <w:szCs w:val="22"/>
      <w:lang w:val="en-ID" w:eastAsia="en-US"/>
    </w:rPr>
  </w:style>
  <w:style w:type="character" w:customStyle="1" w:styleId="EndnoteTextChar">
    <w:name w:val="Endnote Text Char"/>
    <w:basedOn w:val="DefaultParagraphFont"/>
    <w:link w:val="EndnoteText"/>
    <w:uiPriority w:val="99"/>
    <w:semiHidden/>
    <w:qFormat/>
    <w:rsid w:val="00B73C38"/>
    <w:rPr>
      <w:rFonts w:ascii="Times New Roman" w:hAnsi="Times New Roman"/>
      <w:lang w:val="en-US" w:eastAsia="en-US"/>
    </w:rPr>
  </w:style>
  <w:style w:type="character" w:customStyle="1" w:styleId="EndnoteCharacters">
    <w:name w:val="Endnote Characters"/>
    <w:basedOn w:val="DefaultParagraphFont"/>
    <w:uiPriority w:val="99"/>
    <w:semiHidden/>
    <w:unhideWhenUsed/>
    <w:qFormat/>
    <w:rsid w:val="00B73C38"/>
    <w:rPr>
      <w:vertAlign w:val="superscript"/>
    </w:rPr>
  </w:style>
  <w:style w:type="character" w:customStyle="1" w:styleId="EndnoteAnchor">
    <w:name w:val="Endnote Anchor"/>
    <w:rPr>
      <w:vertAlign w:val="superscript"/>
    </w:rPr>
  </w:style>
  <w:style w:type="character" w:customStyle="1" w:styleId="ReferencesChar">
    <w:name w:val="References Char"/>
    <w:basedOn w:val="DefaultParagraphFont"/>
    <w:link w:val="References"/>
    <w:qFormat/>
    <w:rsid w:val="00D45BFE"/>
    <w:rPr>
      <w:rFonts w:ascii="Times New Roman" w:hAnsi="Times New Roman"/>
      <w:sz w:val="22"/>
      <w:szCs w:val="28"/>
      <w:lang w:val="en-US" w:eastAsia="en-US"/>
    </w:rPr>
  </w:style>
  <w:style w:type="character" w:customStyle="1" w:styleId="HeaderChar">
    <w:name w:val="Header Char"/>
    <w:basedOn w:val="DefaultParagraphFont"/>
    <w:link w:val="Header"/>
    <w:uiPriority w:val="99"/>
    <w:qFormat/>
    <w:rsid w:val="008556E8"/>
    <w:rPr>
      <w:rFonts w:ascii="Times New Roman" w:hAnsi="Times New Roman"/>
      <w:sz w:val="22"/>
      <w:lang w:val="en-US" w:eastAsia="en-US"/>
    </w:rPr>
  </w:style>
  <w:style w:type="character" w:customStyle="1" w:styleId="FooterChar">
    <w:name w:val="Footer Char"/>
    <w:basedOn w:val="DefaultParagraphFont"/>
    <w:link w:val="Footer"/>
    <w:uiPriority w:val="99"/>
    <w:qFormat/>
    <w:rsid w:val="008556E8"/>
    <w:rPr>
      <w:rFonts w:ascii="Times New Roman" w:hAnsi="Times New Roman"/>
      <w:sz w:val="22"/>
      <w:lang w:val="en-US" w:eastAsia="en-US"/>
    </w:rPr>
  </w:style>
  <w:style w:type="character" w:customStyle="1" w:styleId="LineNumbering">
    <w:name w:val="Line Numbering"/>
  </w:style>
  <w:style w:type="paragraph" w:customStyle="1" w:styleId="Heading">
    <w:name w:val="Heading"/>
    <w:basedOn w:val="Normal"/>
    <w:next w:val="BodyText"/>
    <w:qFormat/>
    <w:pPr>
      <w:keepNext/>
      <w:spacing w:before="240"/>
      <w:contextualSpacing w:val="0"/>
    </w:pPr>
    <w:rPr>
      <w:rFonts w:ascii="Liberation Sans" w:eastAsia="Microsoft YaHei" w:hAnsi="Liberation Sans" w:cs="Lucida Sans"/>
      <w:sz w:val="28"/>
      <w:szCs w:val="28"/>
    </w:rPr>
  </w:style>
  <w:style w:type="paragraph" w:styleId="BodyText">
    <w:name w:val="Body Text"/>
    <w:basedOn w:val="Normal"/>
    <w:pPr>
      <w:spacing w:after="140" w:line="276" w:lineRule="auto"/>
      <w:contextualSpacing w:val="0"/>
    </w:pPr>
  </w:style>
  <w:style w:type="paragraph" w:styleId="List">
    <w:name w:val="List"/>
    <w:basedOn w:val="BodyText"/>
    <w:rPr>
      <w:rFonts w:cs="Lucida Sans"/>
    </w:rPr>
  </w:style>
  <w:style w:type="paragraph" w:styleId="Caption">
    <w:name w:val="caption"/>
    <w:basedOn w:val="Normal"/>
    <w:qFormat/>
    <w:pPr>
      <w:suppressLineNumbers/>
      <w:spacing w:before="120"/>
      <w:contextualSpacing w:val="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4C6AD1"/>
    <w:pPr>
      <w:ind w:left="720"/>
    </w:pPr>
  </w:style>
  <w:style w:type="paragraph" w:styleId="FootnoteText">
    <w:name w:val="footnote text"/>
    <w:aliases w:val="Char1, Char,Char,Char Char,Footnote Text1"/>
    <w:basedOn w:val="Normal"/>
    <w:link w:val="FootnoteTextChar"/>
    <w:uiPriority w:val="99"/>
    <w:unhideWhenUsed/>
    <w:qFormat/>
    <w:rsid w:val="00F46757"/>
  </w:style>
  <w:style w:type="paragraph" w:styleId="CommentText">
    <w:name w:val="annotation text"/>
    <w:basedOn w:val="Normal"/>
    <w:link w:val="CommentTextChar"/>
    <w:uiPriority w:val="99"/>
    <w:semiHidden/>
    <w:unhideWhenUsed/>
    <w:qFormat/>
    <w:rsid w:val="005124CA"/>
  </w:style>
  <w:style w:type="paragraph" w:styleId="CommentSubject">
    <w:name w:val="annotation subject"/>
    <w:basedOn w:val="CommentText"/>
    <w:next w:val="CommentText"/>
    <w:link w:val="CommentSubjectChar"/>
    <w:uiPriority w:val="99"/>
    <w:semiHidden/>
    <w:unhideWhenUsed/>
    <w:qFormat/>
    <w:rsid w:val="005124CA"/>
    <w:rPr>
      <w:b/>
      <w:bCs/>
      <w:lang w:val="x-none" w:eastAsia="x-none"/>
    </w:rPr>
  </w:style>
  <w:style w:type="paragraph" w:styleId="BalloonText">
    <w:name w:val="Balloon Text"/>
    <w:basedOn w:val="Normal"/>
    <w:link w:val="BalloonTextChar"/>
    <w:uiPriority w:val="99"/>
    <w:semiHidden/>
    <w:unhideWhenUsed/>
    <w:qFormat/>
    <w:rsid w:val="005124CA"/>
    <w:pPr>
      <w:spacing w:after="0"/>
    </w:pPr>
    <w:rPr>
      <w:rFonts w:ascii="Tahoma" w:hAnsi="Tahoma"/>
      <w:sz w:val="16"/>
      <w:szCs w:val="16"/>
      <w:lang w:val="x-none" w:eastAsia="x-none"/>
    </w:rPr>
  </w:style>
  <w:style w:type="paragraph" w:styleId="NormalWeb">
    <w:name w:val="Normal (Web)"/>
    <w:basedOn w:val="Normal"/>
    <w:uiPriority w:val="99"/>
    <w:unhideWhenUsed/>
    <w:qFormat/>
    <w:rsid w:val="00FA6A5F"/>
    <w:pPr>
      <w:spacing w:beforeAutospacing="1" w:afterAutospacing="1"/>
    </w:pPr>
    <w:rPr>
      <w:rFonts w:eastAsia="Times New Roman"/>
      <w:sz w:val="24"/>
      <w:szCs w:val="24"/>
    </w:rPr>
  </w:style>
  <w:style w:type="paragraph" w:customStyle="1" w:styleId="CatatanKaki">
    <w:name w:val="Catatan Kaki"/>
    <w:basedOn w:val="Normal"/>
    <w:link w:val="CatatanKakiChar"/>
    <w:qFormat/>
    <w:rsid w:val="0070515F"/>
    <w:pPr>
      <w:spacing w:after="0"/>
      <w:ind w:left="284" w:hanging="284"/>
    </w:pPr>
    <w:rPr>
      <w:rFonts w:eastAsiaTheme="minorHAnsi"/>
      <w:lang w:val="en-ID"/>
    </w:rPr>
  </w:style>
  <w:style w:type="paragraph" w:styleId="Title">
    <w:name w:val="Title"/>
    <w:basedOn w:val="Normal"/>
    <w:next w:val="Normal"/>
    <w:link w:val="TitleChar"/>
    <w:uiPriority w:val="10"/>
    <w:qFormat/>
    <w:rsid w:val="00575D1E"/>
    <w:pPr>
      <w:spacing w:beforeAutospacing="1" w:afterAutospacing="1"/>
      <w:jc w:val="center"/>
    </w:pPr>
    <w:rPr>
      <w:i/>
      <w:sz w:val="48"/>
      <w:szCs w:val="48"/>
    </w:rPr>
  </w:style>
  <w:style w:type="paragraph" w:customStyle="1" w:styleId="JudulArtikel">
    <w:name w:val="Judul Artikel"/>
    <w:basedOn w:val="Normal"/>
    <w:link w:val="JudulArtikelChar"/>
    <w:qFormat/>
    <w:rsid w:val="007D5AA7"/>
    <w:pPr>
      <w:spacing w:after="0"/>
      <w:ind w:firstLine="0"/>
      <w:contextualSpacing w:val="0"/>
      <w:jc w:val="center"/>
    </w:pPr>
    <w:rPr>
      <w:rFonts w:eastAsiaTheme="minorHAnsi"/>
      <w:b/>
      <w:bCs/>
      <w:sz w:val="26"/>
      <w:szCs w:val="26"/>
      <w:lang w:val="en-ID"/>
    </w:rPr>
  </w:style>
  <w:style w:type="paragraph" w:customStyle="1" w:styleId="Paragraf">
    <w:name w:val="Paragraf"/>
    <w:basedOn w:val="Normal"/>
    <w:link w:val="ParagrafChar"/>
    <w:qFormat/>
    <w:rsid w:val="007D5AA7"/>
    <w:pPr>
      <w:spacing w:before="120" w:after="0"/>
      <w:ind w:firstLine="567"/>
      <w:contextualSpacing w:val="0"/>
    </w:pPr>
    <w:rPr>
      <w:rFonts w:eastAsiaTheme="minorHAnsi"/>
      <w:szCs w:val="22"/>
      <w:lang w:val="en-ID"/>
    </w:rPr>
  </w:style>
  <w:style w:type="paragraph" w:customStyle="1" w:styleId="Subbab">
    <w:name w:val="Subbab"/>
    <w:basedOn w:val="Normal"/>
    <w:link w:val="SubbabChar"/>
    <w:qFormat/>
    <w:rsid w:val="00D51AB5"/>
    <w:pPr>
      <w:numPr>
        <w:numId w:val="2"/>
      </w:numPr>
      <w:spacing w:after="0"/>
      <w:ind w:left="426" w:firstLine="284"/>
      <w:jc w:val="left"/>
    </w:pPr>
    <w:rPr>
      <w:rFonts w:eastAsia="Times New Roman"/>
      <w:b/>
      <w:bCs/>
      <w:szCs w:val="22"/>
      <w:lang w:val="en-GB"/>
    </w:rPr>
  </w:style>
  <w:style w:type="paragraph" w:customStyle="1" w:styleId="AbstractContent">
    <w:name w:val="Abstract Content"/>
    <w:basedOn w:val="Normal"/>
    <w:link w:val="AbstractContentChar"/>
    <w:qFormat/>
    <w:rsid w:val="00952EA7"/>
    <w:pPr>
      <w:ind w:firstLine="0"/>
    </w:pPr>
    <w:rPr>
      <w:szCs w:val="22"/>
    </w:rPr>
  </w:style>
  <w:style w:type="paragraph" w:customStyle="1" w:styleId="Level1Content">
    <w:name w:val="Level 1 Content"/>
    <w:basedOn w:val="Normal"/>
    <w:link w:val="Level1ContentChar"/>
    <w:qFormat/>
    <w:rsid w:val="006318A2"/>
    <w:pPr>
      <w:spacing w:after="0" w:line="276" w:lineRule="auto"/>
      <w:ind w:firstLine="567"/>
    </w:pPr>
    <w:rPr>
      <w:szCs w:val="22"/>
      <w:lang w:val="en-ID"/>
    </w:rPr>
  </w:style>
  <w:style w:type="paragraph" w:customStyle="1" w:styleId="Level2Content">
    <w:name w:val="Level 2 Content"/>
    <w:basedOn w:val="Level1Content"/>
    <w:link w:val="Level2ContentChar"/>
    <w:qFormat/>
    <w:rsid w:val="006318A2"/>
  </w:style>
  <w:style w:type="paragraph" w:customStyle="1" w:styleId="Level3Content">
    <w:name w:val="Level 3 Content"/>
    <w:basedOn w:val="Normal"/>
    <w:link w:val="Level3ContentChar"/>
    <w:qFormat/>
    <w:rsid w:val="006318A2"/>
    <w:pPr>
      <w:spacing w:after="0" w:line="276" w:lineRule="auto"/>
      <w:ind w:firstLine="567"/>
    </w:pPr>
    <w:rPr>
      <w:szCs w:val="22"/>
      <w:lang w:val="en-ID"/>
    </w:rPr>
  </w:style>
  <w:style w:type="paragraph" w:styleId="EndnoteText">
    <w:name w:val="endnote text"/>
    <w:basedOn w:val="Normal"/>
    <w:link w:val="EndnoteTextChar"/>
    <w:uiPriority w:val="99"/>
    <w:semiHidden/>
    <w:unhideWhenUsed/>
    <w:rsid w:val="00B73C38"/>
    <w:pPr>
      <w:spacing w:after="0"/>
    </w:pPr>
  </w:style>
  <w:style w:type="paragraph" w:customStyle="1" w:styleId="References">
    <w:name w:val="References"/>
    <w:basedOn w:val="Normal"/>
    <w:link w:val="ReferencesChar"/>
    <w:qFormat/>
    <w:rsid w:val="00D45BFE"/>
    <w:pPr>
      <w:widowControl w:val="0"/>
      <w:spacing w:after="0" w:line="276" w:lineRule="auto"/>
      <w:ind w:left="480" w:hanging="480"/>
    </w:pPr>
    <w:rPr>
      <w:szCs w:val="2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556E8"/>
    <w:pPr>
      <w:tabs>
        <w:tab w:val="center" w:pos="4513"/>
        <w:tab w:val="right" w:pos="9026"/>
      </w:tabs>
      <w:spacing w:after="0"/>
    </w:pPr>
  </w:style>
  <w:style w:type="paragraph" w:styleId="Footer">
    <w:name w:val="footer"/>
    <w:basedOn w:val="Normal"/>
    <w:link w:val="FooterChar"/>
    <w:uiPriority w:val="99"/>
    <w:unhideWhenUsed/>
    <w:rsid w:val="008556E8"/>
    <w:pPr>
      <w:tabs>
        <w:tab w:val="center" w:pos="4513"/>
        <w:tab w:val="right" w:pos="9026"/>
      </w:tabs>
      <w:spacing w:after="0"/>
    </w:pPr>
  </w:style>
  <w:style w:type="paragraph" w:styleId="NoSpacing">
    <w:name w:val="No Spacing"/>
    <w:uiPriority w:val="1"/>
    <w:qFormat/>
    <w:rsid w:val="00C56219"/>
    <w:pPr>
      <w:ind w:firstLine="284"/>
      <w:contextualSpacing/>
      <w:jc w:val="both"/>
    </w:pPr>
    <w:rPr>
      <w:rFonts w:ascii="Times New Roman" w:hAnsi="Times New Roman"/>
      <w:sz w:val="22"/>
      <w:lang w:val="en-US" w:eastAsia="en-US"/>
    </w:rPr>
  </w:style>
  <w:style w:type="table" w:styleId="TableGrid">
    <w:name w:val="Table Grid"/>
    <w:basedOn w:val="TableNormal"/>
    <w:uiPriority w:val="39"/>
    <w:qFormat/>
    <w:rsid w:val="00EF0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58BD"/>
    <w:pPr>
      <w:suppressAutoHyphens w:val="0"/>
    </w:pPr>
    <w:rPr>
      <w:rFonts w:ascii="Times New Roman" w:hAnsi="Times New Roman"/>
      <w:sz w:val="22"/>
      <w:lang w:val="en-US" w:eastAsia="en-US"/>
    </w:rPr>
  </w:style>
  <w:style w:type="character" w:styleId="FootnoteReference">
    <w:name w:val="footnote reference"/>
    <w:basedOn w:val="DefaultParagraphFont"/>
    <w:uiPriority w:val="99"/>
    <w:unhideWhenUsed/>
    <w:qFormat/>
    <w:rsid w:val="00A507C5"/>
    <w:rPr>
      <w:vertAlign w:val="superscript"/>
    </w:rPr>
  </w:style>
  <w:style w:type="paragraph" w:customStyle="1" w:styleId="SubJudulTemplate">
    <w:name w:val="Sub Judul Template"/>
    <w:basedOn w:val="Normal"/>
    <w:link w:val="SubJudulTemplateChar"/>
    <w:qFormat/>
    <w:rsid w:val="00607475"/>
    <w:pPr>
      <w:suppressAutoHyphens w:val="0"/>
      <w:spacing w:after="0" w:line="360" w:lineRule="auto"/>
      <w:ind w:left="284" w:hanging="284"/>
      <w:contextualSpacing w:val="0"/>
    </w:pPr>
    <w:rPr>
      <w:rFonts w:eastAsia="Arial"/>
      <w:b/>
      <w:bCs/>
      <w:sz w:val="24"/>
      <w:szCs w:val="24"/>
      <w:lang w:val="id-ID"/>
    </w:rPr>
  </w:style>
  <w:style w:type="character" w:customStyle="1" w:styleId="SubJudulTemplateChar">
    <w:name w:val="Sub Judul Template Char"/>
    <w:basedOn w:val="DefaultParagraphFont"/>
    <w:link w:val="SubJudulTemplate"/>
    <w:rsid w:val="00607475"/>
    <w:rPr>
      <w:rFonts w:ascii="Times New Roman" w:eastAsia="Arial" w:hAnsi="Times New Roman"/>
      <w:b/>
      <w:bCs/>
      <w:sz w:val="24"/>
      <w:szCs w:val="24"/>
      <w:lang w:val="id-ID" w:eastAsia="en-US"/>
    </w:rPr>
  </w:style>
  <w:style w:type="character" w:customStyle="1" w:styleId="Heading4Char">
    <w:name w:val="Heading 4 Char"/>
    <w:basedOn w:val="DefaultParagraphFont"/>
    <w:link w:val="Heading4"/>
    <w:uiPriority w:val="9"/>
    <w:semiHidden/>
    <w:rsid w:val="00FE1E6E"/>
    <w:rPr>
      <w:rFonts w:asciiTheme="majorHAnsi" w:eastAsiaTheme="majorEastAsia" w:hAnsiTheme="majorHAnsi" w:cstheme="majorBidi"/>
      <w:i/>
      <w:iCs/>
      <w:color w:val="2F5496" w:themeColor="accent1" w:themeShade="BF"/>
      <w:sz w:val="22"/>
      <w:lang w:val="en-US" w:eastAsia="en-US"/>
    </w:rPr>
  </w:style>
  <w:style w:type="character" w:customStyle="1" w:styleId="Heading5Char">
    <w:name w:val="Heading 5 Char"/>
    <w:basedOn w:val="DefaultParagraphFont"/>
    <w:link w:val="Heading5"/>
    <w:uiPriority w:val="9"/>
    <w:semiHidden/>
    <w:rsid w:val="00FE1E6E"/>
    <w:rPr>
      <w:rFonts w:asciiTheme="majorHAnsi" w:eastAsiaTheme="majorEastAsia" w:hAnsiTheme="majorHAnsi" w:cstheme="majorBidi"/>
      <w:color w:val="2F5496" w:themeColor="accent1" w:themeShade="BF"/>
      <w:sz w:val="22"/>
      <w:lang w:val="en-US" w:eastAsia="en-US"/>
    </w:rPr>
  </w:style>
  <w:style w:type="character" w:customStyle="1" w:styleId="Heading6Char">
    <w:name w:val="Heading 6 Char"/>
    <w:basedOn w:val="DefaultParagraphFont"/>
    <w:link w:val="Heading6"/>
    <w:uiPriority w:val="9"/>
    <w:semiHidden/>
    <w:rsid w:val="00FE1E6E"/>
    <w:rPr>
      <w:rFonts w:asciiTheme="majorHAnsi" w:eastAsiaTheme="majorEastAsia" w:hAnsiTheme="majorHAnsi" w:cstheme="majorBidi"/>
      <w:color w:val="1F3763" w:themeColor="accent1" w:themeShade="7F"/>
      <w:sz w:val="22"/>
      <w:lang w:val="en-US" w:eastAsia="en-US"/>
    </w:rPr>
  </w:style>
  <w:style w:type="character" w:customStyle="1" w:styleId="Heading7Char">
    <w:name w:val="Heading 7 Char"/>
    <w:basedOn w:val="DefaultParagraphFont"/>
    <w:link w:val="Heading7"/>
    <w:uiPriority w:val="9"/>
    <w:semiHidden/>
    <w:rsid w:val="00FE1E6E"/>
    <w:rPr>
      <w:rFonts w:asciiTheme="majorHAnsi" w:eastAsiaTheme="majorEastAsia" w:hAnsiTheme="majorHAnsi" w:cstheme="majorBidi"/>
      <w:i/>
      <w:iCs/>
      <w:color w:val="1F3763" w:themeColor="accent1" w:themeShade="7F"/>
      <w:sz w:val="22"/>
      <w:lang w:val="en-US" w:eastAsia="en-US"/>
    </w:rPr>
  </w:style>
  <w:style w:type="character" w:customStyle="1" w:styleId="Heading8Char">
    <w:name w:val="Heading 8 Char"/>
    <w:basedOn w:val="DefaultParagraphFont"/>
    <w:link w:val="Heading8"/>
    <w:uiPriority w:val="9"/>
    <w:semiHidden/>
    <w:rsid w:val="00FE1E6E"/>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FE1E6E"/>
    <w:rPr>
      <w:rFonts w:asciiTheme="majorHAnsi" w:eastAsiaTheme="majorEastAsia" w:hAnsiTheme="majorHAnsi" w:cstheme="majorBidi"/>
      <w:i/>
      <w:iCs/>
      <w:color w:val="272727" w:themeColor="text1" w:themeTint="D8"/>
      <w:sz w:val="21"/>
      <w:szCs w:val="21"/>
      <w:lang w:val="en-US" w:eastAsia="en-US"/>
    </w:rPr>
  </w:style>
  <w:style w:type="paragraph" w:styleId="Bibliography">
    <w:name w:val="Bibliography"/>
    <w:basedOn w:val="Normal"/>
    <w:next w:val="Normal"/>
    <w:uiPriority w:val="37"/>
    <w:unhideWhenUsed/>
    <w:rsid w:val="00C23589"/>
  </w:style>
  <w:style w:type="paragraph" w:customStyle="1" w:styleId="Default">
    <w:name w:val="Default"/>
    <w:qFormat/>
    <w:rsid w:val="00285E67"/>
    <w:pPr>
      <w:suppressAutoHyphens w:val="0"/>
      <w:autoSpaceDE w:val="0"/>
      <w:autoSpaceDN w:val="0"/>
      <w:adjustRightInd w:val="0"/>
    </w:pPr>
    <w:rPr>
      <w:rFonts w:ascii="Times New Roman" w:hAnsi="Times New Roman"/>
      <w:color w:val="000000"/>
      <w:sz w:val="24"/>
      <w:szCs w:val="24"/>
      <w:lang w:val="en-ID"/>
    </w:rPr>
  </w:style>
  <w:style w:type="paragraph" w:customStyle="1" w:styleId="DecimalAligned">
    <w:name w:val="Decimal Aligned"/>
    <w:basedOn w:val="Normal"/>
    <w:uiPriority w:val="40"/>
    <w:qFormat/>
    <w:rsid w:val="00BB1C8F"/>
    <w:pPr>
      <w:tabs>
        <w:tab w:val="decimal" w:pos="360"/>
      </w:tabs>
      <w:suppressAutoHyphens w:val="0"/>
      <w:spacing w:after="200" w:line="276" w:lineRule="auto"/>
      <w:ind w:firstLine="0"/>
      <w:contextualSpacing w:val="0"/>
      <w:jc w:val="left"/>
    </w:pPr>
    <w:rPr>
      <w:rFonts w:asciiTheme="minorHAnsi" w:eastAsiaTheme="minorEastAsia" w:hAnsiTheme="minorHAnsi"/>
      <w:szCs w:val="22"/>
    </w:rPr>
  </w:style>
  <w:style w:type="character" w:styleId="SubtleEmphasis">
    <w:name w:val="Subtle Emphasis"/>
    <w:basedOn w:val="DefaultParagraphFont"/>
    <w:uiPriority w:val="19"/>
    <w:qFormat/>
    <w:rsid w:val="00BB1C8F"/>
    <w:rPr>
      <w:i/>
      <w:iCs/>
    </w:rPr>
  </w:style>
  <w:style w:type="table" w:styleId="LightShading-Accent1">
    <w:name w:val="Light Shading Accent 1"/>
    <w:basedOn w:val="TableNormal"/>
    <w:uiPriority w:val="60"/>
    <w:rsid w:val="00BB1C8F"/>
    <w:pPr>
      <w:suppressAutoHyphens w:val="0"/>
    </w:pPr>
    <w:rPr>
      <w:rFonts w:asciiTheme="minorHAnsi" w:eastAsiaTheme="minorEastAsia" w:hAnsiTheme="minorHAnsi" w:cstheme="minorBidi"/>
      <w:color w:val="2F5496" w:themeColor="accent1" w:themeShade="BF"/>
      <w:sz w:val="22"/>
      <w:szCs w:val="22"/>
      <w:lang w:val="en-US" w:eastAsia="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madabdilwahid@gmail.com" TargetMode="External"/><Relationship Id="rId13" Type="http://schemas.openxmlformats.org/officeDocument/2006/relationships/hyperlink" Target="mailto:nurjannani@syariah.uin-malang.ac.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usa@syariah.uin-malang.ac.i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hmadabdilwahid@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nurjannani@syariah.uin-malang.ac.id" TargetMode="External"/><Relationship Id="rId4" Type="http://schemas.openxmlformats.org/officeDocument/2006/relationships/settings" Target="settings.xml"/><Relationship Id="rId9" Type="http://schemas.openxmlformats.org/officeDocument/2006/relationships/hyperlink" Target="mailto:musa@syariah.uin-malang.ac.id" TargetMode="External"/><Relationship Id="rId14" Type="http://schemas.openxmlformats.org/officeDocument/2006/relationships/hyperlink" Target="http://www.nccc.org.my/v2/index.php/mengenai-nccc/fungsi-nccc"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fomca.org.my/v1/index.php/tentang-kami/pusat-penyelidikan-dan-sumber-pengguna" TargetMode="External"/><Relationship Id="rId2" Type="http://schemas.openxmlformats.org/officeDocument/2006/relationships/hyperlink" Target="https://www.kpdnhep.gov.my/en/corporate-info/functions-of-kpdnhep.html" TargetMode="External"/><Relationship Id="rId1" Type="http://schemas.openxmlformats.org/officeDocument/2006/relationships/hyperlink" Target="https://putusan3.mahkamahagung.go.id/direktori/index/kategori/perlindungan-konsumen-1.html" TargetMode="External"/><Relationship Id="rId4" Type="http://schemas.openxmlformats.org/officeDocument/2006/relationships/hyperlink" Target="http://www.nccc.org.my/v2/index.php/mengenai-nccc/fungsi-nc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41C95-FB85-42EF-BD36-B2D5F747B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19</Pages>
  <Words>13003</Words>
  <Characters>74120</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dc:description/>
  <cp:lastModifiedBy>MUSATAKLIMA</cp:lastModifiedBy>
  <cp:revision>196</cp:revision>
  <dcterms:created xsi:type="dcterms:W3CDTF">2022-09-15T08:07:00Z</dcterms:created>
  <dcterms:modified xsi:type="dcterms:W3CDTF">2023-01-17T14:58:00Z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http://www.zotero.org/styles/chicago-fullnote-bibliography</vt:lpwstr>
  </property>
  <property fmtid="{D5CDD505-2E9C-101B-9397-08002B2CF9AE}" pid="3" name="Mendeley Document_1">
    <vt:lpwstr>True</vt:lpwstr>
  </property>
  <property fmtid="{D5CDD505-2E9C-101B-9397-08002B2CF9AE}" pid="4" name="Mendeley Recent Style Id 0_1">
    <vt:lpwstr>http://www.zotero.org/styles/american-political-science-association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http://www.zotero.org/styles/chicago-author-date</vt:lpwstr>
  </property>
  <property fmtid="{D5CDD505-2E9C-101B-9397-08002B2CF9AE}" pid="7" name="Mendeley Recent Style Id 3_1">
    <vt:lpwstr>http://www.zotero.org/styles/chicago-fullnote-bibliography</vt:lpwstr>
  </property>
  <property fmtid="{D5CDD505-2E9C-101B-9397-08002B2CF9AE}" pid="8" name="Mendeley Recent Style Id 4_1">
    <vt:lpwstr>http://www.zotero.org/styles/harvard-cite-them-right</vt:lpwstr>
  </property>
  <property fmtid="{D5CDD505-2E9C-101B-9397-08002B2CF9AE}" pid="9" name="Mendeley Recent Style Id 5_1">
    <vt:lpwstr>http://www.zotero.org/styles/ieee</vt:lpwstr>
  </property>
  <property fmtid="{D5CDD505-2E9C-101B-9397-08002B2CF9AE}" pid="10" name="Mendeley Recent Style Id 6_1">
    <vt:lpwstr>http://www.zotero.org/styles/modern-language-association-6th-edition-note</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http://www.zotero.org/styles/moorlands-college</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Political Science Association</vt:lpwstr>
  </property>
  <property fmtid="{D5CDD505-2E9C-101B-9397-08002B2CF9AE}" pid="15" name="Mendeley Recent Style Name 1_1">
    <vt:lpwstr>American Psychological Association 7th edition</vt:lpwstr>
  </property>
  <property fmtid="{D5CDD505-2E9C-101B-9397-08002B2CF9AE}" pid="16" name="Mendeley Recent Style Name 2_1">
    <vt:lpwstr>Chicago Manual of Style 17th edition (author-date)</vt:lpwstr>
  </property>
  <property fmtid="{D5CDD505-2E9C-101B-9397-08002B2CF9AE}" pid="17" name="Mendeley Recent Style Name 3_1">
    <vt:lpwstr>Chicago Manual of Style 17th edition (full note)</vt:lpwstr>
  </property>
  <property fmtid="{D5CDD505-2E9C-101B-9397-08002B2CF9AE}" pid="18" name="Mendeley Recent Style Name 4_1">
    <vt:lpwstr>Cite Them Right 10th edition - Harvard</vt:lpwstr>
  </property>
  <property fmtid="{D5CDD505-2E9C-101B-9397-08002B2CF9AE}" pid="19" name="Mendeley Recent Style Name 5_1">
    <vt:lpwstr>IEEE</vt:lpwstr>
  </property>
  <property fmtid="{D5CDD505-2E9C-101B-9397-08002B2CF9AE}" pid="20" name="Mendeley Recent Style Name 6_1">
    <vt:lpwstr>Modern Language Association 6th edition (note)</vt:lpwstr>
  </property>
  <property fmtid="{D5CDD505-2E9C-101B-9397-08002B2CF9AE}" pid="21" name="Mendeley Recent Style Name 7_1">
    <vt:lpwstr>Modern Language Association 9th edition</vt:lpwstr>
  </property>
  <property fmtid="{D5CDD505-2E9C-101B-9397-08002B2CF9AE}" pid="22" name="Mendeley Recent Style Name 8_1">
    <vt:lpwstr>Moorlands College</vt:lpwstr>
  </property>
  <property fmtid="{D5CDD505-2E9C-101B-9397-08002B2CF9AE}" pid="23" name="Mendeley Recent Style Name 9_1">
    <vt:lpwstr>Turabian 8th edition (full note)</vt:lpwstr>
  </property>
  <property fmtid="{D5CDD505-2E9C-101B-9397-08002B2CF9AE}" pid="24" name="Mendeley Unique User Id_1">
    <vt:lpwstr>ed185f17-ec37-3adf-9412-034b6f95fcb2</vt:lpwstr>
  </property>
  <property fmtid="{D5CDD505-2E9C-101B-9397-08002B2CF9AE}" pid="25" name="ZOTERO_PREF_1">
    <vt:lpwstr>&lt;data data-version="3" zotero-version="6.0.15"&gt;&lt;session id="irReNYA9"/&gt;&lt;style id="http://www.zotero.org/styles/chicago-fullnote-bibliography" locale="en-US" hasBibliography="1" bibliographyStyleHasBeenSet="1"/&gt;&lt;prefs&gt;&lt;pref name="noteType" value="1"/&gt;&lt;pref</vt:lpwstr>
  </property>
  <property fmtid="{D5CDD505-2E9C-101B-9397-08002B2CF9AE}" pid="26" name="ZOTERO_PREF_2">
    <vt:lpwstr> name="fieldType" value="Field"/&gt;&lt;/prefs&gt;&lt;/data&gt;</vt:lpwstr>
  </property>
</Properties>
</file>