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D99C8" w14:textId="77777777" w:rsidR="00522FB7" w:rsidRDefault="00522FB7" w:rsidP="00522FB7">
      <w:pPr>
        <w:jc w:val="center"/>
        <w:rPr>
          <w:rFonts w:asciiTheme="majorBidi" w:hAnsiTheme="majorBidi" w:cstheme="majorBidi"/>
          <w:b/>
          <w:bCs/>
          <w:sz w:val="26"/>
          <w:szCs w:val="26"/>
        </w:rPr>
      </w:pPr>
      <w:proofErr w:type="spellStart"/>
      <w:r w:rsidRPr="00CF1591">
        <w:rPr>
          <w:rFonts w:asciiTheme="majorBidi" w:hAnsiTheme="majorBidi" w:cstheme="majorBidi"/>
          <w:b/>
          <w:bCs/>
          <w:i/>
          <w:iCs/>
          <w:sz w:val="26"/>
          <w:szCs w:val="26"/>
        </w:rPr>
        <w:t>Interlegality</w:t>
      </w:r>
      <w:proofErr w:type="spellEnd"/>
      <w:r w:rsidRPr="00CF1591">
        <w:rPr>
          <w:rFonts w:asciiTheme="majorBidi" w:hAnsiTheme="majorBidi" w:cstheme="majorBidi"/>
          <w:b/>
          <w:bCs/>
          <w:i/>
          <w:iCs/>
          <w:sz w:val="26"/>
          <w:szCs w:val="26"/>
        </w:rPr>
        <w:t xml:space="preserve"> </w:t>
      </w:r>
      <w:proofErr w:type="spellStart"/>
      <w:r w:rsidRPr="00CF1591">
        <w:rPr>
          <w:rFonts w:asciiTheme="majorBidi" w:hAnsiTheme="majorBidi" w:cstheme="majorBidi"/>
          <w:b/>
          <w:bCs/>
          <w:i/>
          <w:iCs/>
          <w:sz w:val="26"/>
          <w:szCs w:val="26"/>
        </w:rPr>
        <w:t>Interreligious</w:t>
      </w:r>
      <w:proofErr w:type="spellEnd"/>
      <w:r w:rsidRPr="00CF1591">
        <w:rPr>
          <w:rFonts w:asciiTheme="majorBidi" w:hAnsiTheme="majorBidi" w:cstheme="majorBidi"/>
          <w:b/>
          <w:bCs/>
          <w:i/>
          <w:iCs/>
          <w:sz w:val="26"/>
          <w:szCs w:val="26"/>
        </w:rPr>
        <w:t xml:space="preserve"> </w:t>
      </w:r>
      <w:proofErr w:type="spellStart"/>
      <w:r w:rsidRPr="00CF1591">
        <w:rPr>
          <w:rFonts w:asciiTheme="majorBidi" w:hAnsiTheme="majorBidi" w:cstheme="majorBidi"/>
          <w:b/>
          <w:bCs/>
          <w:i/>
          <w:iCs/>
          <w:sz w:val="26"/>
          <w:szCs w:val="26"/>
        </w:rPr>
        <w:t>Marriage</w:t>
      </w:r>
      <w:proofErr w:type="spellEnd"/>
      <w:r w:rsidRPr="00CF1591">
        <w:rPr>
          <w:rFonts w:asciiTheme="majorBidi" w:hAnsiTheme="majorBidi" w:cstheme="majorBidi"/>
          <w:b/>
          <w:bCs/>
          <w:sz w:val="26"/>
          <w:szCs w:val="26"/>
        </w:rPr>
        <w:t xml:space="preserve"> </w:t>
      </w:r>
      <w:proofErr w:type="spellStart"/>
      <w:r w:rsidRPr="00CF1591">
        <w:rPr>
          <w:rFonts w:asciiTheme="majorBidi" w:hAnsiTheme="majorBidi" w:cstheme="majorBidi"/>
          <w:b/>
          <w:bCs/>
          <w:i/>
          <w:iCs/>
          <w:sz w:val="26"/>
          <w:szCs w:val="26"/>
        </w:rPr>
        <w:t>Vis</w:t>
      </w:r>
      <w:proofErr w:type="spellEnd"/>
      <w:r w:rsidRPr="00CF1591">
        <w:rPr>
          <w:rFonts w:asciiTheme="majorBidi" w:hAnsiTheme="majorBidi" w:cstheme="majorBidi"/>
          <w:b/>
          <w:bCs/>
          <w:i/>
          <w:iCs/>
          <w:sz w:val="26"/>
          <w:szCs w:val="26"/>
        </w:rPr>
        <w:t xml:space="preserve"> a </w:t>
      </w:r>
      <w:proofErr w:type="spellStart"/>
      <w:r w:rsidRPr="00CF1591">
        <w:rPr>
          <w:rFonts w:asciiTheme="majorBidi" w:hAnsiTheme="majorBidi" w:cstheme="majorBidi"/>
          <w:b/>
          <w:bCs/>
          <w:i/>
          <w:iCs/>
          <w:sz w:val="26"/>
          <w:szCs w:val="26"/>
        </w:rPr>
        <w:t>Vis</w:t>
      </w:r>
      <w:proofErr w:type="spellEnd"/>
      <w:r w:rsidRPr="00CF1591">
        <w:rPr>
          <w:rFonts w:asciiTheme="majorBidi" w:hAnsiTheme="majorBidi" w:cstheme="majorBidi"/>
          <w:b/>
          <w:bCs/>
          <w:sz w:val="26"/>
          <w:szCs w:val="26"/>
        </w:rPr>
        <w:t xml:space="preserve"> Surat Edaran Mahkamah Agung Nomor 2 Tahun 2023 tentang Penolakan Permohonan Pencatatan Perkawinan Beda Agama di </w:t>
      </w:r>
      <w:r>
        <w:rPr>
          <w:rFonts w:asciiTheme="majorBidi" w:hAnsiTheme="majorBidi" w:cstheme="majorBidi"/>
          <w:b/>
          <w:bCs/>
          <w:sz w:val="26"/>
          <w:szCs w:val="26"/>
        </w:rPr>
        <w:t>Indonesia</w:t>
      </w:r>
    </w:p>
    <w:p w14:paraId="7C4561C9" w14:textId="77777777" w:rsidR="00522FB7" w:rsidRDefault="00522FB7" w:rsidP="00522FB7">
      <w:pPr>
        <w:jc w:val="center"/>
        <w:rPr>
          <w:rFonts w:asciiTheme="majorBidi" w:hAnsiTheme="majorBidi" w:cstheme="majorBidi"/>
          <w:sz w:val="24"/>
          <w:szCs w:val="24"/>
        </w:rPr>
      </w:pPr>
      <w:r>
        <w:rPr>
          <w:rFonts w:asciiTheme="majorBidi" w:hAnsiTheme="majorBidi" w:cstheme="majorBidi"/>
          <w:sz w:val="24"/>
          <w:szCs w:val="24"/>
        </w:rPr>
        <w:t xml:space="preserve">Oleh: </w:t>
      </w:r>
    </w:p>
    <w:p w14:paraId="0CC568AA" w14:textId="77777777" w:rsidR="00522FB7" w:rsidRDefault="00522FB7" w:rsidP="00522FB7">
      <w:pPr>
        <w:spacing w:after="0" w:line="240" w:lineRule="auto"/>
        <w:jc w:val="center"/>
        <w:rPr>
          <w:rFonts w:asciiTheme="majorBidi" w:hAnsiTheme="majorBidi" w:cstheme="majorBidi"/>
          <w:sz w:val="24"/>
          <w:szCs w:val="24"/>
        </w:rPr>
      </w:pPr>
      <w:r>
        <w:rPr>
          <w:rFonts w:asciiTheme="majorBidi" w:hAnsiTheme="majorBidi" w:cstheme="majorBidi"/>
          <w:sz w:val="24"/>
          <w:szCs w:val="24"/>
        </w:rPr>
        <w:t>Noer Yasin</w:t>
      </w:r>
    </w:p>
    <w:p w14:paraId="0C4CF2FD" w14:textId="77777777" w:rsidR="00522FB7" w:rsidRDefault="00522FB7" w:rsidP="00522FB7">
      <w:pPr>
        <w:spacing w:after="0" w:line="240" w:lineRule="auto"/>
        <w:jc w:val="center"/>
        <w:rPr>
          <w:rFonts w:asciiTheme="majorBidi" w:hAnsiTheme="majorBidi" w:cstheme="majorBidi"/>
          <w:sz w:val="24"/>
          <w:szCs w:val="24"/>
        </w:rPr>
      </w:pPr>
      <w:r>
        <w:rPr>
          <w:rFonts w:asciiTheme="majorBidi" w:hAnsiTheme="majorBidi" w:cstheme="majorBidi"/>
          <w:sz w:val="24"/>
          <w:szCs w:val="24"/>
        </w:rPr>
        <w:t>Fakultas Syariah Universitas Islam Negeri Maulana Malik Ibrahim Malang</w:t>
      </w:r>
    </w:p>
    <w:p w14:paraId="7F129458" w14:textId="77777777" w:rsidR="00522FB7" w:rsidRDefault="00000000" w:rsidP="00522FB7">
      <w:pPr>
        <w:spacing w:after="0" w:line="240" w:lineRule="auto"/>
        <w:jc w:val="center"/>
        <w:rPr>
          <w:rFonts w:asciiTheme="majorBidi" w:hAnsiTheme="majorBidi" w:cstheme="majorBidi"/>
          <w:sz w:val="24"/>
          <w:szCs w:val="24"/>
        </w:rPr>
      </w:pPr>
      <w:hyperlink r:id="rId8" w:history="1">
        <w:r w:rsidR="00522FB7" w:rsidRPr="001E4B06">
          <w:rPr>
            <w:rStyle w:val="Hyperlink"/>
            <w:rFonts w:asciiTheme="majorBidi" w:hAnsiTheme="majorBidi" w:cstheme="majorBidi"/>
            <w:sz w:val="24"/>
            <w:szCs w:val="24"/>
          </w:rPr>
          <w:t>noeryasin@syariah.uin-malang.ac.id</w:t>
        </w:r>
      </w:hyperlink>
      <w:r w:rsidR="00522FB7">
        <w:rPr>
          <w:rFonts w:asciiTheme="majorBidi" w:hAnsiTheme="majorBidi" w:cstheme="majorBidi"/>
          <w:sz w:val="24"/>
          <w:szCs w:val="24"/>
        </w:rPr>
        <w:t xml:space="preserve"> </w:t>
      </w:r>
    </w:p>
    <w:p w14:paraId="06D1FC44" w14:textId="77777777" w:rsidR="00522FB7" w:rsidRDefault="00522FB7" w:rsidP="00522FB7">
      <w:pPr>
        <w:spacing w:after="0" w:line="240" w:lineRule="auto"/>
        <w:jc w:val="center"/>
        <w:rPr>
          <w:rFonts w:asciiTheme="majorBidi" w:hAnsiTheme="majorBidi" w:cstheme="majorBidi"/>
          <w:sz w:val="24"/>
          <w:szCs w:val="24"/>
        </w:rPr>
      </w:pPr>
    </w:p>
    <w:p w14:paraId="40C77FC4" w14:textId="77777777" w:rsidR="00522FB7" w:rsidRDefault="00522FB7" w:rsidP="00522FB7">
      <w:pPr>
        <w:spacing w:after="0" w:line="240" w:lineRule="auto"/>
        <w:jc w:val="center"/>
        <w:rPr>
          <w:rFonts w:asciiTheme="majorBidi" w:hAnsiTheme="majorBidi" w:cstheme="majorBidi"/>
          <w:sz w:val="24"/>
          <w:szCs w:val="24"/>
        </w:rPr>
      </w:pPr>
      <w:proofErr w:type="spellStart"/>
      <w:r>
        <w:rPr>
          <w:rFonts w:asciiTheme="majorBidi" w:hAnsiTheme="majorBidi" w:cstheme="majorBidi"/>
          <w:sz w:val="24"/>
          <w:szCs w:val="24"/>
        </w:rPr>
        <w:t>Musataklima</w:t>
      </w:r>
      <w:proofErr w:type="spellEnd"/>
    </w:p>
    <w:p w14:paraId="407D4B7C" w14:textId="77777777" w:rsidR="00522FB7" w:rsidRDefault="00522FB7" w:rsidP="00522FB7">
      <w:pPr>
        <w:spacing w:after="0" w:line="240" w:lineRule="auto"/>
        <w:jc w:val="center"/>
        <w:rPr>
          <w:rFonts w:asciiTheme="majorBidi" w:hAnsiTheme="majorBidi" w:cstheme="majorBidi"/>
          <w:sz w:val="24"/>
          <w:szCs w:val="24"/>
        </w:rPr>
      </w:pPr>
      <w:r>
        <w:rPr>
          <w:rFonts w:asciiTheme="majorBidi" w:hAnsiTheme="majorBidi" w:cstheme="majorBidi"/>
          <w:sz w:val="24"/>
          <w:szCs w:val="24"/>
        </w:rPr>
        <w:t>Fakultas Syariah Universitas Islam Negeri Maulana Malik Ibrahim Malang</w:t>
      </w:r>
    </w:p>
    <w:p w14:paraId="21C5A040" w14:textId="77777777" w:rsidR="00522FB7" w:rsidRDefault="00000000" w:rsidP="00522FB7">
      <w:pPr>
        <w:spacing w:after="0" w:line="240" w:lineRule="auto"/>
        <w:jc w:val="center"/>
        <w:rPr>
          <w:rFonts w:asciiTheme="majorBidi" w:hAnsiTheme="majorBidi" w:cstheme="majorBidi"/>
          <w:sz w:val="24"/>
          <w:szCs w:val="24"/>
        </w:rPr>
      </w:pPr>
      <w:hyperlink r:id="rId9" w:history="1">
        <w:r w:rsidR="00522FB7" w:rsidRPr="001E4B06">
          <w:rPr>
            <w:rStyle w:val="Hyperlink"/>
            <w:rFonts w:asciiTheme="majorBidi" w:hAnsiTheme="majorBidi" w:cstheme="majorBidi"/>
            <w:sz w:val="24"/>
            <w:szCs w:val="24"/>
          </w:rPr>
          <w:t>musa@syariah.uin-malang.ac.id</w:t>
        </w:r>
      </w:hyperlink>
      <w:r w:rsidR="00522FB7">
        <w:rPr>
          <w:rFonts w:asciiTheme="majorBidi" w:hAnsiTheme="majorBidi" w:cstheme="majorBidi"/>
          <w:sz w:val="24"/>
          <w:szCs w:val="24"/>
        </w:rPr>
        <w:t xml:space="preserve"> </w:t>
      </w:r>
    </w:p>
    <w:p w14:paraId="3E0EEF85" w14:textId="77777777" w:rsidR="00522FB7" w:rsidRDefault="00522FB7" w:rsidP="00522FB7">
      <w:pPr>
        <w:spacing w:after="0" w:line="240" w:lineRule="auto"/>
        <w:jc w:val="center"/>
        <w:rPr>
          <w:rFonts w:asciiTheme="majorBidi" w:hAnsiTheme="majorBidi" w:cstheme="majorBidi"/>
          <w:sz w:val="24"/>
          <w:szCs w:val="24"/>
        </w:rPr>
      </w:pPr>
    </w:p>
    <w:p w14:paraId="5CF336FE" w14:textId="64A28B2F" w:rsidR="00522FB7" w:rsidRPr="001E156B" w:rsidRDefault="00522FB7" w:rsidP="001E156B">
      <w:pPr>
        <w:pStyle w:val="SubJudulTemplate"/>
        <w:numPr>
          <w:ilvl w:val="0"/>
          <w:numId w:val="14"/>
        </w:numPr>
        <w:spacing w:line="240" w:lineRule="auto"/>
        <w:ind w:left="284" w:hanging="284"/>
        <w:rPr>
          <w:rFonts w:asciiTheme="majorBidi" w:hAnsiTheme="majorBidi" w:cstheme="majorBidi"/>
          <w:b w:val="0"/>
          <w:bCs w:val="0"/>
          <w:i/>
          <w:iCs/>
          <w:lang w:val="sv-SE"/>
        </w:rPr>
      </w:pPr>
      <w:r w:rsidRPr="001E156B">
        <w:rPr>
          <w:rFonts w:asciiTheme="majorBidi" w:hAnsiTheme="majorBidi" w:cstheme="majorBidi"/>
        </w:rPr>
        <w:t>KEPENGARANGAN</w:t>
      </w:r>
      <w:r w:rsidRPr="001E156B">
        <w:rPr>
          <w:rFonts w:asciiTheme="majorBidi" w:hAnsiTheme="majorBidi" w:cstheme="majorBidi"/>
          <w:lang w:val="sv-SE"/>
        </w:rPr>
        <w:t xml:space="preserve"> </w:t>
      </w:r>
      <w:r w:rsidRPr="001E156B">
        <w:rPr>
          <w:rFonts w:asciiTheme="majorBidi" w:hAnsiTheme="majorBidi" w:cstheme="majorBidi"/>
          <w:b w:val="0"/>
          <w:bCs w:val="0"/>
          <w:i/>
          <w:iCs/>
          <w:lang w:val="sv-SE"/>
        </w:rPr>
        <w:t>(Required)</w:t>
      </w:r>
    </w:p>
    <w:p w14:paraId="36A55D62" w14:textId="3B445B18" w:rsidR="00522FB7" w:rsidRPr="001E156B" w:rsidRDefault="00522FB7" w:rsidP="001E156B">
      <w:pPr>
        <w:pStyle w:val="ListParagraph"/>
        <w:numPr>
          <w:ilvl w:val="0"/>
          <w:numId w:val="15"/>
        </w:numPr>
        <w:spacing w:after="0" w:line="240" w:lineRule="auto"/>
        <w:ind w:left="567" w:hanging="283"/>
        <w:jc w:val="both"/>
        <w:rPr>
          <w:rStyle w:val="Hyperlink"/>
          <w:rFonts w:asciiTheme="majorBidi" w:hAnsiTheme="majorBidi" w:cstheme="majorBidi"/>
          <w:color w:val="auto"/>
          <w:sz w:val="24"/>
          <w:szCs w:val="24"/>
          <w:u w:val="none"/>
        </w:rPr>
      </w:pPr>
      <w:r w:rsidRPr="001E156B">
        <w:rPr>
          <w:rFonts w:asciiTheme="majorBidi" w:hAnsiTheme="majorBidi" w:cstheme="majorBidi"/>
          <w:sz w:val="24"/>
          <w:szCs w:val="24"/>
        </w:rPr>
        <w:t xml:space="preserve">Noer Yasin berkontribusi dalam memberikan padangan keislaman dalam artikel ini. Ia merupakan dosen senior fakultas syariah Universitas Islam Negeri Maulana Malik Ibrahim Malang dengan alamat email </w:t>
      </w:r>
      <w:hyperlink r:id="rId10" w:history="1">
        <w:r w:rsidRPr="001E156B">
          <w:rPr>
            <w:rStyle w:val="Hyperlink"/>
            <w:rFonts w:asciiTheme="majorBidi" w:hAnsiTheme="majorBidi" w:cstheme="majorBidi"/>
            <w:sz w:val="24"/>
            <w:szCs w:val="24"/>
          </w:rPr>
          <w:t>noeryasin@syariah.uin-malang.ac.id</w:t>
        </w:r>
      </w:hyperlink>
    </w:p>
    <w:p w14:paraId="36C4FFB8" w14:textId="3F04D224" w:rsidR="00522FB7" w:rsidRPr="001E156B" w:rsidRDefault="00C617EC" w:rsidP="001E156B">
      <w:pPr>
        <w:pStyle w:val="ListParagraph"/>
        <w:numPr>
          <w:ilvl w:val="0"/>
          <w:numId w:val="15"/>
        </w:numPr>
        <w:spacing w:after="0" w:line="240" w:lineRule="auto"/>
        <w:ind w:left="567" w:hanging="283"/>
        <w:jc w:val="both"/>
        <w:rPr>
          <w:rFonts w:asciiTheme="majorBidi" w:hAnsiTheme="majorBidi" w:cstheme="majorBidi"/>
          <w:sz w:val="24"/>
          <w:szCs w:val="24"/>
        </w:rPr>
      </w:pPr>
      <w:proofErr w:type="spellStart"/>
      <w:r w:rsidRPr="001E156B">
        <w:rPr>
          <w:rStyle w:val="Hyperlink"/>
          <w:rFonts w:asciiTheme="majorBidi" w:hAnsiTheme="majorBidi" w:cstheme="majorBidi"/>
          <w:color w:val="auto"/>
          <w:sz w:val="24"/>
          <w:szCs w:val="24"/>
          <w:u w:val="none"/>
        </w:rPr>
        <w:t>Musataklima</w:t>
      </w:r>
      <w:proofErr w:type="spellEnd"/>
      <w:r w:rsidRPr="001E156B">
        <w:rPr>
          <w:rStyle w:val="Hyperlink"/>
          <w:rFonts w:asciiTheme="majorBidi" w:hAnsiTheme="majorBidi" w:cstheme="majorBidi"/>
          <w:color w:val="auto"/>
          <w:sz w:val="24"/>
          <w:szCs w:val="24"/>
          <w:u w:val="none"/>
        </w:rPr>
        <w:t xml:space="preserve"> berkontribusi dalam </w:t>
      </w:r>
      <w:proofErr w:type="spellStart"/>
      <w:r w:rsidRPr="001E156B">
        <w:rPr>
          <w:rStyle w:val="Hyperlink"/>
          <w:rFonts w:asciiTheme="majorBidi" w:hAnsiTheme="majorBidi" w:cstheme="majorBidi"/>
          <w:color w:val="auto"/>
          <w:sz w:val="24"/>
          <w:szCs w:val="24"/>
          <w:u w:val="none"/>
        </w:rPr>
        <w:t>mengurain</w:t>
      </w:r>
      <w:proofErr w:type="spellEnd"/>
      <w:r w:rsidRPr="001E156B">
        <w:rPr>
          <w:rStyle w:val="Hyperlink"/>
          <w:rFonts w:asciiTheme="majorBidi" w:hAnsiTheme="majorBidi" w:cstheme="majorBidi"/>
          <w:color w:val="auto"/>
          <w:sz w:val="24"/>
          <w:szCs w:val="24"/>
          <w:u w:val="none"/>
        </w:rPr>
        <w:t xml:space="preserve"> </w:t>
      </w:r>
      <w:proofErr w:type="spellStart"/>
      <w:r w:rsidRPr="001E156B">
        <w:rPr>
          <w:rStyle w:val="Hyperlink"/>
          <w:rFonts w:asciiTheme="majorBidi" w:hAnsiTheme="majorBidi" w:cstheme="majorBidi"/>
          <w:color w:val="auto"/>
          <w:sz w:val="24"/>
          <w:szCs w:val="24"/>
          <w:u w:val="none"/>
        </w:rPr>
        <w:t>interrelality</w:t>
      </w:r>
      <w:proofErr w:type="spellEnd"/>
      <w:r w:rsidRPr="001E156B">
        <w:rPr>
          <w:rStyle w:val="Hyperlink"/>
          <w:rFonts w:asciiTheme="majorBidi" w:hAnsiTheme="majorBidi" w:cstheme="majorBidi"/>
          <w:color w:val="auto"/>
          <w:sz w:val="24"/>
          <w:szCs w:val="24"/>
          <w:u w:val="none"/>
        </w:rPr>
        <w:t xml:space="preserve"> dan konsep hukum perdata internasional dalam artikel ini. Ia merupakan dosen </w:t>
      </w:r>
      <w:r w:rsidRPr="001E156B">
        <w:rPr>
          <w:rFonts w:asciiTheme="majorBidi" w:hAnsiTheme="majorBidi" w:cstheme="majorBidi"/>
          <w:sz w:val="24"/>
          <w:szCs w:val="24"/>
        </w:rPr>
        <w:t xml:space="preserve">fakultas syariah Universitas Islam Negeri Maulana Malik Ibrahim Malang dengan alamat email </w:t>
      </w:r>
      <w:hyperlink r:id="rId11" w:history="1">
        <w:r w:rsidRPr="001E156B">
          <w:rPr>
            <w:rStyle w:val="Hyperlink"/>
            <w:rFonts w:asciiTheme="majorBidi" w:hAnsiTheme="majorBidi" w:cstheme="majorBidi"/>
            <w:sz w:val="24"/>
            <w:szCs w:val="24"/>
          </w:rPr>
          <w:t>musa@syariah.uin-malang.ac.id</w:t>
        </w:r>
      </w:hyperlink>
      <w:r w:rsidRPr="001E156B">
        <w:rPr>
          <w:rStyle w:val="Hyperlink"/>
          <w:rFonts w:asciiTheme="majorBidi" w:hAnsiTheme="majorBidi" w:cstheme="majorBidi"/>
          <w:sz w:val="24"/>
          <w:szCs w:val="24"/>
        </w:rPr>
        <w:t>.</w:t>
      </w:r>
    </w:p>
    <w:p w14:paraId="4AD0924F" w14:textId="3AE2B9AD" w:rsidR="00522FB7" w:rsidRPr="001E156B" w:rsidRDefault="00522FB7" w:rsidP="001E156B">
      <w:pPr>
        <w:pStyle w:val="SubJudulTemplate"/>
        <w:numPr>
          <w:ilvl w:val="0"/>
          <w:numId w:val="14"/>
        </w:numPr>
        <w:spacing w:line="240" w:lineRule="auto"/>
        <w:ind w:left="284" w:hanging="284"/>
        <w:rPr>
          <w:rFonts w:asciiTheme="majorBidi" w:hAnsiTheme="majorBidi" w:cstheme="majorBidi"/>
          <w:b w:val="0"/>
          <w:bCs w:val="0"/>
        </w:rPr>
      </w:pPr>
      <w:r w:rsidRPr="001E156B">
        <w:rPr>
          <w:rFonts w:asciiTheme="majorBidi" w:hAnsiTheme="majorBidi" w:cstheme="majorBidi"/>
        </w:rPr>
        <w:t xml:space="preserve">UCAPAN TERIMA KASIH </w:t>
      </w:r>
      <w:r w:rsidRPr="001E156B">
        <w:rPr>
          <w:rFonts w:asciiTheme="majorBidi" w:hAnsiTheme="majorBidi" w:cstheme="majorBidi"/>
          <w:b w:val="0"/>
          <w:bCs w:val="0"/>
          <w:i/>
          <w:iCs/>
        </w:rPr>
        <w:t>(</w:t>
      </w:r>
      <w:proofErr w:type="spellStart"/>
      <w:r w:rsidRPr="001E156B">
        <w:rPr>
          <w:rFonts w:asciiTheme="majorBidi" w:hAnsiTheme="majorBidi" w:cstheme="majorBidi"/>
          <w:b w:val="0"/>
          <w:bCs w:val="0"/>
          <w:i/>
          <w:iCs/>
        </w:rPr>
        <w:t>Required</w:t>
      </w:r>
      <w:proofErr w:type="spellEnd"/>
      <w:r w:rsidRPr="001E156B">
        <w:rPr>
          <w:rFonts w:asciiTheme="majorBidi" w:hAnsiTheme="majorBidi" w:cstheme="majorBidi"/>
          <w:b w:val="0"/>
          <w:bCs w:val="0"/>
          <w:i/>
          <w:iCs/>
        </w:rPr>
        <w:t>)</w:t>
      </w:r>
    </w:p>
    <w:p w14:paraId="0CCB683F" w14:textId="427A6D21" w:rsidR="0029566C" w:rsidRPr="001E156B" w:rsidRDefault="0029566C" w:rsidP="001E156B">
      <w:pPr>
        <w:pStyle w:val="ListParagraph"/>
        <w:numPr>
          <w:ilvl w:val="0"/>
          <w:numId w:val="16"/>
        </w:numPr>
        <w:spacing w:after="0" w:line="240" w:lineRule="auto"/>
        <w:ind w:left="567" w:hanging="283"/>
        <w:jc w:val="both"/>
        <w:rPr>
          <w:rFonts w:asciiTheme="majorBidi" w:hAnsiTheme="majorBidi" w:cstheme="majorBidi"/>
          <w:sz w:val="24"/>
          <w:szCs w:val="24"/>
        </w:rPr>
      </w:pPr>
      <w:r w:rsidRPr="001E156B">
        <w:rPr>
          <w:rFonts w:asciiTheme="majorBidi" w:hAnsiTheme="majorBidi" w:cstheme="majorBidi"/>
          <w:sz w:val="24"/>
          <w:szCs w:val="24"/>
        </w:rPr>
        <w:t>Prof. Dr. Zainuddin, M.A., Rektor UIN Maulana Malik Ibrahim Malang, yang selalu memotivasi kepada para dosen untuk selalu melakukan penelitian sebagai salah satu bentuk pelaksanaan dari Tridarma Perguruan tinggi.</w:t>
      </w:r>
    </w:p>
    <w:p w14:paraId="17D01671" w14:textId="2E97196E" w:rsidR="0029566C" w:rsidRPr="001E156B" w:rsidRDefault="0029566C" w:rsidP="001E156B">
      <w:pPr>
        <w:pStyle w:val="ListParagraph"/>
        <w:numPr>
          <w:ilvl w:val="0"/>
          <w:numId w:val="16"/>
        </w:numPr>
        <w:spacing w:after="0" w:line="240" w:lineRule="auto"/>
        <w:ind w:left="567" w:hanging="283"/>
        <w:jc w:val="both"/>
        <w:rPr>
          <w:rFonts w:asciiTheme="majorBidi" w:hAnsiTheme="majorBidi" w:cstheme="majorBidi"/>
          <w:sz w:val="24"/>
          <w:szCs w:val="24"/>
        </w:rPr>
      </w:pPr>
      <w:r w:rsidRPr="001E156B">
        <w:rPr>
          <w:rFonts w:asciiTheme="majorBidi" w:hAnsiTheme="majorBidi" w:cstheme="majorBidi"/>
          <w:sz w:val="24"/>
          <w:szCs w:val="24"/>
        </w:rPr>
        <w:t>Prof. Dr. Sudirman Hasan, M.A., CAHRM. Dekan</w:t>
      </w:r>
      <w:r w:rsidR="00FA33C8" w:rsidRPr="001E156B">
        <w:rPr>
          <w:rFonts w:asciiTheme="majorBidi" w:hAnsiTheme="majorBidi" w:cstheme="majorBidi"/>
          <w:sz w:val="24"/>
          <w:szCs w:val="24"/>
        </w:rPr>
        <w:t xml:space="preserve"> Fakultas Syariah</w:t>
      </w:r>
    </w:p>
    <w:p w14:paraId="7C668A4C" w14:textId="4B1C4D58" w:rsidR="0029566C" w:rsidRPr="001E156B" w:rsidRDefault="0029566C" w:rsidP="001E156B">
      <w:pPr>
        <w:pStyle w:val="ListParagraph"/>
        <w:numPr>
          <w:ilvl w:val="0"/>
          <w:numId w:val="16"/>
        </w:numPr>
        <w:spacing w:after="0" w:line="240" w:lineRule="auto"/>
        <w:ind w:left="567" w:hanging="283"/>
        <w:jc w:val="both"/>
        <w:rPr>
          <w:rFonts w:asciiTheme="majorBidi" w:hAnsiTheme="majorBidi" w:cstheme="majorBidi"/>
          <w:sz w:val="24"/>
          <w:szCs w:val="24"/>
        </w:rPr>
      </w:pPr>
      <w:r w:rsidRPr="001E156B">
        <w:rPr>
          <w:rFonts w:asciiTheme="majorBidi" w:hAnsiTheme="majorBidi" w:cstheme="majorBidi"/>
          <w:sz w:val="24"/>
          <w:szCs w:val="24"/>
        </w:rPr>
        <w:t xml:space="preserve">Dr. Zaenul Mahmudi, M.A., yang memfasilitasi diskusi bagi dosen di Fakultas Syariah UIN Maulana Malik Ibrahim Malang di mana artikel ini didiskusikan dan diperkaya </w:t>
      </w:r>
      <w:proofErr w:type="spellStart"/>
      <w:r w:rsidRPr="001E156B">
        <w:rPr>
          <w:rFonts w:asciiTheme="majorBidi" w:hAnsiTheme="majorBidi" w:cstheme="majorBidi"/>
          <w:sz w:val="24"/>
          <w:szCs w:val="24"/>
        </w:rPr>
        <w:t>perpspetif</w:t>
      </w:r>
      <w:proofErr w:type="spellEnd"/>
    </w:p>
    <w:p w14:paraId="3D50ADE2" w14:textId="6625385B" w:rsidR="00522FB7" w:rsidRPr="001E156B" w:rsidRDefault="00522FB7" w:rsidP="001E156B">
      <w:pPr>
        <w:pStyle w:val="SubJudulTemplate"/>
        <w:numPr>
          <w:ilvl w:val="0"/>
          <w:numId w:val="14"/>
        </w:numPr>
        <w:spacing w:line="240" w:lineRule="auto"/>
        <w:ind w:left="284" w:hanging="284"/>
        <w:rPr>
          <w:rFonts w:asciiTheme="majorBidi" w:hAnsiTheme="majorBidi" w:cstheme="majorBidi"/>
        </w:rPr>
      </w:pPr>
      <w:r w:rsidRPr="001E156B">
        <w:rPr>
          <w:rFonts w:asciiTheme="majorBidi" w:hAnsiTheme="majorBidi" w:cstheme="majorBidi"/>
        </w:rPr>
        <w:t xml:space="preserve">SPONSORSHIP </w:t>
      </w:r>
      <w:r w:rsidRPr="001E156B">
        <w:rPr>
          <w:rFonts w:asciiTheme="majorBidi" w:hAnsiTheme="majorBidi" w:cstheme="majorBidi"/>
          <w:b w:val="0"/>
          <w:bCs w:val="0"/>
          <w:i/>
          <w:iCs/>
        </w:rPr>
        <w:t>(</w:t>
      </w:r>
      <w:proofErr w:type="spellStart"/>
      <w:r w:rsidRPr="001E156B">
        <w:rPr>
          <w:rFonts w:asciiTheme="majorBidi" w:hAnsiTheme="majorBidi" w:cstheme="majorBidi"/>
          <w:b w:val="0"/>
          <w:bCs w:val="0"/>
          <w:i/>
          <w:iCs/>
        </w:rPr>
        <w:t>Optional</w:t>
      </w:r>
      <w:proofErr w:type="spellEnd"/>
      <w:r w:rsidRPr="001E156B">
        <w:rPr>
          <w:rFonts w:asciiTheme="majorBidi" w:hAnsiTheme="majorBidi" w:cstheme="majorBidi"/>
          <w:b w:val="0"/>
          <w:bCs w:val="0"/>
          <w:i/>
          <w:iCs/>
        </w:rPr>
        <w:t>)</w:t>
      </w:r>
    </w:p>
    <w:p w14:paraId="5B2B7D15" w14:textId="70693A02" w:rsidR="00522FB7" w:rsidRPr="001E156B" w:rsidRDefault="00F42BB7" w:rsidP="001E156B">
      <w:pPr>
        <w:spacing w:after="0" w:line="240" w:lineRule="auto"/>
        <w:ind w:left="284"/>
        <w:rPr>
          <w:rFonts w:asciiTheme="majorBidi" w:hAnsiTheme="majorBidi" w:cstheme="majorBidi"/>
          <w:sz w:val="24"/>
          <w:szCs w:val="24"/>
        </w:rPr>
      </w:pPr>
      <w:r w:rsidRPr="001E156B">
        <w:rPr>
          <w:rFonts w:asciiTheme="majorBidi" w:hAnsiTheme="majorBidi" w:cstheme="majorBidi"/>
          <w:sz w:val="24"/>
          <w:szCs w:val="24"/>
        </w:rPr>
        <w:t xml:space="preserve">Tidak ada </w:t>
      </w:r>
      <w:proofErr w:type="spellStart"/>
      <w:r w:rsidRPr="001E156B">
        <w:rPr>
          <w:rFonts w:asciiTheme="majorBidi" w:hAnsiTheme="majorBidi" w:cstheme="majorBidi"/>
          <w:sz w:val="24"/>
          <w:szCs w:val="24"/>
        </w:rPr>
        <w:t>sponsorship</w:t>
      </w:r>
      <w:proofErr w:type="spellEnd"/>
      <w:r w:rsidRPr="001E156B">
        <w:rPr>
          <w:rFonts w:asciiTheme="majorBidi" w:hAnsiTheme="majorBidi" w:cstheme="majorBidi"/>
          <w:sz w:val="24"/>
          <w:szCs w:val="24"/>
        </w:rPr>
        <w:t xml:space="preserve"> dalam penelitian ini</w:t>
      </w:r>
    </w:p>
    <w:p w14:paraId="46F6AA12" w14:textId="218E1441" w:rsidR="00522FB7" w:rsidRPr="001E156B" w:rsidRDefault="00522FB7" w:rsidP="001E156B">
      <w:pPr>
        <w:pStyle w:val="SubJudulTemplate"/>
        <w:numPr>
          <w:ilvl w:val="0"/>
          <w:numId w:val="14"/>
        </w:numPr>
        <w:spacing w:line="240" w:lineRule="auto"/>
        <w:ind w:left="284" w:hanging="284"/>
        <w:rPr>
          <w:rFonts w:asciiTheme="majorBidi" w:hAnsiTheme="majorBidi" w:cstheme="majorBidi"/>
        </w:rPr>
      </w:pPr>
      <w:r w:rsidRPr="001E156B">
        <w:rPr>
          <w:rFonts w:asciiTheme="majorBidi" w:hAnsiTheme="majorBidi" w:cstheme="majorBidi"/>
        </w:rPr>
        <w:t xml:space="preserve">KONFLIK KEPENTINGAN </w:t>
      </w:r>
      <w:r w:rsidRPr="001E156B">
        <w:rPr>
          <w:rFonts w:asciiTheme="majorBidi" w:hAnsiTheme="majorBidi" w:cstheme="majorBidi"/>
          <w:b w:val="0"/>
          <w:bCs w:val="0"/>
          <w:i/>
          <w:iCs/>
        </w:rPr>
        <w:t>(</w:t>
      </w:r>
      <w:proofErr w:type="spellStart"/>
      <w:r w:rsidRPr="001E156B">
        <w:rPr>
          <w:rFonts w:asciiTheme="majorBidi" w:hAnsiTheme="majorBidi" w:cstheme="majorBidi"/>
          <w:b w:val="0"/>
          <w:bCs w:val="0"/>
          <w:i/>
          <w:iCs/>
        </w:rPr>
        <w:t>Required</w:t>
      </w:r>
      <w:proofErr w:type="spellEnd"/>
      <w:r w:rsidRPr="001E156B">
        <w:rPr>
          <w:rFonts w:asciiTheme="majorBidi" w:hAnsiTheme="majorBidi" w:cstheme="majorBidi"/>
          <w:b w:val="0"/>
          <w:bCs w:val="0"/>
          <w:i/>
          <w:iCs/>
        </w:rPr>
        <w:t>)</w:t>
      </w:r>
    </w:p>
    <w:p w14:paraId="7FE75292" w14:textId="33B73E15" w:rsidR="00522FB7" w:rsidRPr="001E156B" w:rsidRDefault="00F42BB7" w:rsidP="001E156B">
      <w:pPr>
        <w:spacing w:after="0" w:line="240" w:lineRule="auto"/>
        <w:ind w:left="284"/>
        <w:rPr>
          <w:rFonts w:asciiTheme="majorBidi" w:hAnsiTheme="majorBidi" w:cstheme="majorBidi"/>
          <w:sz w:val="24"/>
          <w:szCs w:val="24"/>
          <w:lang w:val="sv-SE"/>
        </w:rPr>
      </w:pPr>
      <w:r w:rsidRPr="001E156B">
        <w:rPr>
          <w:rFonts w:asciiTheme="majorBidi" w:hAnsiTheme="majorBidi" w:cstheme="majorBidi"/>
          <w:sz w:val="24"/>
          <w:szCs w:val="24"/>
        </w:rPr>
        <w:t>Tidak ada konflik Kepentingan</w:t>
      </w:r>
    </w:p>
    <w:p w14:paraId="0614DE11" w14:textId="76996838" w:rsidR="00522FB7" w:rsidRPr="001E156B" w:rsidRDefault="00522FB7" w:rsidP="001E156B">
      <w:pPr>
        <w:pStyle w:val="SubJudulTemplate"/>
        <w:numPr>
          <w:ilvl w:val="0"/>
          <w:numId w:val="14"/>
        </w:numPr>
        <w:spacing w:line="240" w:lineRule="auto"/>
        <w:ind w:left="284" w:hanging="284"/>
        <w:rPr>
          <w:rFonts w:asciiTheme="majorBidi" w:hAnsiTheme="majorBidi" w:cstheme="majorBidi"/>
          <w:lang w:val="en-US"/>
        </w:rPr>
      </w:pPr>
      <w:r w:rsidRPr="001E156B">
        <w:rPr>
          <w:rFonts w:asciiTheme="majorBidi" w:hAnsiTheme="majorBidi" w:cstheme="majorBidi"/>
        </w:rPr>
        <w:t>BIOGRAFI</w:t>
      </w:r>
      <w:r w:rsidRPr="001E156B">
        <w:rPr>
          <w:rFonts w:asciiTheme="majorBidi" w:hAnsiTheme="majorBidi" w:cstheme="majorBidi"/>
          <w:lang w:val="en-US"/>
        </w:rPr>
        <w:t xml:space="preserve"> SINGKAT </w:t>
      </w:r>
      <w:r w:rsidRPr="001E156B">
        <w:rPr>
          <w:rFonts w:asciiTheme="majorBidi" w:hAnsiTheme="majorBidi" w:cstheme="majorBidi"/>
          <w:b w:val="0"/>
          <w:bCs w:val="0"/>
          <w:i/>
          <w:iCs/>
          <w:lang w:val="en-US"/>
        </w:rPr>
        <w:t>(Required)</w:t>
      </w:r>
    </w:p>
    <w:p w14:paraId="75DB5959" w14:textId="032AC6A5" w:rsidR="00F42BB7" w:rsidRPr="001E156B" w:rsidRDefault="00F42BB7" w:rsidP="001E156B">
      <w:pPr>
        <w:pStyle w:val="ListParagraph"/>
        <w:numPr>
          <w:ilvl w:val="0"/>
          <w:numId w:val="17"/>
        </w:numPr>
        <w:spacing w:after="0" w:line="240" w:lineRule="auto"/>
        <w:ind w:left="567" w:hanging="283"/>
        <w:jc w:val="both"/>
        <w:rPr>
          <w:rFonts w:asciiTheme="majorBidi" w:hAnsiTheme="majorBidi" w:cstheme="majorBidi"/>
          <w:sz w:val="24"/>
          <w:szCs w:val="24"/>
        </w:rPr>
      </w:pPr>
      <w:r w:rsidRPr="001E156B">
        <w:rPr>
          <w:rFonts w:asciiTheme="majorBidi" w:hAnsiTheme="majorBidi" w:cstheme="majorBidi"/>
          <w:sz w:val="24"/>
          <w:szCs w:val="24"/>
        </w:rPr>
        <w:t xml:space="preserve">Noer Yasin merupakan dosen senior fakultas syariah dengan keahlian dalam bidang filsafat hukum Islam (usul Fiqih). Pendidikan S1 di raih pada Fakultas </w:t>
      </w:r>
      <w:proofErr w:type="spellStart"/>
      <w:r w:rsidRPr="001E156B">
        <w:rPr>
          <w:rFonts w:asciiTheme="majorBidi" w:hAnsiTheme="majorBidi" w:cstheme="majorBidi"/>
          <w:sz w:val="24"/>
          <w:szCs w:val="24"/>
        </w:rPr>
        <w:t>tarbiyah</w:t>
      </w:r>
      <w:proofErr w:type="spellEnd"/>
      <w:r w:rsidRPr="001E156B">
        <w:rPr>
          <w:rFonts w:asciiTheme="majorBidi" w:hAnsiTheme="majorBidi" w:cstheme="majorBidi"/>
          <w:sz w:val="24"/>
          <w:szCs w:val="24"/>
        </w:rPr>
        <w:t xml:space="preserve"> Institut Agama Islam Sunan Ampel Malang. pendidikan S2 ditempuh pada Jurusan Hukum Keluarga Islam Universitas Islam Malang, dan S3 ditempuh di Universitas Islam negeri Sunan Ampel Surabaya.</w:t>
      </w:r>
    </w:p>
    <w:p w14:paraId="0976A0F3" w14:textId="1A0366E2" w:rsidR="00F42BB7" w:rsidRPr="001E156B" w:rsidRDefault="00F42BB7" w:rsidP="001E156B">
      <w:pPr>
        <w:pStyle w:val="ListParagraph"/>
        <w:numPr>
          <w:ilvl w:val="0"/>
          <w:numId w:val="17"/>
        </w:numPr>
        <w:spacing w:after="0" w:line="240" w:lineRule="auto"/>
        <w:ind w:left="567" w:hanging="283"/>
        <w:jc w:val="both"/>
        <w:rPr>
          <w:rFonts w:asciiTheme="majorBidi" w:hAnsiTheme="majorBidi" w:cstheme="majorBidi"/>
          <w:sz w:val="24"/>
          <w:szCs w:val="24"/>
        </w:rPr>
      </w:pPr>
      <w:proofErr w:type="spellStart"/>
      <w:r w:rsidRPr="001E156B">
        <w:rPr>
          <w:rFonts w:asciiTheme="majorBidi" w:hAnsiTheme="majorBidi" w:cstheme="majorBidi"/>
          <w:sz w:val="24"/>
          <w:szCs w:val="24"/>
        </w:rPr>
        <w:t>Musataklima</w:t>
      </w:r>
      <w:proofErr w:type="spellEnd"/>
      <w:r w:rsidR="00035529" w:rsidRPr="001E156B">
        <w:rPr>
          <w:rFonts w:asciiTheme="majorBidi" w:hAnsiTheme="majorBidi" w:cstheme="majorBidi"/>
          <w:sz w:val="24"/>
          <w:szCs w:val="24"/>
        </w:rPr>
        <w:t xml:space="preserve"> merupakan dosen fakultas syariah. Jenjang S1 ditempuh di fakultas syariah UIN Malang, adapun jenjang S2 ditempuh di UIN Sunan </w:t>
      </w:r>
      <w:proofErr w:type="spellStart"/>
      <w:r w:rsidR="00035529" w:rsidRPr="001E156B">
        <w:rPr>
          <w:rFonts w:asciiTheme="majorBidi" w:hAnsiTheme="majorBidi" w:cstheme="majorBidi"/>
          <w:sz w:val="24"/>
          <w:szCs w:val="24"/>
        </w:rPr>
        <w:t>Kalijaga</w:t>
      </w:r>
      <w:proofErr w:type="spellEnd"/>
      <w:r w:rsidR="00035529" w:rsidRPr="001E156B">
        <w:rPr>
          <w:rFonts w:asciiTheme="majorBidi" w:hAnsiTheme="majorBidi" w:cstheme="majorBidi"/>
          <w:sz w:val="24"/>
          <w:szCs w:val="24"/>
        </w:rPr>
        <w:t xml:space="preserve"> Yogyakarta, S3 ditempuh di Program Studi Hukum Program Doktor Fakultas Hukum UII Yogyakarta dengan predikat </w:t>
      </w:r>
      <w:proofErr w:type="spellStart"/>
      <w:r w:rsidR="00035529" w:rsidRPr="001E156B">
        <w:rPr>
          <w:rFonts w:asciiTheme="majorBidi" w:hAnsiTheme="majorBidi" w:cstheme="majorBidi"/>
          <w:sz w:val="24"/>
          <w:szCs w:val="24"/>
        </w:rPr>
        <w:t>Cumlaude</w:t>
      </w:r>
      <w:proofErr w:type="spellEnd"/>
      <w:r w:rsidR="00035529" w:rsidRPr="001E156B">
        <w:rPr>
          <w:rFonts w:asciiTheme="majorBidi" w:hAnsiTheme="majorBidi" w:cstheme="majorBidi"/>
          <w:sz w:val="24"/>
          <w:szCs w:val="24"/>
        </w:rPr>
        <w:t>.</w:t>
      </w:r>
    </w:p>
    <w:p w14:paraId="67F403F8" w14:textId="77777777" w:rsidR="00522FB7" w:rsidRPr="001E156B" w:rsidRDefault="00522FB7" w:rsidP="001E156B">
      <w:pPr>
        <w:pStyle w:val="SubJudulTemplate"/>
        <w:spacing w:line="240" w:lineRule="auto"/>
        <w:rPr>
          <w:rFonts w:asciiTheme="majorBidi" w:hAnsiTheme="majorBidi" w:cstheme="majorBidi"/>
        </w:rPr>
      </w:pPr>
      <w:r w:rsidRPr="001E156B">
        <w:rPr>
          <w:rFonts w:asciiTheme="majorBidi" w:hAnsiTheme="majorBidi" w:cstheme="majorBidi"/>
        </w:rPr>
        <w:t xml:space="preserve">6. </w:t>
      </w:r>
      <w:r w:rsidRPr="001E156B">
        <w:rPr>
          <w:rFonts w:asciiTheme="majorBidi" w:hAnsiTheme="majorBidi" w:cstheme="majorBidi"/>
        </w:rPr>
        <w:tab/>
        <w:t xml:space="preserve">KEASLIAN TULISAN </w:t>
      </w:r>
      <w:r w:rsidRPr="001E156B">
        <w:rPr>
          <w:rFonts w:asciiTheme="majorBidi" w:hAnsiTheme="majorBidi" w:cstheme="majorBidi"/>
          <w:b w:val="0"/>
          <w:bCs w:val="0"/>
          <w:i/>
          <w:iCs/>
        </w:rPr>
        <w:t>(</w:t>
      </w:r>
      <w:proofErr w:type="spellStart"/>
      <w:r w:rsidRPr="001E156B">
        <w:rPr>
          <w:rFonts w:asciiTheme="majorBidi" w:hAnsiTheme="majorBidi" w:cstheme="majorBidi"/>
          <w:b w:val="0"/>
          <w:bCs w:val="0"/>
          <w:i/>
          <w:iCs/>
        </w:rPr>
        <w:t>Required</w:t>
      </w:r>
      <w:proofErr w:type="spellEnd"/>
      <w:r w:rsidRPr="001E156B">
        <w:rPr>
          <w:rFonts w:asciiTheme="majorBidi" w:hAnsiTheme="majorBidi" w:cstheme="majorBidi"/>
          <w:b w:val="0"/>
          <w:bCs w:val="0"/>
          <w:i/>
          <w:iCs/>
        </w:rPr>
        <w:t>)</w:t>
      </w:r>
    </w:p>
    <w:p w14:paraId="1749371C" w14:textId="6907EE87" w:rsidR="00522FB7" w:rsidRPr="001E156B" w:rsidRDefault="00B833DC" w:rsidP="001E156B">
      <w:pPr>
        <w:spacing w:after="0" w:line="240" w:lineRule="auto"/>
        <w:ind w:left="284"/>
        <w:jc w:val="both"/>
        <w:rPr>
          <w:rFonts w:asciiTheme="majorBidi" w:hAnsiTheme="majorBidi" w:cstheme="majorBidi"/>
          <w:sz w:val="24"/>
          <w:szCs w:val="24"/>
        </w:rPr>
      </w:pPr>
      <w:r w:rsidRPr="001E156B">
        <w:rPr>
          <w:rFonts w:asciiTheme="majorBidi" w:hAnsiTheme="majorBidi" w:cstheme="majorBidi"/>
          <w:sz w:val="24"/>
          <w:szCs w:val="24"/>
        </w:rPr>
        <w:lastRenderedPageBreak/>
        <w:t xml:space="preserve">Artikel dengan judul yang telah disebut </w:t>
      </w:r>
      <w:r w:rsidR="00522FB7" w:rsidRPr="001E156B">
        <w:rPr>
          <w:rFonts w:asciiTheme="majorBidi" w:hAnsiTheme="majorBidi" w:cstheme="majorBidi"/>
          <w:sz w:val="24"/>
          <w:szCs w:val="24"/>
        </w:rPr>
        <w:t>merupakan karya asli penulis</w:t>
      </w:r>
      <w:r w:rsidRPr="001E156B">
        <w:rPr>
          <w:rFonts w:asciiTheme="majorBidi" w:hAnsiTheme="majorBidi" w:cstheme="majorBidi"/>
          <w:sz w:val="24"/>
          <w:szCs w:val="24"/>
        </w:rPr>
        <w:t xml:space="preserve"> yang</w:t>
      </w:r>
      <w:r w:rsidR="00522FB7" w:rsidRPr="001E156B">
        <w:rPr>
          <w:rFonts w:asciiTheme="majorBidi" w:hAnsiTheme="majorBidi" w:cstheme="majorBidi"/>
          <w:sz w:val="24"/>
          <w:szCs w:val="24"/>
        </w:rPr>
        <w:t xml:space="preserve"> bebas dari plagiasi</w:t>
      </w:r>
      <w:r w:rsidRPr="001E156B">
        <w:rPr>
          <w:rFonts w:asciiTheme="majorBidi" w:hAnsiTheme="majorBidi" w:cstheme="majorBidi"/>
          <w:sz w:val="24"/>
          <w:szCs w:val="24"/>
        </w:rPr>
        <w:t xml:space="preserve"> kecuali</w:t>
      </w:r>
      <w:r w:rsidR="00522FB7" w:rsidRPr="001E156B">
        <w:rPr>
          <w:rFonts w:asciiTheme="majorBidi" w:hAnsiTheme="majorBidi" w:cstheme="majorBidi"/>
          <w:sz w:val="24"/>
          <w:szCs w:val="24"/>
        </w:rPr>
        <w:t xml:space="preserve"> kutipan</w:t>
      </w:r>
      <w:r w:rsidRPr="001E156B">
        <w:rPr>
          <w:rFonts w:asciiTheme="majorBidi" w:hAnsiTheme="majorBidi" w:cstheme="majorBidi"/>
          <w:sz w:val="24"/>
          <w:szCs w:val="24"/>
        </w:rPr>
        <w:t xml:space="preserve"> yang</w:t>
      </w:r>
      <w:r w:rsidR="00522FB7" w:rsidRPr="001E156B">
        <w:rPr>
          <w:rFonts w:asciiTheme="majorBidi" w:hAnsiTheme="majorBidi" w:cstheme="majorBidi"/>
          <w:sz w:val="24"/>
          <w:szCs w:val="24"/>
        </w:rPr>
        <w:t xml:space="preserve"> sesuai kaidah pengutipan yang berlaku, artikel </w:t>
      </w:r>
      <w:r w:rsidRPr="001E156B">
        <w:rPr>
          <w:rFonts w:asciiTheme="majorBidi" w:hAnsiTheme="majorBidi" w:cstheme="majorBidi"/>
          <w:sz w:val="24"/>
          <w:szCs w:val="24"/>
        </w:rPr>
        <w:t xml:space="preserve">ini juga </w:t>
      </w:r>
      <w:r w:rsidR="00522FB7" w:rsidRPr="001E156B">
        <w:rPr>
          <w:rFonts w:asciiTheme="majorBidi" w:hAnsiTheme="majorBidi" w:cstheme="majorBidi"/>
          <w:sz w:val="24"/>
          <w:szCs w:val="24"/>
        </w:rPr>
        <w:t>belum pernah dipublikasikan dan tidak sedang diproses dalam jurnal lain.</w:t>
      </w:r>
    </w:p>
    <w:p w14:paraId="429F0540" w14:textId="77777777" w:rsidR="00522FB7" w:rsidRDefault="00522FB7" w:rsidP="00AC4844">
      <w:pPr>
        <w:jc w:val="center"/>
        <w:rPr>
          <w:rFonts w:asciiTheme="majorBidi" w:hAnsiTheme="majorBidi" w:cstheme="majorBidi"/>
          <w:b/>
          <w:bCs/>
          <w:i/>
          <w:iCs/>
          <w:sz w:val="26"/>
          <w:szCs w:val="26"/>
        </w:rPr>
      </w:pPr>
    </w:p>
    <w:p w14:paraId="4248F8DC" w14:textId="6D7BD4C9" w:rsidR="00AC4844" w:rsidRPr="0042492A" w:rsidRDefault="009D64BE" w:rsidP="00AC4844">
      <w:pPr>
        <w:jc w:val="center"/>
        <w:rPr>
          <w:rFonts w:asciiTheme="majorBidi" w:hAnsiTheme="majorBidi" w:cstheme="majorBidi"/>
          <w:sz w:val="26"/>
          <w:szCs w:val="26"/>
        </w:rPr>
      </w:pPr>
      <w:proofErr w:type="spellStart"/>
      <w:r w:rsidRPr="0042492A">
        <w:rPr>
          <w:rFonts w:asciiTheme="majorBidi" w:hAnsiTheme="majorBidi" w:cstheme="majorBidi"/>
          <w:i/>
          <w:iCs/>
          <w:sz w:val="26"/>
          <w:szCs w:val="26"/>
        </w:rPr>
        <w:t>Interlegal</w:t>
      </w:r>
      <w:r w:rsidR="002B766A" w:rsidRPr="0042492A">
        <w:rPr>
          <w:rFonts w:asciiTheme="majorBidi" w:hAnsiTheme="majorBidi" w:cstheme="majorBidi"/>
          <w:i/>
          <w:iCs/>
          <w:sz w:val="26"/>
          <w:szCs w:val="26"/>
        </w:rPr>
        <w:t>i</w:t>
      </w:r>
      <w:r w:rsidRPr="0042492A">
        <w:rPr>
          <w:rFonts w:asciiTheme="majorBidi" w:hAnsiTheme="majorBidi" w:cstheme="majorBidi"/>
          <w:i/>
          <w:iCs/>
          <w:sz w:val="26"/>
          <w:szCs w:val="26"/>
        </w:rPr>
        <w:t>ty</w:t>
      </w:r>
      <w:proofErr w:type="spellEnd"/>
      <w:r w:rsidRPr="0042492A">
        <w:rPr>
          <w:rFonts w:asciiTheme="majorBidi" w:hAnsiTheme="majorBidi" w:cstheme="majorBidi"/>
          <w:i/>
          <w:iCs/>
          <w:sz w:val="26"/>
          <w:szCs w:val="26"/>
        </w:rPr>
        <w:t xml:space="preserve"> </w:t>
      </w:r>
      <w:proofErr w:type="spellStart"/>
      <w:r w:rsidR="00A34E1F" w:rsidRPr="0042492A">
        <w:rPr>
          <w:rFonts w:asciiTheme="majorBidi" w:hAnsiTheme="majorBidi" w:cstheme="majorBidi"/>
          <w:i/>
          <w:iCs/>
          <w:sz w:val="26"/>
          <w:szCs w:val="26"/>
        </w:rPr>
        <w:t>Inter</w:t>
      </w:r>
      <w:r w:rsidRPr="0042492A">
        <w:rPr>
          <w:rFonts w:asciiTheme="majorBidi" w:hAnsiTheme="majorBidi" w:cstheme="majorBidi"/>
          <w:i/>
          <w:iCs/>
          <w:sz w:val="26"/>
          <w:szCs w:val="26"/>
        </w:rPr>
        <w:t>religious</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Marriage</w:t>
      </w:r>
      <w:proofErr w:type="spellEnd"/>
      <w:r w:rsidRPr="0042492A">
        <w:rPr>
          <w:rFonts w:asciiTheme="majorBidi" w:hAnsiTheme="majorBidi" w:cstheme="majorBidi"/>
          <w:sz w:val="26"/>
          <w:szCs w:val="26"/>
        </w:rPr>
        <w:t xml:space="preserve"> </w:t>
      </w:r>
      <w:proofErr w:type="spellStart"/>
      <w:r w:rsidRPr="0042492A">
        <w:rPr>
          <w:rFonts w:asciiTheme="majorBidi" w:hAnsiTheme="majorBidi" w:cstheme="majorBidi"/>
          <w:i/>
          <w:iCs/>
          <w:sz w:val="26"/>
          <w:szCs w:val="26"/>
        </w:rPr>
        <w:t>Vis</w:t>
      </w:r>
      <w:proofErr w:type="spellEnd"/>
      <w:r w:rsidRPr="0042492A">
        <w:rPr>
          <w:rFonts w:asciiTheme="majorBidi" w:hAnsiTheme="majorBidi" w:cstheme="majorBidi"/>
          <w:i/>
          <w:iCs/>
          <w:sz w:val="26"/>
          <w:szCs w:val="26"/>
        </w:rPr>
        <w:t xml:space="preserve"> a </w:t>
      </w:r>
      <w:proofErr w:type="spellStart"/>
      <w:r w:rsidRPr="0042492A">
        <w:rPr>
          <w:rFonts w:asciiTheme="majorBidi" w:hAnsiTheme="majorBidi" w:cstheme="majorBidi"/>
          <w:i/>
          <w:iCs/>
          <w:sz w:val="26"/>
          <w:szCs w:val="26"/>
        </w:rPr>
        <w:t>Vis</w:t>
      </w:r>
      <w:proofErr w:type="spellEnd"/>
      <w:r w:rsidRPr="0042492A">
        <w:rPr>
          <w:rFonts w:asciiTheme="majorBidi" w:hAnsiTheme="majorBidi" w:cstheme="majorBidi"/>
          <w:sz w:val="26"/>
          <w:szCs w:val="26"/>
        </w:rPr>
        <w:t xml:space="preserve"> Surat Edaran Mahkamah Agung </w:t>
      </w:r>
      <w:r w:rsidR="007F6383" w:rsidRPr="0042492A">
        <w:rPr>
          <w:rFonts w:asciiTheme="majorBidi" w:hAnsiTheme="majorBidi" w:cstheme="majorBidi"/>
          <w:sz w:val="26"/>
          <w:szCs w:val="26"/>
        </w:rPr>
        <w:t xml:space="preserve">Nomor 2 Tahun 2023 </w:t>
      </w:r>
      <w:r w:rsidR="002B60AA" w:rsidRPr="0042492A">
        <w:rPr>
          <w:rFonts w:asciiTheme="majorBidi" w:hAnsiTheme="majorBidi" w:cstheme="majorBidi"/>
          <w:sz w:val="26"/>
          <w:szCs w:val="26"/>
        </w:rPr>
        <w:t xml:space="preserve">tentang </w:t>
      </w:r>
      <w:r w:rsidRPr="0042492A">
        <w:rPr>
          <w:rFonts w:asciiTheme="majorBidi" w:hAnsiTheme="majorBidi" w:cstheme="majorBidi"/>
          <w:sz w:val="26"/>
          <w:szCs w:val="26"/>
        </w:rPr>
        <w:t xml:space="preserve">Penolakan Permohonan Pencatatan Perkawinan Beda Agama di </w:t>
      </w:r>
      <w:r w:rsidR="00522FB7" w:rsidRPr="0042492A">
        <w:rPr>
          <w:rFonts w:asciiTheme="majorBidi" w:hAnsiTheme="majorBidi" w:cstheme="majorBidi"/>
          <w:sz w:val="26"/>
          <w:szCs w:val="26"/>
        </w:rPr>
        <w:t>Indonesia</w:t>
      </w:r>
    </w:p>
    <w:p w14:paraId="54413EA8" w14:textId="6C1D1842" w:rsidR="00522FB7" w:rsidRPr="0042492A" w:rsidRDefault="00522FB7" w:rsidP="00AC4844">
      <w:pPr>
        <w:jc w:val="center"/>
        <w:rPr>
          <w:rFonts w:asciiTheme="majorBidi" w:hAnsiTheme="majorBidi" w:cstheme="majorBidi"/>
          <w:sz w:val="26"/>
          <w:szCs w:val="26"/>
        </w:rPr>
      </w:pPr>
      <w:r w:rsidRPr="0042492A">
        <w:rPr>
          <w:rFonts w:asciiTheme="majorBidi" w:hAnsiTheme="majorBidi" w:cstheme="majorBidi"/>
          <w:sz w:val="26"/>
          <w:szCs w:val="26"/>
        </w:rPr>
        <w:t>(</w:t>
      </w:r>
      <w:proofErr w:type="spellStart"/>
      <w:r w:rsidRPr="0042492A">
        <w:rPr>
          <w:rFonts w:asciiTheme="majorBidi" w:hAnsiTheme="majorBidi" w:cstheme="majorBidi"/>
          <w:i/>
          <w:iCs/>
          <w:sz w:val="26"/>
          <w:szCs w:val="26"/>
        </w:rPr>
        <w:t>Interlegality</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of</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Interreligious</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Marriage</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Vis</w:t>
      </w:r>
      <w:proofErr w:type="spellEnd"/>
      <w:r w:rsidRPr="0042492A">
        <w:rPr>
          <w:rFonts w:asciiTheme="majorBidi" w:hAnsiTheme="majorBidi" w:cstheme="majorBidi"/>
          <w:i/>
          <w:iCs/>
          <w:sz w:val="26"/>
          <w:szCs w:val="26"/>
        </w:rPr>
        <w:t xml:space="preserve"> a </w:t>
      </w:r>
      <w:proofErr w:type="spellStart"/>
      <w:r w:rsidRPr="0042492A">
        <w:rPr>
          <w:rFonts w:asciiTheme="majorBidi" w:hAnsiTheme="majorBidi" w:cstheme="majorBidi"/>
          <w:i/>
          <w:iCs/>
          <w:sz w:val="26"/>
          <w:szCs w:val="26"/>
        </w:rPr>
        <w:t>Vis</w:t>
      </w:r>
      <w:proofErr w:type="spellEnd"/>
      <w:r w:rsidRPr="0042492A">
        <w:rPr>
          <w:rFonts w:asciiTheme="majorBidi" w:hAnsiTheme="majorBidi" w:cstheme="majorBidi"/>
          <w:i/>
          <w:iCs/>
          <w:sz w:val="26"/>
          <w:szCs w:val="26"/>
        </w:rPr>
        <w:t xml:space="preserve"> Supreme </w:t>
      </w:r>
      <w:proofErr w:type="spellStart"/>
      <w:r w:rsidRPr="0042492A">
        <w:rPr>
          <w:rFonts w:asciiTheme="majorBidi" w:hAnsiTheme="majorBidi" w:cstheme="majorBidi"/>
          <w:i/>
          <w:iCs/>
          <w:sz w:val="26"/>
          <w:szCs w:val="26"/>
        </w:rPr>
        <w:t>Court</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Circular</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Letter</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Number</w:t>
      </w:r>
      <w:proofErr w:type="spellEnd"/>
      <w:r w:rsidRPr="0042492A">
        <w:rPr>
          <w:rFonts w:asciiTheme="majorBidi" w:hAnsiTheme="majorBidi" w:cstheme="majorBidi"/>
          <w:i/>
          <w:iCs/>
          <w:sz w:val="26"/>
          <w:szCs w:val="26"/>
        </w:rPr>
        <w:t xml:space="preserve"> 2 </w:t>
      </w:r>
      <w:proofErr w:type="spellStart"/>
      <w:r w:rsidRPr="0042492A">
        <w:rPr>
          <w:rFonts w:asciiTheme="majorBidi" w:hAnsiTheme="majorBidi" w:cstheme="majorBidi"/>
          <w:i/>
          <w:iCs/>
          <w:sz w:val="26"/>
          <w:szCs w:val="26"/>
        </w:rPr>
        <w:t>of</w:t>
      </w:r>
      <w:proofErr w:type="spellEnd"/>
      <w:r w:rsidRPr="0042492A">
        <w:rPr>
          <w:rFonts w:asciiTheme="majorBidi" w:hAnsiTheme="majorBidi" w:cstheme="majorBidi"/>
          <w:i/>
          <w:iCs/>
          <w:sz w:val="26"/>
          <w:szCs w:val="26"/>
        </w:rPr>
        <w:t xml:space="preserve"> 2023 </w:t>
      </w:r>
      <w:proofErr w:type="spellStart"/>
      <w:r w:rsidRPr="0042492A">
        <w:rPr>
          <w:rFonts w:asciiTheme="majorBidi" w:hAnsiTheme="majorBidi" w:cstheme="majorBidi"/>
          <w:i/>
          <w:iCs/>
          <w:sz w:val="26"/>
          <w:szCs w:val="26"/>
        </w:rPr>
        <w:t>on</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the</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Rejection</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of</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Applications</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for</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Registration</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of</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Interreligious</w:t>
      </w:r>
      <w:proofErr w:type="spellEnd"/>
      <w:r w:rsidRPr="0042492A">
        <w:rPr>
          <w:rFonts w:asciiTheme="majorBidi" w:hAnsiTheme="majorBidi" w:cstheme="majorBidi"/>
          <w:i/>
          <w:iCs/>
          <w:sz w:val="26"/>
          <w:szCs w:val="26"/>
        </w:rPr>
        <w:t xml:space="preserve"> </w:t>
      </w:r>
      <w:proofErr w:type="spellStart"/>
      <w:r w:rsidRPr="0042492A">
        <w:rPr>
          <w:rFonts w:asciiTheme="majorBidi" w:hAnsiTheme="majorBidi" w:cstheme="majorBidi"/>
          <w:i/>
          <w:iCs/>
          <w:sz w:val="26"/>
          <w:szCs w:val="26"/>
        </w:rPr>
        <w:t>Marriages</w:t>
      </w:r>
      <w:proofErr w:type="spellEnd"/>
      <w:r w:rsidRPr="0042492A">
        <w:rPr>
          <w:rFonts w:asciiTheme="majorBidi" w:hAnsiTheme="majorBidi" w:cstheme="majorBidi"/>
          <w:i/>
          <w:iCs/>
          <w:sz w:val="26"/>
          <w:szCs w:val="26"/>
        </w:rPr>
        <w:t xml:space="preserve"> in Indonesia</w:t>
      </w:r>
      <w:r w:rsidRPr="0042492A">
        <w:rPr>
          <w:rFonts w:asciiTheme="majorBidi" w:hAnsiTheme="majorBidi" w:cstheme="majorBidi"/>
          <w:sz w:val="26"/>
          <w:szCs w:val="26"/>
        </w:rPr>
        <w:t>)</w:t>
      </w:r>
    </w:p>
    <w:p w14:paraId="16C994CE" w14:textId="5643DDAF" w:rsidR="008562F2" w:rsidRDefault="008A519B" w:rsidP="008562F2">
      <w:pPr>
        <w:jc w:val="center"/>
        <w:rPr>
          <w:rFonts w:asciiTheme="majorBidi" w:hAnsiTheme="majorBidi" w:cstheme="majorBidi"/>
          <w:sz w:val="24"/>
          <w:szCs w:val="24"/>
        </w:rPr>
      </w:pPr>
      <w:r>
        <w:rPr>
          <w:rFonts w:asciiTheme="majorBidi" w:hAnsiTheme="majorBidi" w:cstheme="majorBidi"/>
          <w:sz w:val="24"/>
          <w:szCs w:val="24"/>
        </w:rPr>
        <w:t>Oleh</w:t>
      </w:r>
      <w:r w:rsidR="008562F2">
        <w:rPr>
          <w:rFonts w:asciiTheme="majorBidi" w:hAnsiTheme="majorBidi" w:cstheme="majorBidi"/>
          <w:sz w:val="24"/>
          <w:szCs w:val="24"/>
        </w:rPr>
        <w:t xml:space="preserve">: </w:t>
      </w:r>
    </w:p>
    <w:p w14:paraId="5AAE31F8" w14:textId="22A37BCB" w:rsidR="008562F2" w:rsidRDefault="008562F2" w:rsidP="008562F2">
      <w:pPr>
        <w:spacing w:after="0" w:line="240" w:lineRule="auto"/>
        <w:jc w:val="center"/>
        <w:rPr>
          <w:rFonts w:asciiTheme="majorBidi" w:hAnsiTheme="majorBidi" w:cstheme="majorBidi"/>
          <w:sz w:val="24"/>
          <w:szCs w:val="24"/>
        </w:rPr>
      </w:pPr>
      <w:r>
        <w:rPr>
          <w:rFonts w:asciiTheme="majorBidi" w:hAnsiTheme="majorBidi" w:cstheme="majorBidi"/>
          <w:sz w:val="24"/>
          <w:szCs w:val="24"/>
        </w:rPr>
        <w:t>Noer Yasin</w:t>
      </w:r>
    </w:p>
    <w:p w14:paraId="22B1F0C5" w14:textId="6DEC80E1" w:rsidR="009D64BE" w:rsidRDefault="009D64BE" w:rsidP="008562F2">
      <w:pPr>
        <w:spacing w:after="0" w:line="240" w:lineRule="auto"/>
        <w:jc w:val="center"/>
        <w:rPr>
          <w:rFonts w:asciiTheme="majorBidi" w:hAnsiTheme="majorBidi" w:cstheme="majorBidi"/>
          <w:sz w:val="24"/>
          <w:szCs w:val="24"/>
        </w:rPr>
      </w:pPr>
      <w:r>
        <w:rPr>
          <w:rFonts w:asciiTheme="majorBidi" w:hAnsiTheme="majorBidi" w:cstheme="majorBidi"/>
          <w:sz w:val="24"/>
          <w:szCs w:val="24"/>
        </w:rPr>
        <w:t>Fakultas Syariah Universitas Islam Negeri Maulana Malik Ibrahim Malang</w:t>
      </w:r>
    </w:p>
    <w:p w14:paraId="5095AC20" w14:textId="3E033D76" w:rsidR="009D64BE" w:rsidRDefault="00000000" w:rsidP="008562F2">
      <w:pPr>
        <w:spacing w:after="0" w:line="240" w:lineRule="auto"/>
        <w:jc w:val="center"/>
        <w:rPr>
          <w:rFonts w:asciiTheme="majorBidi" w:hAnsiTheme="majorBidi" w:cstheme="majorBidi"/>
          <w:sz w:val="24"/>
          <w:szCs w:val="24"/>
        </w:rPr>
      </w:pPr>
      <w:hyperlink r:id="rId12" w:history="1">
        <w:r w:rsidR="009D64BE" w:rsidRPr="001E4B06">
          <w:rPr>
            <w:rStyle w:val="Hyperlink"/>
            <w:rFonts w:asciiTheme="majorBidi" w:hAnsiTheme="majorBidi" w:cstheme="majorBidi"/>
            <w:sz w:val="24"/>
            <w:szCs w:val="24"/>
          </w:rPr>
          <w:t>noeryasin@syariah.uin-malang.ac.id</w:t>
        </w:r>
      </w:hyperlink>
      <w:r w:rsidR="009D64BE">
        <w:rPr>
          <w:rFonts w:asciiTheme="majorBidi" w:hAnsiTheme="majorBidi" w:cstheme="majorBidi"/>
          <w:sz w:val="24"/>
          <w:szCs w:val="24"/>
        </w:rPr>
        <w:t xml:space="preserve"> </w:t>
      </w:r>
    </w:p>
    <w:p w14:paraId="6CE81C2D" w14:textId="77777777" w:rsidR="009D64BE" w:rsidRDefault="009D64BE" w:rsidP="008562F2">
      <w:pPr>
        <w:spacing w:after="0" w:line="240" w:lineRule="auto"/>
        <w:jc w:val="center"/>
        <w:rPr>
          <w:rFonts w:asciiTheme="majorBidi" w:hAnsiTheme="majorBidi" w:cstheme="majorBidi"/>
          <w:sz w:val="24"/>
          <w:szCs w:val="24"/>
        </w:rPr>
      </w:pPr>
    </w:p>
    <w:p w14:paraId="0B923AB7" w14:textId="71CF725E" w:rsidR="008562F2" w:rsidRDefault="008562F2" w:rsidP="008562F2">
      <w:pPr>
        <w:spacing w:after="0" w:line="240" w:lineRule="auto"/>
        <w:jc w:val="center"/>
        <w:rPr>
          <w:rFonts w:asciiTheme="majorBidi" w:hAnsiTheme="majorBidi" w:cstheme="majorBidi"/>
          <w:sz w:val="24"/>
          <w:szCs w:val="24"/>
        </w:rPr>
      </w:pPr>
      <w:proofErr w:type="spellStart"/>
      <w:r>
        <w:rPr>
          <w:rFonts w:asciiTheme="majorBidi" w:hAnsiTheme="majorBidi" w:cstheme="majorBidi"/>
          <w:sz w:val="24"/>
          <w:szCs w:val="24"/>
        </w:rPr>
        <w:t>Musataklima</w:t>
      </w:r>
      <w:proofErr w:type="spellEnd"/>
    </w:p>
    <w:p w14:paraId="030BCF6E" w14:textId="77777777" w:rsidR="009D64BE" w:rsidRDefault="009D64BE" w:rsidP="009D64BE">
      <w:pPr>
        <w:spacing w:after="0" w:line="240" w:lineRule="auto"/>
        <w:jc w:val="center"/>
        <w:rPr>
          <w:rFonts w:asciiTheme="majorBidi" w:hAnsiTheme="majorBidi" w:cstheme="majorBidi"/>
          <w:sz w:val="24"/>
          <w:szCs w:val="24"/>
        </w:rPr>
      </w:pPr>
      <w:r>
        <w:rPr>
          <w:rFonts w:asciiTheme="majorBidi" w:hAnsiTheme="majorBidi" w:cstheme="majorBidi"/>
          <w:sz w:val="24"/>
          <w:szCs w:val="24"/>
        </w:rPr>
        <w:t>Fakultas Syariah Universitas Islam Negeri Maulana Malik Ibrahim Malang</w:t>
      </w:r>
    </w:p>
    <w:p w14:paraId="6D918798" w14:textId="21E86643" w:rsidR="009D64BE" w:rsidRDefault="00000000" w:rsidP="008562F2">
      <w:pPr>
        <w:spacing w:after="0" w:line="240" w:lineRule="auto"/>
        <w:jc w:val="center"/>
        <w:rPr>
          <w:rFonts w:asciiTheme="majorBidi" w:hAnsiTheme="majorBidi" w:cstheme="majorBidi"/>
          <w:sz w:val="24"/>
          <w:szCs w:val="24"/>
        </w:rPr>
      </w:pPr>
      <w:hyperlink r:id="rId13" w:history="1">
        <w:r w:rsidR="009D64BE" w:rsidRPr="001E4B06">
          <w:rPr>
            <w:rStyle w:val="Hyperlink"/>
            <w:rFonts w:asciiTheme="majorBidi" w:hAnsiTheme="majorBidi" w:cstheme="majorBidi"/>
            <w:sz w:val="24"/>
            <w:szCs w:val="24"/>
          </w:rPr>
          <w:t>musa@syariah.uin-malang.ac.id</w:t>
        </w:r>
      </w:hyperlink>
      <w:r w:rsidR="009D64BE">
        <w:rPr>
          <w:rFonts w:asciiTheme="majorBidi" w:hAnsiTheme="majorBidi" w:cstheme="majorBidi"/>
          <w:sz w:val="24"/>
          <w:szCs w:val="24"/>
        </w:rPr>
        <w:t xml:space="preserve"> </w:t>
      </w:r>
    </w:p>
    <w:p w14:paraId="2AB0319A" w14:textId="77777777" w:rsidR="006D40FD" w:rsidRDefault="006D40FD" w:rsidP="008562F2">
      <w:pPr>
        <w:spacing w:after="0" w:line="240" w:lineRule="auto"/>
        <w:jc w:val="center"/>
        <w:rPr>
          <w:rFonts w:asciiTheme="majorBidi" w:hAnsiTheme="majorBidi" w:cstheme="majorBidi"/>
          <w:sz w:val="24"/>
          <w:szCs w:val="24"/>
        </w:rPr>
      </w:pPr>
    </w:p>
    <w:p w14:paraId="5450EBCC" w14:textId="05D0CE18" w:rsidR="001E156B" w:rsidRDefault="001E156B" w:rsidP="008562F2">
      <w:pPr>
        <w:spacing w:after="0" w:line="240" w:lineRule="auto"/>
        <w:jc w:val="center"/>
        <w:rPr>
          <w:rFonts w:asciiTheme="majorBidi" w:hAnsiTheme="majorBidi" w:cstheme="majorBidi"/>
          <w:sz w:val="24"/>
          <w:szCs w:val="24"/>
        </w:rPr>
      </w:pPr>
      <w:r>
        <w:rPr>
          <w:rFonts w:asciiTheme="majorBidi" w:hAnsiTheme="majorBidi" w:cstheme="majorBidi"/>
          <w:sz w:val="24"/>
          <w:szCs w:val="24"/>
        </w:rPr>
        <w:t>ABSTRACT</w:t>
      </w:r>
    </w:p>
    <w:p w14:paraId="2D009A9B" w14:textId="77777777" w:rsidR="00CB3A41" w:rsidRPr="001E7647" w:rsidRDefault="00CB3A41" w:rsidP="00CB3A41">
      <w:pPr>
        <w:spacing w:after="0" w:line="240" w:lineRule="auto"/>
        <w:jc w:val="both"/>
        <w:rPr>
          <w:rFonts w:asciiTheme="majorBidi" w:hAnsiTheme="majorBidi" w:cstheme="majorBidi"/>
          <w:i/>
          <w:iCs/>
        </w:rPr>
      </w:pPr>
      <w:r w:rsidRPr="001E7647">
        <w:rPr>
          <w:rFonts w:asciiTheme="majorBidi" w:hAnsiTheme="majorBidi" w:cstheme="majorBidi"/>
          <w:i/>
          <w:iCs/>
        </w:rPr>
        <w:t xml:space="preserve">The </w:t>
      </w:r>
      <w:proofErr w:type="spellStart"/>
      <w:r w:rsidRPr="001E7647">
        <w:rPr>
          <w:rFonts w:asciiTheme="majorBidi" w:hAnsiTheme="majorBidi" w:cstheme="majorBidi"/>
          <w:i/>
          <w:iCs/>
        </w:rPr>
        <w:t>large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number</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applications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for</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registration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interfaith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marriages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granted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by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courts</w:t>
      </w:r>
      <w:proofErr w:type="spellEnd"/>
      <w:r w:rsidRPr="001E7647">
        <w:rPr>
          <w:rFonts w:asciiTheme="majorBidi" w:hAnsiTheme="majorBidi" w:cstheme="majorBidi"/>
          <w:i/>
          <w:iCs/>
        </w:rPr>
        <w:t xml:space="preserve"> in Indonesia has </w:t>
      </w:r>
      <w:proofErr w:type="spellStart"/>
      <w:r w:rsidRPr="001E7647">
        <w:rPr>
          <w:rFonts w:asciiTheme="majorBidi" w:hAnsiTheme="majorBidi" w:cstheme="majorBidi"/>
          <w:i/>
          <w:iCs/>
        </w:rPr>
        <w:t>prompted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Supreme </w:t>
      </w:r>
      <w:proofErr w:type="spellStart"/>
      <w:r w:rsidRPr="001E7647">
        <w:rPr>
          <w:rFonts w:asciiTheme="majorBidi" w:hAnsiTheme="majorBidi" w:cstheme="majorBidi"/>
          <w:i/>
          <w:iCs/>
        </w:rPr>
        <w:t>Court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Republic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Indonesia, as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apex</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judicial</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power</w:t>
      </w:r>
      <w:proofErr w:type="spellEnd"/>
      <w:r w:rsidRPr="001E7647">
        <w:rPr>
          <w:rFonts w:asciiTheme="majorBidi" w:hAnsiTheme="majorBidi" w:cstheme="majorBidi"/>
          <w:i/>
          <w:iCs/>
        </w:rPr>
        <w:t xml:space="preserve"> in Indonesia, </w:t>
      </w:r>
      <w:proofErr w:type="spellStart"/>
      <w:r w:rsidRPr="001E7647">
        <w:rPr>
          <w:rFonts w:asciiTheme="majorBidi" w:hAnsiTheme="majorBidi" w:cstheme="majorBidi"/>
          <w:i/>
          <w:iCs/>
        </w:rPr>
        <w:t>to</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issue</w:t>
      </w:r>
      <w:proofErr w:type="spellEnd"/>
      <w:r w:rsidRPr="001E7647">
        <w:rPr>
          <w:rFonts w:asciiTheme="majorBidi" w:hAnsiTheme="majorBidi" w:cstheme="majorBidi"/>
          <w:i/>
          <w:iCs/>
        </w:rPr>
        <w:t xml:space="preserve"> Supreme </w:t>
      </w:r>
      <w:proofErr w:type="spellStart"/>
      <w:r w:rsidRPr="001E7647">
        <w:rPr>
          <w:rFonts w:asciiTheme="majorBidi" w:hAnsiTheme="majorBidi" w:cstheme="majorBidi"/>
          <w:i/>
          <w:iCs/>
        </w:rPr>
        <w:t>Court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Circular</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Letter</w:t>
      </w:r>
      <w:proofErr w:type="spellEnd"/>
      <w:r w:rsidRPr="001E7647">
        <w:rPr>
          <w:rFonts w:asciiTheme="majorBidi" w:hAnsiTheme="majorBidi" w:cstheme="majorBidi"/>
          <w:i/>
          <w:iCs/>
        </w:rPr>
        <w:t xml:space="preserve"> (SEMA) </w:t>
      </w:r>
      <w:proofErr w:type="spellStart"/>
      <w:r w:rsidRPr="001E7647">
        <w:rPr>
          <w:rFonts w:asciiTheme="majorBidi" w:hAnsiTheme="majorBidi" w:cstheme="majorBidi"/>
          <w:i/>
          <w:iCs/>
        </w:rPr>
        <w:t>Number</w:t>
      </w:r>
      <w:proofErr w:type="spellEnd"/>
      <w:r w:rsidRPr="001E7647">
        <w:rPr>
          <w:rFonts w:asciiTheme="majorBidi" w:hAnsiTheme="majorBidi" w:cstheme="majorBidi"/>
          <w:i/>
          <w:iCs/>
        </w:rPr>
        <w:t xml:space="preserve"> 2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2023 </w:t>
      </w:r>
      <w:proofErr w:type="spellStart"/>
      <w:r w:rsidRPr="001E7647">
        <w:rPr>
          <w:rFonts w:asciiTheme="majorBidi" w:hAnsiTheme="majorBidi" w:cstheme="majorBidi"/>
          <w:i/>
          <w:iCs/>
        </w:rPr>
        <w:t>instructing</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district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courts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to</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reject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applications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for</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registration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interfaith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marriages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so</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that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there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uniformity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decisions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This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circular</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letter</w:t>
      </w:r>
      <w:proofErr w:type="spellEnd"/>
      <w:r w:rsidRPr="001E7647">
        <w:rPr>
          <w:rFonts w:asciiTheme="majorBidi" w:hAnsiTheme="majorBidi" w:cstheme="majorBidi"/>
          <w:i/>
          <w:iCs/>
        </w:rPr>
        <w:t xml:space="preserve"> has </w:t>
      </w:r>
      <w:proofErr w:type="spellStart"/>
      <w:r w:rsidRPr="001E7647">
        <w:rPr>
          <w:rFonts w:asciiTheme="majorBidi" w:hAnsiTheme="majorBidi" w:cstheme="majorBidi"/>
          <w:i/>
          <w:iCs/>
        </w:rPr>
        <w:t>caused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polemics</w:t>
      </w:r>
      <w:proofErr w:type="spellEnd"/>
      <w:r w:rsidRPr="001E7647">
        <w:rPr>
          <w:rFonts w:asciiTheme="majorBidi" w:hAnsiTheme="majorBidi" w:cstheme="majorBidi"/>
          <w:i/>
          <w:iCs/>
        </w:rPr>
        <w:t xml:space="preserve"> in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community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with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some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agreeing</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and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others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rejecting</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important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to</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look</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impact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circular</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letter</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independence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judges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constitutional</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rights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perpetrators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interfaith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marriages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and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position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SEMA </w:t>
      </w:r>
      <w:proofErr w:type="spellStart"/>
      <w:r w:rsidRPr="001E7647">
        <w:rPr>
          <w:rFonts w:asciiTheme="majorBidi" w:hAnsiTheme="majorBidi" w:cstheme="majorBidi"/>
          <w:i/>
          <w:iCs/>
        </w:rPr>
        <w:t>when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dealing</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with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interfaith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marriages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conducted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abroad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and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brought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to</w:t>
      </w:r>
      <w:proofErr w:type="spellEnd"/>
      <w:r w:rsidRPr="001E7647">
        <w:rPr>
          <w:rFonts w:asciiTheme="majorBidi" w:hAnsiTheme="majorBidi" w:cstheme="majorBidi"/>
          <w:i/>
          <w:iCs/>
        </w:rPr>
        <w:t xml:space="preserve"> Indonesia.</w:t>
      </w:r>
    </w:p>
    <w:p w14:paraId="46DF635F" w14:textId="0B37EE06" w:rsidR="001E156B" w:rsidRDefault="00CB3A41" w:rsidP="00CB3A41">
      <w:pPr>
        <w:spacing w:after="0" w:line="240" w:lineRule="auto"/>
        <w:jc w:val="both"/>
        <w:rPr>
          <w:rFonts w:asciiTheme="majorBidi" w:hAnsiTheme="majorBidi" w:cstheme="majorBidi"/>
          <w:i/>
          <w:iCs/>
        </w:rPr>
      </w:pPr>
      <w:r w:rsidRPr="001E7647">
        <w:rPr>
          <w:rFonts w:asciiTheme="majorBidi" w:hAnsiTheme="majorBidi" w:cstheme="majorBidi"/>
          <w:i/>
          <w:iCs/>
        </w:rPr>
        <w:t xml:space="preserve">To </w:t>
      </w:r>
      <w:proofErr w:type="spellStart"/>
      <w:r w:rsidRPr="001E7647">
        <w:rPr>
          <w:rFonts w:asciiTheme="majorBidi" w:hAnsiTheme="majorBidi" w:cstheme="majorBidi"/>
          <w:i/>
          <w:iCs/>
        </w:rPr>
        <w:t>elaborate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above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problems</w:t>
      </w:r>
      <w:proofErr w:type="spellEnd"/>
      <w:r w:rsidRPr="001E7647">
        <w:rPr>
          <w:rFonts w:asciiTheme="majorBidi" w:hAnsiTheme="majorBidi" w:cstheme="majorBidi"/>
          <w:i/>
          <w:iCs/>
        </w:rPr>
        <w:t xml:space="preserve">, a </w:t>
      </w:r>
      <w:proofErr w:type="spellStart"/>
      <w:r w:rsidRPr="001E7647">
        <w:rPr>
          <w:rFonts w:asciiTheme="majorBidi" w:hAnsiTheme="majorBidi" w:cstheme="majorBidi"/>
          <w:i/>
          <w:iCs/>
        </w:rPr>
        <w:t>normative</w:t>
      </w:r>
      <w:proofErr w:type="spellEnd"/>
      <w:r w:rsidRPr="001E7647">
        <w:rPr>
          <w:rFonts w:asciiTheme="majorBidi" w:hAnsiTheme="majorBidi" w:cstheme="majorBidi"/>
          <w:i/>
          <w:iCs/>
        </w:rPr>
        <w:t xml:space="preserve"> legal </w:t>
      </w:r>
      <w:proofErr w:type="spellStart"/>
      <w:r w:rsidRPr="001E7647">
        <w:rPr>
          <w:rFonts w:asciiTheme="majorBidi" w:hAnsiTheme="majorBidi" w:cstheme="majorBidi"/>
          <w:i/>
          <w:iCs/>
        </w:rPr>
        <w:t>research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method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with</w:t>
      </w:r>
      <w:proofErr w:type="spellEnd"/>
      <w:r w:rsidRPr="001E7647">
        <w:rPr>
          <w:rFonts w:asciiTheme="majorBidi" w:hAnsiTheme="majorBidi" w:cstheme="majorBidi"/>
          <w:i/>
          <w:iCs/>
        </w:rPr>
        <w:t xml:space="preserve"> a </w:t>
      </w:r>
      <w:proofErr w:type="spellStart"/>
      <w:r w:rsidRPr="001E7647">
        <w:rPr>
          <w:rFonts w:asciiTheme="majorBidi" w:hAnsiTheme="majorBidi" w:cstheme="majorBidi"/>
          <w:i/>
          <w:iCs/>
        </w:rPr>
        <w:t>statutory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and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conceptual</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approach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used</w:t>
      </w:r>
      <w:proofErr w:type="spellEnd"/>
      <w:r w:rsidRPr="001E7647">
        <w:rPr>
          <w:rFonts w:asciiTheme="majorBidi" w:hAnsiTheme="majorBidi" w:cstheme="majorBidi"/>
          <w:i/>
          <w:iCs/>
        </w:rPr>
        <w:t xml:space="preserve">. The legal </w:t>
      </w:r>
      <w:proofErr w:type="spellStart"/>
      <w:r w:rsidRPr="001E7647">
        <w:rPr>
          <w:rFonts w:asciiTheme="majorBidi" w:hAnsiTheme="majorBidi" w:cstheme="majorBidi"/>
          <w:i/>
          <w:iCs/>
        </w:rPr>
        <w:t>materials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used</w:t>
      </w:r>
      <w:proofErr w:type="spellEnd"/>
      <w:r w:rsidRPr="001E7647">
        <w:rPr>
          <w:rFonts w:asciiTheme="majorBidi" w:hAnsiTheme="majorBidi" w:cstheme="majorBidi"/>
          <w:i/>
          <w:iCs/>
        </w:rPr>
        <w:t xml:space="preserve"> are </w:t>
      </w:r>
      <w:proofErr w:type="spellStart"/>
      <w:r w:rsidRPr="001E7647">
        <w:rPr>
          <w:rFonts w:asciiTheme="majorBidi" w:hAnsiTheme="majorBidi" w:cstheme="majorBidi"/>
          <w:i/>
          <w:iCs/>
        </w:rPr>
        <w:t>primary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secondary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and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tertiary</w:t>
      </w:r>
      <w:proofErr w:type="spellEnd"/>
      <w:r w:rsidRPr="001E7647">
        <w:rPr>
          <w:rFonts w:asciiTheme="majorBidi" w:hAnsiTheme="majorBidi" w:cstheme="majorBidi"/>
          <w:i/>
          <w:iCs/>
        </w:rPr>
        <w:t xml:space="preserve"> legal </w:t>
      </w:r>
      <w:proofErr w:type="spellStart"/>
      <w:r w:rsidRPr="001E7647">
        <w:rPr>
          <w:rFonts w:asciiTheme="majorBidi" w:hAnsiTheme="majorBidi" w:cstheme="majorBidi"/>
          <w:i/>
          <w:iCs/>
        </w:rPr>
        <w:t>materials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obtained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through</w:t>
      </w:r>
      <w:proofErr w:type="spellEnd"/>
      <w:r w:rsidRPr="001E7647">
        <w:rPr>
          <w:rFonts w:asciiTheme="majorBidi" w:hAnsiTheme="majorBidi" w:cstheme="majorBidi"/>
          <w:i/>
          <w:iCs/>
        </w:rPr>
        <w:t xml:space="preserve"> internet </w:t>
      </w:r>
      <w:proofErr w:type="spellStart"/>
      <w:r w:rsidRPr="001E7647">
        <w:rPr>
          <w:rFonts w:asciiTheme="majorBidi" w:hAnsiTheme="majorBidi" w:cstheme="majorBidi"/>
          <w:i/>
          <w:iCs/>
        </w:rPr>
        <w:t>searching</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namely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browsing</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surfing</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and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downloading</w:t>
      </w:r>
      <w:proofErr w:type="spellEnd"/>
      <w:r w:rsidRPr="001E7647">
        <w:rPr>
          <w:rFonts w:asciiTheme="majorBidi" w:hAnsiTheme="majorBidi" w:cstheme="majorBidi"/>
          <w:i/>
          <w:iCs/>
        </w:rPr>
        <w:t xml:space="preserve">. The legal </w:t>
      </w:r>
      <w:proofErr w:type="spellStart"/>
      <w:r w:rsidRPr="001E7647">
        <w:rPr>
          <w:rFonts w:asciiTheme="majorBidi" w:hAnsiTheme="majorBidi" w:cstheme="majorBidi"/>
          <w:i/>
          <w:iCs/>
        </w:rPr>
        <w:t>materials</w:t>
      </w:r>
      <w:proofErr w:type="spellEnd"/>
      <w:r w:rsidRPr="001E7647">
        <w:rPr>
          <w:rFonts w:asciiTheme="majorBidi" w:hAnsiTheme="majorBidi" w:cstheme="majorBidi"/>
          <w:i/>
          <w:iCs/>
        </w:rPr>
        <w:t xml:space="preserve"> are </w:t>
      </w:r>
      <w:proofErr w:type="spellStart"/>
      <w:r w:rsidRPr="001E7647">
        <w:rPr>
          <w:rFonts w:asciiTheme="majorBidi" w:hAnsiTheme="majorBidi" w:cstheme="majorBidi"/>
          <w:i/>
          <w:iCs/>
        </w:rPr>
        <w:t>then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analyzed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prescriptively</w:t>
      </w:r>
      <w:proofErr w:type="spellEnd"/>
      <w:r w:rsidRPr="001E7647">
        <w:rPr>
          <w:rFonts w:asciiTheme="majorBidi" w:hAnsiTheme="majorBidi" w:cstheme="majorBidi"/>
          <w:i/>
          <w:iCs/>
        </w:rPr>
        <w:t xml:space="preserve">. The </w:t>
      </w:r>
      <w:proofErr w:type="spellStart"/>
      <w:r w:rsidRPr="001E7647">
        <w:rPr>
          <w:rFonts w:asciiTheme="majorBidi" w:hAnsiTheme="majorBidi" w:cstheme="majorBidi"/>
          <w:i/>
          <w:iCs/>
        </w:rPr>
        <w:t>results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this</w:t>
      </w:r>
      <w:proofErr w:type="spellEnd"/>
      <w:r w:rsidRPr="001E7647">
        <w:rPr>
          <w:rFonts w:asciiTheme="majorBidi" w:hAnsiTheme="majorBidi" w:cstheme="majorBidi"/>
          <w:i/>
          <w:iCs/>
        </w:rPr>
        <w:t xml:space="preserve"> study are. First, SEMA </w:t>
      </w:r>
      <w:proofErr w:type="spellStart"/>
      <w:r w:rsidRPr="001E7647">
        <w:rPr>
          <w:rFonts w:asciiTheme="majorBidi" w:hAnsiTheme="majorBidi" w:cstheme="majorBidi"/>
          <w:i/>
          <w:iCs/>
        </w:rPr>
        <w:t>can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interfere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with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independence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judicial</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power</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itself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where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Supreme </w:t>
      </w:r>
      <w:proofErr w:type="spellStart"/>
      <w:r w:rsidRPr="001E7647">
        <w:rPr>
          <w:rFonts w:asciiTheme="majorBidi" w:hAnsiTheme="majorBidi" w:cstheme="majorBidi"/>
          <w:i/>
          <w:iCs/>
        </w:rPr>
        <w:t>Court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one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perpetrators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and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actor</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SEMA. SEMA </w:t>
      </w:r>
      <w:proofErr w:type="spellStart"/>
      <w:r w:rsidRPr="001E7647">
        <w:rPr>
          <w:rFonts w:asciiTheme="majorBidi" w:hAnsiTheme="majorBidi" w:cstheme="majorBidi"/>
          <w:i/>
          <w:iCs/>
        </w:rPr>
        <w:t>also</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affects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constitutional</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rights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perpetrators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interfaith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marriages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to</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obtain</w:t>
      </w:r>
      <w:proofErr w:type="spellEnd"/>
      <w:r w:rsidRPr="001E7647">
        <w:rPr>
          <w:rFonts w:asciiTheme="majorBidi" w:hAnsiTheme="majorBidi" w:cstheme="majorBidi"/>
          <w:i/>
          <w:iCs/>
        </w:rPr>
        <w:t xml:space="preserve"> legal </w:t>
      </w:r>
      <w:proofErr w:type="spellStart"/>
      <w:r w:rsidRPr="001E7647">
        <w:rPr>
          <w:rFonts w:asciiTheme="majorBidi" w:hAnsiTheme="majorBidi" w:cstheme="majorBidi"/>
          <w:i/>
          <w:iCs/>
        </w:rPr>
        <w:t>certainty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equality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before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law</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and</w:t>
      </w:r>
      <w:proofErr w:type="spellEnd"/>
      <w:r w:rsidRPr="001E7647">
        <w:rPr>
          <w:rFonts w:asciiTheme="majorBidi" w:hAnsiTheme="majorBidi" w:cstheme="majorBidi"/>
          <w:i/>
          <w:iCs/>
        </w:rPr>
        <w:t xml:space="preserve"> legal </w:t>
      </w:r>
      <w:proofErr w:type="spellStart"/>
      <w:r w:rsidRPr="001E7647">
        <w:rPr>
          <w:rFonts w:asciiTheme="majorBidi" w:hAnsiTheme="majorBidi" w:cstheme="majorBidi"/>
          <w:i/>
          <w:iCs/>
        </w:rPr>
        <w:t>protection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Secondly</w:t>
      </w:r>
      <w:proofErr w:type="spellEnd"/>
      <w:r w:rsidRPr="001E7647">
        <w:rPr>
          <w:rFonts w:asciiTheme="majorBidi" w:hAnsiTheme="majorBidi" w:cstheme="majorBidi"/>
          <w:i/>
          <w:iCs/>
        </w:rPr>
        <w:t xml:space="preserve">, SEMA </w:t>
      </w:r>
      <w:proofErr w:type="spellStart"/>
      <w:r w:rsidRPr="001E7647">
        <w:rPr>
          <w:rFonts w:asciiTheme="majorBidi" w:hAnsiTheme="majorBidi" w:cstheme="majorBidi"/>
          <w:i/>
          <w:iCs/>
        </w:rPr>
        <w:t>can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trigger</w:t>
      </w:r>
      <w:proofErr w:type="spellEnd"/>
      <w:r w:rsidRPr="001E7647">
        <w:rPr>
          <w:rFonts w:asciiTheme="majorBidi" w:hAnsiTheme="majorBidi" w:cstheme="majorBidi"/>
          <w:i/>
          <w:iCs/>
        </w:rPr>
        <w:t xml:space="preserve"> legal </w:t>
      </w:r>
      <w:proofErr w:type="spellStart"/>
      <w:r w:rsidRPr="001E7647">
        <w:rPr>
          <w:rFonts w:asciiTheme="majorBidi" w:hAnsiTheme="majorBidi" w:cstheme="majorBidi"/>
          <w:i/>
          <w:iCs/>
        </w:rPr>
        <w:t>smuggling</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actions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for</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prospective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perpetrators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interfaith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marriages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where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legal </w:t>
      </w:r>
      <w:proofErr w:type="spellStart"/>
      <w:r w:rsidRPr="001E7647">
        <w:rPr>
          <w:rFonts w:asciiTheme="majorBidi" w:hAnsiTheme="majorBidi" w:cstheme="majorBidi"/>
          <w:i/>
          <w:iCs/>
        </w:rPr>
        <w:t>consequences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must</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be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recognized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through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registration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based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on</w:t>
      </w:r>
      <w:proofErr w:type="spellEnd"/>
      <w:r w:rsidRPr="001E7647">
        <w:rPr>
          <w:rFonts w:asciiTheme="majorBidi" w:hAnsiTheme="majorBidi" w:cstheme="majorBidi"/>
          <w:i/>
          <w:iCs/>
        </w:rPr>
        <w:t xml:space="preserve"> HPI </w:t>
      </w:r>
      <w:proofErr w:type="spellStart"/>
      <w:r w:rsidRPr="001E7647">
        <w:rPr>
          <w:rFonts w:asciiTheme="majorBidi" w:hAnsiTheme="majorBidi" w:cstheme="majorBidi"/>
          <w:i/>
          <w:iCs/>
        </w:rPr>
        <w:t>principles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namely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principle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rights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obtained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by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using</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foreign</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law</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principle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reprositas </w:t>
      </w:r>
      <w:proofErr w:type="spellStart"/>
      <w:r w:rsidRPr="001E7647">
        <w:rPr>
          <w:rFonts w:asciiTheme="majorBidi" w:hAnsiTheme="majorBidi" w:cstheme="majorBidi"/>
          <w:i/>
          <w:iCs/>
        </w:rPr>
        <w:t>and</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principle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comitas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gentium</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These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three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principles</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underlie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the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inter-legality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of</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interfaith</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marriage</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so</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it</w:t>
      </w:r>
      <w:proofErr w:type="spellEnd"/>
      <w:r w:rsidRPr="001E7647">
        <w:rPr>
          <w:rFonts w:asciiTheme="majorBidi" w:hAnsiTheme="majorBidi" w:cstheme="majorBidi"/>
          <w:i/>
          <w:iCs/>
        </w:rPr>
        <w:t xml:space="preserve"> has </w:t>
      </w:r>
      <w:proofErr w:type="spellStart"/>
      <w:r w:rsidRPr="001E7647">
        <w:rPr>
          <w:rFonts w:asciiTheme="majorBidi" w:hAnsiTheme="majorBidi" w:cstheme="majorBidi"/>
          <w:i/>
          <w:iCs/>
        </w:rPr>
        <w:t>legality</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according</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to</w:t>
      </w:r>
      <w:proofErr w:type="spellEnd"/>
      <w:r w:rsidRPr="001E7647">
        <w:rPr>
          <w:rFonts w:asciiTheme="majorBidi" w:hAnsiTheme="majorBidi" w:cstheme="majorBidi"/>
          <w:i/>
          <w:iCs/>
        </w:rPr>
        <w:t xml:space="preserve"> </w:t>
      </w:r>
      <w:proofErr w:type="spellStart"/>
      <w:r w:rsidRPr="001E7647">
        <w:rPr>
          <w:rFonts w:asciiTheme="majorBidi" w:hAnsiTheme="majorBidi" w:cstheme="majorBidi"/>
          <w:i/>
          <w:iCs/>
        </w:rPr>
        <w:t>various</w:t>
      </w:r>
      <w:proofErr w:type="spellEnd"/>
      <w:r w:rsidRPr="001E7647">
        <w:rPr>
          <w:rFonts w:asciiTheme="majorBidi" w:hAnsiTheme="majorBidi" w:cstheme="majorBidi"/>
          <w:i/>
          <w:iCs/>
        </w:rPr>
        <w:t xml:space="preserve"> legal </w:t>
      </w:r>
      <w:proofErr w:type="spellStart"/>
      <w:r w:rsidRPr="001E7647">
        <w:rPr>
          <w:rFonts w:asciiTheme="majorBidi" w:hAnsiTheme="majorBidi" w:cstheme="majorBidi"/>
          <w:i/>
          <w:iCs/>
        </w:rPr>
        <w:t>systems</w:t>
      </w:r>
      <w:proofErr w:type="spellEnd"/>
      <w:r w:rsidRPr="001E7647">
        <w:rPr>
          <w:rFonts w:asciiTheme="majorBidi" w:hAnsiTheme="majorBidi" w:cstheme="majorBidi"/>
          <w:i/>
          <w:iCs/>
        </w:rPr>
        <w:t>.</w:t>
      </w:r>
    </w:p>
    <w:p w14:paraId="487E3819" w14:textId="77777777" w:rsidR="00F6627D" w:rsidRDefault="00F6627D" w:rsidP="00CB3A41">
      <w:pPr>
        <w:spacing w:after="0" w:line="240" w:lineRule="auto"/>
        <w:jc w:val="both"/>
        <w:rPr>
          <w:rFonts w:asciiTheme="majorBidi" w:hAnsiTheme="majorBidi" w:cstheme="majorBidi"/>
          <w:i/>
          <w:iCs/>
        </w:rPr>
      </w:pPr>
    </w:p>
    <w:p w14:paraId="6E3CCCB9" w14:textId="5D0D84FC" w:rsidR="001E7647" w:rsidRPr="001E7647" w:rsidRDefault="001E7647" w:rsidP="00CB3A41">
      <w:pPr>
        <w:spacing w:after="0" w:line="240" w:lineRule="auto"/>
        <w:jc w:val="both"/>
        <w:rPr>
          <w:rFonts w:asciiTheme="majorBidi" w:hAnsiTheme="majorBidi" w:cstheme="majorBidi"/>
          <w:b/>
          <w:bCs/>
          <w:i/>
          <w:iCs/>
        </w:rPr>
      </w:pPr>
      <w:r w:rsidRPr="001E7647">
        <w:rPr>
          <w:rFonts w:asciiTheme="majorBidi" w:hAnsiTheme="majorBidi" w:cstheme="majorBidi"/>
          <w:b/>
          <w:bCs/>
          <w:i/>
          <w:iCs/>
        </w:rPr>
        <w:t xml:space="preserve"> </w:t>
      </w:r>
      <w:proofErr w:type="spellStart"/>
      <w:r w:rsidRPr="001E7647">
        <w:rPr>
          <w:rFonts w:asciiTheme="majorBidi" w:hAnsiTheme="majorBidi" w:cstheme="majorBidi"/>
          <w:b/>
          <w:bCs/>
          <w:i/>
          <w:iCs/>
        </w:rPr>
        <w:t>Keyword</w:t>
      </w:r>
      <w:proofErr w:type="spellEnd"/>
      <w:r w:rsidRPr="001E7647">
        <w:rPr>
          <w:rFonts w:asciiTheme="majorBidi" w:hAnsiTheme="majorBidi" w:cstheme="majorBidi"/>
          <w:b/>
          <w:bCs/>
          <w:i/>
          <w:iCs/>
        </w:rPr>
        <w:t xml:space="preserve">: </w:t>
      </w:r>
      <w:proofErr w:type="spellStart"/>
      <w:r w:rsidRPr="001E7647">
        <w:rPr>
          <w:rFonts w:asciiTheme="majorBidi" w:hAnsiTheme="majorBidi" w:cstheme="majorBidi"/>
          <w:b/>
          <w:bCs/>
          <w:i/>
          <w:iCs/>
        </w:rPr>
        <w:t>Interlegality</w:t>
      </w:r>
      <w:proofErr w:type="spellEnd"/>
      <w:r>
        <w:rPr>
          <w:rFonts w:asciiTheme="majorBidi" w:hAnsiTheme="majorBidi" w:cstheme="majorBidi"/>
          <w:b/>
          <w:bCs/>
          <w:i/>
          <w:iCs/>
        </w:rPr>
        <w:t>,</w:t>
      </w:r>
      <w:r w:rsidRPr="001E7647">
        <w:rPr>
          <w:rFonts w:asciiTheme="majorBidi" w:hAnsiTheme="majorBidi" w:cstheme="majorBidi"/>
          <w:b/>
          <w:bCs/>
          <w:i/>
          <w:iCs/>
        </w:rPr>
        <w:t xml:space="preserve"> </w:t>
      </w:r>
      <w:proofErr w:type="spellStart"/>
      <w:r w:rsidRPr="001E7647">
        <w:rPr>
          <w:rFonts w:asciiTheme="majorBidi" w:hAnsiTheme="majorBidi" w:cstheme="majorBidi"/>
          <w:b/>
          <w:bCs/>
          <w:i/>
          <w:iCs/>
        </w:rPr>
        <w:t>Interreligious</w:t>
      </w:r>
      <w:proofErr w:type="spellEnd"/>
      <w:r w:rsidRPr="001E7647">
        <w:rPr>
          <w:rFonts w:asciiTheme="majorBidi" w:hAnsiTheme="majorBidi" w:cstheme="majorBidi"/>
          <w:b/>
          <w:bCs/>
          <w:i/>
          <w:iCs/>
        </w:rPr>
        <w:t xml:space="preserve"> </w:t>
      </w:r>
      <w:proofErr w:type="spellStart"/>
      <w:r w:rsidRPr="001E7647">
        <w:rPr>
          <w:rFonts w:asciiTheme="majorBidi" w:hAnsiTheme="majorBidi" w:cstheme="majorBidi"/>
          <w:b/>
          <w:bCs/>
          <w:i/>
          <w:iCs/>
        </w:rPr>
        <w:t>Marriage</w:t>
      </w:r>
      <w:proofErr w:type="spellEnd"/>
      <w:r>
        <w:rPr>
          <w:rFonts w:asciiTheme="majorBidi" w:hAnsiTheme="majorBidi" w:cstheme="majorBidi"/>
          <w:b/>
          <w:bCs/>
          <w:i/>
          <w:iCs/>
        </w:rPr>
        <w:t>.</w:t>
      </w:r>
    </w:p>
    <w:p w14:paraId="496FFCF3" w14:textId="77777777" w:rsidR="00F6627D" w:rsidRDefault="00F6627D" w:rsidP="008562F2">
      <w:pPr>
        <w:spacing w:after="0" w:line="240" w:lineRule="auto"/>
        <w:jc w:val="center"/>
        <w:rPr>
          <w:rFonts w:asciiTheme="majorBidi" w:hAnsiTheme="majorBidi" w:cstheme="majorBidi"/>
          <w:sz w:val="24"/>
          <w:szCs w:val="24"/>
        </w:rPr>
      </w:pPr>
    </w:p>
    <w:p w14:paraId="707FAA01" w14:textId="2D3AF259" w:rsidR="006D40FD" w:rsidRDefault="001E156B" w:rsidP="008562F2">
      <w:pPr>
        <w:spacing w:after="0" w:line="240" w:lineRule="auto"/>
        <w:jc w:val="center"/>
        <w:rPr>
          <w:rFonts w:asciiTheme="majorBidi" w:hAnsiTheme="majorBidi" w:cstheme="majorBidi"/>
          <w:sz w:val="24"/>
          <w:szCs w:val="24"/>
        </w:rPr>
      </w:pPr>
      <w:r>
        <w:rPr>
          <w:rFonts w:asciiTheme="majorBidi" w:hAnsiTheme="majorBidi" w:cstheme="majorBidi"/>
          <w:sz w:val="24"/>
          <w:szCs w:val="24"/>
        </w:rPr>
        <w:lastRenderedPageBreak/>
        <w:t>ABSTRAK</w:t>
      </w:r>
    </w:p>
    <w:p w14:paraId="7EA26D7D" w14:textId="252D34DA" w:rsidR="006D40FD" w:rsidRDefault="006D40FD" w:rsidP="006D40FD">
      <w:pPr>
        <w:spacing w:after="0" w:line="240" w:lineRule="auto"/>
        <w:ind w:firstLine="567"/>
        <w:jc w:val="both"/>
        <w:rPr>
          <w:rFonts w:asciiTheme="majorBidi" w:hAnsiTheme="majorBidi" w:cstheme="majorBidi"/>
        </w:rPr>
      </w:pPr>
      <w:r w:rsidRPr="001E156B">
        <w:rPr>
          <w:rFonts w:asciiTheme="majorBidi" w:hAnsiTheme="majorBidi" w:cstheme="majorBidi"/>
        </w:rPr>
        <w:t>Banyaknya permohonan pencacatan perkawinan beda agama yang dikabulkan oleh pengadilan di Indonesia, telah mendorong Mahkamah Agung Republik Indonesia, sebagai puncak pelaku kekuasaan kehakiman di Indonesia untuk mengeluarkan</w:t>
      </w:r>
      <w:r w:rsidR="00EA0285" w:rsidRPr="001E156B">
        <w:rPr>
          <w:rFonts w:asciiTheme="majorBidi" w:hAnsiTheme="majorBidi" w:cstheme="majorBidi"/>
        </w:rPr>
        <w:t xml:space="preserve"> Surat Edaran Mahkamah Agung</w:t>
      </w:r>
      <w:r w:rsidR="00B352F8" w:rsidRPr="001E156B">
        <w:rPr>
          <w:rFonts w:asciiTheme="majorBidi" w:hAnsiTheme="majorBidi" w:cstheme="majorBidi"/>
        </w:rPr>
        <w:t xml:space="preserve"> (SEMA)</w:t>
      </w:r>
      <w:r w:rsidR="00EA0285" w:rsidRPr="001E156B">
        <w:rPr>
          <w:rFonts w:asciiTheme="majorBidi" w:hAnsiTheme="majorBidi" w:cstheme="majorBidi"/>
        </w:rPr>
        <w:t xml:space="preserve"> Nomor 2 Tahun 2023 yang menginstruksikan agar pengadilan negeri menolak permohonan pencatatan perkawinan beda agama agar ada keseragaman putusan. Surat edaran ini telah menimbulkan polemik di masyarakat, ada yang setuju dan ada juga yang menolak. Atas surat edaran dimaksud penting untuk dilihat dampaknya terhadap </w:t>
      </w:r>
      <w:proofErr w:type="spellStart"/>
      <w:r w:rsidR="00EA0285" w:rsidRPr="001E156B">
        <w:rPr>
          <w:rFonts w:asciiTheme="majorBidi" w:hAnsiTheme="majorBidi" w:cstheme="majorBidi"/>
        </w:rPr>
        <w:t>independensi</w:t>
      </w:r>
      <w:proofErr w:type="spellEnd"/>
      <w:r w:rsidR="00EA0285" w:rsidRPr="001E156B">
        <w:rPr>
          <w:rFonts w:asciiTheme="majorBidi" w:hAnsiTheme="majorBidi" w:cstheme="majorBidi"/>
        </w:rPr>
        <w:t xml:space="preserve"> hakim dan hak konstitusional pelaku perkawinan beda agama</w:t>
      </w:r>
      <w:r w:rsidR="00B352F8" w:rsidRPr="001E156B">
        <w:rPr>
          <w:rFonts w:asciiTheme="majorBidi" w:hAnsiTheme="majorBidi" w:cstheme="majorBidi"/>
        </w:rPr>
        <w:t>, serta bagaimana posisi SEMA ketika berhadapan dengan perkawinan beda agama yang dilakukan di luar negeri dan dibawa ke Indonesia.</w:t>
      </w:r>
    </w:p>
    <w:p w14:paraId="4237DB67" w14:textId="71089113" w:rsidR="00F61518" w:rsidRDefault="00F61518" w:rsidP="006D40FD">
      <w:pPr>
        <w:spacing w:after="0" w:line="240" w:lineRule="auto"/>
        <w:ind w:firstLine="567"/>
        <w:jc w:val="both"/>
        <w:rPr>
          <w:rFonts w:asciiTheme="majorBidi" w:hAnsiTheme="majorBidi" w:cstheme="majorBidi"/>
        </w:rPr>
      </w:pPr>
      <w:r>
        <w:rPr>
          <w:rFonts w:asciiTheme="majorBidi" w:hAnsiTheme="majorBidi" w:cstheme="majorBidi"/>
        </w:rPr>
        <w:t xml:space="preserve">Menguraikan permasalahan di atas, digunakan metode penelitian hukum normatif dengan pendekatan perundang-undangan dan </w:t>
      </w:r>
      <w:r w:rsidR="00602887">
        <w:rPr>
          <w:rFonts w:asciiTheme="majorBidi" w:hAnsiTheme="majorBidi" w:cstheme="majorBidi"/>
        </w:rPr>
        <w:t>konseptual</w:t>
      </w:r>
      <w:r>
        <w:rPr>
          <w:rFonts w:asciiTheme="majorBidi" w:hAnsiTheme="majorBidi" w:cstheme="majorBidi"/>
        </w:rPr>
        <w:t>. Adapun ba</w:t>
      </w:r>
      <w:r w:rsidR="00602887">
        <w:rPr>
          <w:rFonts w:asciiTheme="majorBidi" w:hAnsiTheme="majorBidi" w:cstheme="majorBidi"/>
        </w:rPr>
        <w:t xml:space="preserve">han hukum yang digunakan adalah bahan hukum primer, sekunder dan tersier yang didapat melalui internet </w:t>
      </w:r>
      <w:proofErr w:type="spellStart"/>
      <w:r w:rsidR="00602887" w:rsidRPr="001E7595">
        <w:rPr>
          <w:rFonts w:asciiTheme="majorBidi" w:hAnsiTheme="majorBidi" w:cstheme="majorBidi"/>
          <w:i/>
          <w:iCs/>
        </w:rPr>
        <w:t>searching</w:t>
      </w:r>
      <w:proofErr w:type="spellEnd"/>
      <w:r w:rsidR="00602887">
        <w:rPr>
          <w:rFonts w:asciiTheme="majorBidi" w:hAnsiTheme="majorBidi" w:cstheme="majorBidi"/>
        </w:rPr>
        <w:t xml:space="preserve">, yaitu </w:t>
      </w:r>
      <w:proofErr w:type="spellStart"/>
      <w:r w:rsidR="00602887" w:rsidRPr="001E7595">
        <w:rPr>
          <w:rFonts w:asciiTheme="majorBidi" w:hAnsiTheme="majorBidi" w:cstheme="majorBidi"/>
          <w:i/>
          <w:iCs/>
        </w:rPr>
        <w:t>browsing</w:t>
      </w:r>
      <w:proofErr w:type="spellEnd"/>
      <w:r w:rsidR="00602887" w:rsidRPr="001E7595">
        <w:rPr>
          <w:rFonts w:asciiTheme="majorBidi" w:hAnsiTheme="majorBidi" w:cstheme="majorBidi"/>
          <w:i/>
          <w:iCs/>
        </w:rPr>
        <w:t xml:space="preserve">, </w:t>
      </w:r>
      <w:proofErr w:type="spellStart"/>
      <w:r w:rsidR="00602887" w:rsidRPr="001E7595">
        <w:rPr>
          <w:rFonts w:asciiTheme="majorBidi" w:hAnsiTheme="majorBidi" w:cstheme="majorBidi"/>
          <w:i/>
          <w:iCs/>
        </w:rPr>
        <w:t>surfing</w:t>
      </w:r>
      <w:proofErr w:type="spellEnd"/>
      <w:r w:rsidR="00602887">
        <w:rPr>
          <w:rFonts w:asciiTheme="majorBidi" w:hAnsiTheme="majorBidi" w:cstheme="majorBidi"/>
        </w:rPr>
        <w:t xml:space="preserve"> dan </w:t>
      </w:r>
      <w:proofErr w:type="spellStart"/>
      <w:r w:rsidR="00602887" w:rsidRPr="001E7595">
        <w:rPr>
          <w:rFonts w:asciiTheme="majorBidi" w:hAnsiTheme="majorBidi" w:cstheme="majorBidi"/>
          <w:i/>
          <w:iCs/>
        </w:rPr>
        <w:t>downloading</w:t>
      </w:r>
      <w:proofErr w:type="spellEnd"/>
      <w:r w:rsidR="001E7595">
        <w:rPr>
          <w:rFonts w:asciiTheme="majorBidi" w:hAnsiTheme="majorBidi" w:cstheme="majorBidi"/>
          <w:i/>
          <w:iCs/>
        </w:rPr>
        <w:t>.</w:t>
      </w:r>
      <w:r w:rsidR="001E7595">
        <w:rPr>
          <w:rFonts w:asciiTheme="majorBidi" w:hAnsiTheme="majorBidi" w:cstheme="majorBidi"/>
        </w:rPr>
        <w:t xml:space="preserve"> Bahan-bahan hukum tersebut selanjutnya dianalisis secara preskriptif. Adapun hasil penelitian ini adalah, </w:t>
      </w:r>
      <w:r w:rsidR="001E7595" w:rsidRPr="001E7595">
        <w:rPr>
          <w:rFonts w:asciiTheme="majorBidi" w:hAnsiTheme="majorBidi" w:cstheme="majorBidi"/>
          <w:i/>
          <w:iCs/>
        </w:rPr>
        <w:t>pertama</w:t>
      </w:r>
      <w:r w:rsidR="001E7595">
        <w:rPr>
          <w:rFonts w:asciiTheme="majorBidi" w:hAnsiTheme="majorBidi" w:cstheme="majorBidi"/>
        </w:rPr>
        <w:t xml:space="preserve">, SEMA dapat mengganggu </w:t>
      </w:r>
      <w:proofErr w:type="spellStart"/>
      <w:r w:rsidR="001E7595">
        <w:rPr>
          <w:rFonts w:asciiTheme="majorBidi" w:hAnsiTheme="majorBidi" w:cstheme="majorBidi"/>
        </w:rPr>
        <w:t>independensi</w:t>
      </w:r>
      <w:proofErr w:type="spellEnd"/>
      <w:r w:rsidR="001E7595">
        <w:rPr>
          <w:rFonts w:asciiTheme="majorBidi" w:hAnsiTheme="majorBidi" w:cstheme="majorBidi"/>
        </w:rPr>
        <w:t xml:space="preserve"> kekuasaan kehakiman itu sendiri di mana MA sebagai salah satu pelakunya dan juga aktor dari SEMA. SEMA juga berdampak bagi hak konstitusional </w:t>
      </w:r>
      <w:r w:rsidR="001E7595">
        <w:rPr>
          <w:rFonts w:asciiTheme="majorBidi" w:hAnsiTheme="majorBidi" w:cstheme="majorBidi"/>
        </w:rPr>
        <w:t>pelaku perkawinan beda agama</w:t>
      </w:r>
      <w:r w:rsidR="001E7595">
        <w:rPr>
          <w:rFonts w:asciiTheme="majorBidi" w:hAnsiTheme="majorBidi" w:cstheme="majorBidi"/>
        </w:rPr>
        <w:t xml:space="preserve"> untuk mendapatkan kepastian hukum, kesamaan di depan hukum dan perlindungan hukum. Kedua, SEMA dapat memantik tindakan penyelundupan hukum bagi calon pelaku perkawinan beda agama di mana akibat hukumnya harus diakui melalui pencatatan berdasarkan asas HPI, yaitu asas hak-hak diperoleh dengan menggunakan hukum asing, asas reprositas dan asas </w:t>
      </w:r>
      <w:proofErr w:type="spellStart"/>
      <w:r w:rsidR="001E7595">
        <w:rPr>
          <w:rFonts w:asciiTheme="majorBidi" w:hAnsiTheme="majorBidi" w:cstheme="majorBidi"/>
        </w:rPr>
        <w:t>comitas</w:t>
      </w:r>
      <w:proofErr w:type="spellEnd"/>
      <w:r w:rsidR="001E7595">
        <w:rPr>
          <w:rFonts w:asciiTheme="majorBidi" w:hAnsiTheme="majorBidi" w:cstheme="majorBidi"/>
        </w:rPr>
        <w:t xml:space="preserve"> </w:t>
      </w:r>
      <w:proofErr w:type="spellStart"/>
      <w:r w:rsidR="001E7595">
        <w:rPr>
          <w:rFonts w:asciiTheme="majorBidi" w:hAnsiTheme="majorBidi" w:cstheme="majorBidi"/>
        </w:rPr>
        <w:t>gentium</w:t>
      </w:r>
      <w:proofErr w:type="spellEnd"/>
      <w:r w:rsidR="001E7595">
        <w:rPr>
          <w:rFonts w:asciiTheme="majorBidi" w:hAnsiTheme="majorBidi" w:cstheme="majorBidi"/>
        </w:rPr>
        <w:t xml:space="preserve">. Ketiga asas ini mendasari </w:t>
      </w:r>
      <w:proofErr w:type="spellStart"/>
      <w:r w:rsidR="001E7595">
        <w:rPr>
          <w:rFonts w:asciiTheme="majorBidi" w:hAnsiTheme="majorBidi" w:cstheme="majorBidi"/>
        </w:rPr>
        <w:t>interlegalitas</w:t>
      </w:r>
      <w:proofErr w:type="spellEnd"/>
      <w:r w:rsidR="001E7595">
        <w:rPr>
          <w:rFonts w:asciiTheme="majorBidi" w:hAnsiTheme="majorBidi" w:cstheme="majorBidi"/>
        </w:rPr>
        <w:t xml:space="preserve"> perkawinan beda agama sehingga </w:t>
      </w:r>
      <w:r w:rsidR="00CB3A41">
        <w:rPr>
          <w:rFonts w:asciiTheme="majorBidi" w:hAnsiTheme="majorBidi" w:cstheme="majorBidi"/>
        </w:rPr>
        <w:t>memiliki legalitas menurut berbagai sistem hukum.</w:t>
      </w:r>
    </w:p>
    <w:p w14:paraId="2976864E" w14:textId="160E7554" w:rsidR="001E7647" w:rsidRDefault="001E7647" w:rsidP="001E7647">
      <w:pPr>
        <w:spacing w:after="0" w:line="240" w:lineRule="auto"/>
        <w:jc w:val="both"/>
        <w:rPr>
          <w:rFonts w:asciiTheme="majorBidi" w:hAnsiTheme="majorBidi" w:cstheme="majorBidi"/>
          <w:b/>
          <w:bCs/>
        </w:rPr>
      </w:pPr>
      <w:r w:rsidRPr="001E7647">
        <w:rPr>
          <w:rFonts w:asciiTheme="majorBidi" w:hAnsiTheme="majorBidi" w:cstheme="majorBidi"/>
          <w:b/>
          <w:bCs/>
        </w:rPr>
        <w:t xml:space="preserve">Kata Kunci: </w:t>
      </w:r>
      <w:proofErr w:type="spellStart"/>
      <w:r w:rsidRPr="001E7647">
        <w:rPr>
          <w:rFonts w:asciiTheme="majorBidi" w:hAnsiTheme="majorBidi" w:cstheme="majorBidi"/>
          <w:b/>
          <w:bCs/>
        </w:rPr>
        <w:t>Interlegalitas</w:t>
      </w:r>
      <w:proofErr w:type="spellEnd"/>
      <w:r w:rsidRPr="001E7647">
        <w:rPr>
          <w:rFonts w:asciiTheme="majorBidi" w:hAnsiTheme="majorBidi" w:cstheme="majorBidi"/>
          <w:b/>
          <w:bCs/>
        </w:rPr>
        <w:t>, Perkawinan Beda Agama</w:t>
      </w:r>
    </w:p>
    <w:p w14:paraId="25BA4410" w14:textId="77777777" w:rsidR="00F6627D" w:rsidRPr="001E7647" w:rsidRDefault="00F6627D" w:rsidP="001E7647">
      <w:pPr>
        <w:spacing w:after="0" w:line="240" w:lineRule="auto"/>
        <w:jc w:val="both"/>
        <w:rPr>
          <w:rFonts w:asciiTheme="majorBidi" w:hAnsiTheme="majorBidi" w:cstheme="majorBidi"/>
          <w:b/>
          <w:bCs/>
        </w:rPr>
      </w:pPr>
    </w:p>
    <w:p w14:paraId="7DC34119" w14:textId="657DA0B7" w:rsidR="00747123" w:rsidRPr="001E156B" w:rsidRDefault="001E156B" w:rsidP="00D84793">
      <w:pPr>
        <w:pStyle w:val="ListParagraph"/>
        <w:numPr>
          <w:ilvl w:val="0"/>
          <w:numId w:val="1"/>
        </w:numPr>
        <w:spacing w:after="0" w:line="240" w:lineRule="auto"/>
        <w:ind w:left="567" w:hanging="567"/>
        <w:jc w:val="both"/>
        <w:rPr>
          <w:rFonts w:asciiTheme="majorBidi" w:hAnsiTheme="majorBidi" w:cstheme="majorBidi"/>
          <w:b/>
          <w:bCs/>
          <w:sz w:val="26"/>
          <w:szCs w:val="26"/>
        </w:rPr>
      </w:pPr>
      <w:r w:rsidRPr="001E156B">
        <w:rPr>
          <w:rFonts w:asciiTheme="majorBidi" w:hAnsiTheme="majorBidi" w:cstheme="majorBidi"/>
          <w:b/>
          <w:bCs/>
          <w:sz w:val="26"/>
          <w:szCs w:val="26"/>
        </w:rPr>
        <w:t>PENDAHULUAN</w:t>
      </w:r>
    </w:p>
    <w:p w14:paraId="1C14601A" w14:textId="44C694F4" w:rsidR="00747123" w:rsidRPr="001E156B" w:rsidRDefault="00747123" w:rsidP="001E156B">
      <w:pPr>
        <w:pStyle w:val="ListParagraph"/>
        <w:spacing w:after="0" w:line="240" w:lineRule="auto"/>
        <w:ind w:left="0" w:firstLine="567"/>
        <w:jc w:val="both"/>
        <w:rPr>
          <w:rFonts w:asciiTheme="majorBidi" w:hAnsiTheme="majorBidi" w:cstheme="majorBidi"/>
        </w:rPr>
      </w:pPr>
      <w:r w:rsidRPr="001E156B">
        <w:rPr>
          <w:rFonts w:ascii="Times New Roman" w:eastAsiaTheme="minorHAnsi" w:hAnsi="Times New Roman" w:cs="Times New Roman"/>
          <w:kern w:val="0"/>
          <w:lang w:val="sv-SE" w:eastAsia="en-US"/>
          <w14:ligatures w14:val="none"/>
        </w:rPr>
        <w:t>Perdebatan pernikahan beda agama akhir-akhir ini mulai menghangat lagi seiring lahirnya putusan Pengadilan Negeri Jakarta Selatan yang mengabulkan permohonan</w:t>
      </w:r>
      <w:r w:rsidRPr="001E156B">
        <w:rPr>
          <w:rFonts w:asciiTheme="majorBidi" w:hAnsiTheme="majorBidi" w:cstheme="majorBidi"/>
        </w:rPr>
        <w:t xml:space="preserve"> pencatatan perkawinan antar </w:t>
      </w:r>
      <w:r w:rsidR="004602DE" w:rsidRPr="001E156B">
        <w:rPr>
          <w:rFonts w:asciiTheme="majorBidi" w:hAnsiTheme="majorBidi" w:cstheme="majorBidi"/>
        </w:rPr>
        <w:t>umat</w:t>
      </w:r>
      <w:r w:rsidRPr="001E156B">
        <w:rPr>
          <w:rFonts w:asciiTheme="majorBidi" w:hAnsiTheme="majorBidi" w:cstheme="majorBidi"/>
        </w:rPr>
        <w:t xml:space="preserve"> beragama yang berbeda agama dan kepercayaan</w:t>
      </w:r>
      <w:r w:rsidR="004602DE" w:rsidRPr="001E156B">
        <w:rPr>
          <w:rFonts w:asciiTheme="majorBidi" w:hAnsiTheme="majorBidi" w:cstheme="majorBidi"/>
        </w:rPr>
        <w:t>. Salah satu dasar dikabulkannya permohonan tersebut adalah bahwa pada realitasnya Indonesia yang merupakan bangsa yang beragam masyarakatnya. Heterogenitas penduduk Indonesia dan bermacam-macam agama yang diakui secara sah keberadaannya di Indonesia, maka sangat ironis bilamana perkawinan beda agama di Indonesia tidak diperbolehkan karena tidak diatur dalam suatu undang-undang.</w:t>
      </w:r>
    </w:p>
    <w:p w14:paraId="5778E7D0" w14:textId="50A882D7" w:rsidR="004602DE" w:rsidRPr="001E156B" w:rsidRDefault="004602DE" w:rsidP="001E156B">
      <w:pPr>
        <w:pStyle w:val="ListParagraph"/>
        <w:spacing w:after="0" w:line="240" w:lineRule="auto"/>
        <w:ind w:left="0" w:firstLine="567"/>
        <w:jc w:val="both"/>
        <w:rPr>
          <w:rFonts w:asciiTheme="majorBidi" w:hAnsiTheme="majorBidi" w:cstheme="majorBidi"/>
        </w:rPr>
      </w:pPr>
      <w:r w:rsidRPr="001E156B">
        <w:rPr>
          <w:rFonts w:asciiTheme="majorBidi" w:hAnsiTheme="majorBidi" w:cstheme="majorBidi"/>
        </w:rPr>
        <w:t xml:space="preserve">Atas pertimbangan di atas, maka Pengadilan Negeri mengabulkan permohonan pencatatan perkawinan beda agama. Pengaturan pencatatan perkawinan beda agama di Indonesia saat ini diatur dalam Pasal 35 huruf a jo. Penjelasan Pasal 35 </w:t>
      </w:r>
      <w:proofErr w:type="spellStart"/>
      <w:r w:rsidRPr="001E156B">
        <w:rPr>
          <w:rFonts w:asciiTheme="majorBidi" w:hAnsiTheme="majorBidi" w:cstheme="majorBidi"/>
        </w:rPr>
        <w:t>Undang-Undang</w:t>
      </w:r>
      <w:proofErr w:type="spellEnd"/>
      <w:r w:rsidRPr="001E156B">
        <w:rPr>
          <w:rFonts w:asciiTheme="majorBidi" w:hAnsiTheme="majorBidi" w:cstheme="majorBidi"/>
        </w:rPr>
        <w:t xml:space="preserve"> Nomor 23 Tahun 2006 tentang Administrasi Kependudukan ( selanjutnya ditulis UU </w:t>
      </w:r>
      <w:proofErr w:type="spellStart"/>
      <w:r w:rsidRPr="001E156B">
        <w:rPr>
          <w:rFonts w:asciiTheme="majorBidi" w:hAnsiTheme="majorBidi" w:cstheme="majorBidi"/>
        </w:rPr>
        <w:t>Adminduk</w:t>
      </w:r>
      <w:proofErr w:type="spellEnd"/>
      <w:r w:rsidRPr="001E156B">
        <w:rPr>
          <w:rFonts w:asciiTheme="majorBidi" w:hAnsiTheme="majorBidi" w:cstheme="majorBidi"/>
        </w:rPr>
        <w:t>)</w:t>
      </w:r>
      <w:r w:rsidR="00712C79" w:rsidRPr="001E156B">
        <w:rPr>
          <w:rFonts w:asciiTheme="majorBidi" w:hAnsiTheme="majorBidi" w:cstheme="majorBidi"/>
        </w:rPr>
        <w:t xml:space="preserve"> </w:t>
      </w:r>
      <w:proofErr w:type="spellStart"/>
      <w:r w:rsidR="00712C79" w:rsidRPr="001E156B">
        <w:rPr>
          <w:rFonts w:asciiTheme="majorBidi" w:hAnsiTheme="majorBidi" w:cstheme="majorBidi"/>
        </w:rPr>
        <w:t>sebagimana</w:t>
      </w:r>
      <w:proofErr w:type="spellEnd"/>
      <w:r w:rsidR="00712C79" w:rsidRPr="001E156B">
        <w:rPr>
          <w:rFonts w:asciiTheme="majorBidi" w:hAnsiTheme="majorBidi" w:cstheme="majorBidi"/>
        </w:rPr>
        <w:t xml:space="preserve"> telah diubah oleh </w:t>
      </w:r>
      <w:proofErr w:type="spellStart"/>
      <w:r w:rsidR="00712C79" w:rsidRPr="001E156B">
        <w:rPr>
          <w:rFonts w:asciiTheme="majorBidi" w:hAnsiTheme="majorBidi" w:cstheme="majorBidi"/>
        </w:rPr>
        <w:t>Undang-Undang</w:t>
      </w:r>
      <w:proofErr w:type="spellEnd"/>
      <w:r w:rsidR="00712C79" w:rsidRPr="001E156B">
        <w:rPr>
          <w:rFonts w:asciiTheme="majorBidi" w:hAnsiTheme="majorBidi" w:cstheme="majorBidi"/>
        </w:rPr>
        <w:t xml:space="preserve"> Nomor 24 Tahun 2013 tentang Perubahan atas </w:t>
      </w:r>
      <w:proofErr w:type="spellStart"/>
      <w:r w:rsidR="00712C79" w:rsidRPr="001E156B">
        <w:rPr>
          <w:rFonts w:asciiTheme="majorBidi" w:hAnsiTheme="majorBidi" w:cstheme="majorBidi"/>
        </w:rPr>
        <w:t>Undang-Undang</w:t>
      </w:r>
      <w:proofErr w:type="spellEnd"/>
      <w:r w:rsidR="00712C79" w:rsidRPr="001E156B">
        <w:rPr>
          <w:rFonts w:asciiTheme="majorBidi" w:hAnsiTheme="majorBidi" w:cstheme="majorBidi"/>
        </w:rPr>
        <w:t xml:space="preserve"> Nomor 2</w:t>
      </w:r>
      <w:r w:rsidR="008A519B" w:rsidRPr="001E156B">
        <w:rPr>
          <w:rFonts w:asciiTheme="majorBidi" w:hAnsiTheme="majorBidi" w:cstheme="majorBidi"/>
        </w:rPr>
        <w:t xml:space="preserve">3 tahun 2006 tentang </w:t>
      </w:r>
      <w:proofErr w:type="spellStart"/>
      <w:r w:rsidR="008A519B" w:rsidRPr="001E156B">
        <w:rPr>
          <w:rFonts w:asciiTheme="majorBidi" w:hAnsiTheme="majorBidi" w:cstheme="majorBidi"/>
        </w:rPr>
        <w:t>Adminitrasi</w:t>
      </w:r>
      <w:proofErr w:type="spellEnd"/>
      <w:r w:rsidR="008A519B" w:rsidRPr="001E156B">
        <w:rPr>
          <w:rFonts w:asciiTheme="majorBidi" w:hAnsiTheme="majorBidi" w:cstheme="majorBidi"/>
        </w:rPr>
        <w:t xml:space="preserve"> Kependudukan. Pasal 34 menyatakan bahwa:</w:t>
      </w:r>
    </w:p>
    <w:p w14:paraId="68AB6E90" w14:textId="049C7717" w:rsidR="008A519B" w:rsidRPr="001E156B" w:rsidRDefault="008A519B" w:rsidP="001E156B">
      <w:pPr>
        <w:pStyle w:val="ListParagraph"/>
        <w:numPr>
          <w:ilvl w:val="0"/>
          <w:numId w:val="2"/>
        </w:numPr>
        <w:spacing w:after="0" w:line="240" w:lineRule="auto"/>
        <w:ind w:left="709"/>
        <w:jc w:val="both"/>
        <w:rPr>
          <w:rFonts w:asciiTheme="majorBidi" w:hAnsiTheme="majorBidi" w:cstheme="majorBidi"/>
          <w:i/>
          <w:iCs/>
        </w:rPr>
      </w:pPr>
      <w:r w:rsidRPr="001E156B">
        <w:rPr>
          <w:rFonts w:asciiTheme="majorBidi" w:hAnsiTheme="majorBidi" w:cstheme="majorBidi"/>
          <w:i/>
          <w:iCs/>
        </w:rPr>
        <w:t xml:space="preserve">Perkawinan yang sah berdasarkan ketentuan Peraturan </w:t>
      </w:r>
      <w:proofErr w:type="spellStart"/>
      <w:r w:rsidRPr="001E156B">
        <w:rPr>
          <w:rFonts w:asciiTheme="majorBidi" w:hAnsiTheme="majorBidi" w:cstheme="majorBidi"/>
          <w:i/>
          <w:iCs/>
        </w:rPr>
        <w:t>Perundang-Undangan</w:t>
      </w:r>
      <w:proofErr w:type="spellEnd"/>
      <w:r w:rsidRPr="001E156B">
        <w:rPr>
          <w:rFonts w:asciiTheme="majorBidi" w:hAnsiTheme="majorBidi" w:cstheme="majorBidi"/>
          <w:i/>
          <w:iCs/>
        </w:rPr>
        <w:t xml:space="preserve"> wajib dilaporkan oleh Penduduk kepada instansi Pelaksana di tempat terjadinya perkawinan paling lambat 60 (enam puluh) hari sejak tanggal perkawinan.</w:t>
      </w:r>
    </w:p>
    <w:p w14:paraId="4A2ABA5D" w14:textId="71DF633F" w:rsidR="008A519B" w:rsidRPr="001E156B" w:rsidRDefault="008A519B" w:rsidP="001E156B">
      <w:pPr>
        <w:pStyle w:val="ListParagraph"/>
        <w:numPr>
          <w:ilvl w:val="0"/>
          <w:numId w:val="2"/>
        </w:numPr>
        <w:spacing w:after="0" w:line="240" w:lineRule="auto"/>
        <w:ind w:left="709"/>
        <w:jc w:val="both"/>
        <w:rPr>
          <w:rFonts w:asciiTheme="majorBidi" w:eastAsia="Times New Roman" w:hAnsiTheme="majorBidi" w:cstheme="majorBidi"/>
          <w:i/>
          <w:iCs/>
          <w:color w:val="333333"/>
          <w:kern w:val="0"/>
          <w14:ligatures w14:val="none"/>
        </w:rPr>
      </w:pPr>
      <w:r w:rsidRPr="001E156B">
        <w:rPr>
          <w:rFonts w:asciiTheme="majorBidi" w:eastAsia="Times New Roman" w:hAnsiTheme="majorBidi" w:cstheme="majorBidi"/>
          <w:i/>
          <w:iCs/>
          <w:color w:val="333333"/>
          <w:kern w:val="0"/>
          <w14:ligatures w14:val="none"/>
        </w:rPr>
        <w:t>Berdasarkan laporan sebagaimana dimaksud pada ayat (1), Pejabat Pencatatan Sipil mencatat pada Register Akta Perkawinan dan menerbitkan Kutipan Akta Perkawinan.</w:t>
      </w:r>
    </w:p>
    <w:p w14:paraId="643C6E21" w14:textId="21EF6F6F" w:rsidR="008A519B" w:rsidRPr="001E156B" w:rsidRDefault="008A519B" w:rsidP="001E156B">
      <w:pPr>
        <w:pStyle w:val="ListParagraph"/>
        <w:numPr>
          <w:ilvl w:val="0"/>
          <w:numId w:val="2"/>
        </w:numPr>
        <w:spacing w:after="0" w:line="240" w:lineRule="auto"/>
        <w:ind w:left="709"/>
        <w:jc w:val="both"/>
        <w:rPr>
          <w:rFonts w:asciiTheme="majorBidi" w:eastAsia="Times New Roman" w:hAnsiTheme="majorBidi" w:cstheme="majorBidi"/>
          <w:i/>
          <w:iCs/>
          <w:color w:val="333333"/>
          <w:kern w:val="0"/>
          <w14:ligatures w14:val="none"/>
        </w:rPr>
      </w:pPr>
      <w:r w:rsidRPr="001E156B">
        <w:rPr>
          <w:rFonts w:asciiTheme="majorBidi" w:eastAsia="Times New Roman" w:hAnsiTheme="majorBidi" w:cstheme="majorBidi"/>
          <w:i/>
          <w:iCs/>
          <w:color w:val="333333"/>
          <w:kern w:val="0"/>
          <w14:ligatures w14:val="none"/>
        </w:rPr>
        <w:t>Kutipan Akta Perkawinan sebagaimana dimaksud pada ayat (2) masing-masing diberikan kepada suami dan istri.</w:t>
      </w:r>
    </w:p>
    <w:p w14:paraId="6BC15874" w14:textId="6323F5E1" w:rsidR="007A545A" w:rsidRPr="001E156B" w:rsidRDefault="007A545A" w:rsidP="001E156B">
      <w:pPr>
        <w:pStyle w:val="ListParagraph"/>
        <w:numPr>
          <w:ilvl w:val="0"/>
          <w:numId w:val="2"/>
        </w:numPr>
        <w:spacing w:after="0" w:line="240" w:lineRule="auto"/>
        <w:ind w:left="709"/>
        <w:jc w:val="both"/>
        <w:rPr>
          <w:rFonts w:asciiTheme="majorBidi" w:eastAsia="Times New Roman" w:hAnsiTheme="majorBidi" w:cstheme="majorBidi"/>
          <w:i/>
          <w:iCs/>
          <w:color w:val="333333"/>
          <w:kern w:val="0"/>
          <w14:ligatures w14:val="none"/>
        </w:rPr>
      </w:pPr>
      <w:r w:rsidRPr="001E156B">
        <w:rPr>
          <w:rFonts w:asciiTheme="majorBidi" w:eastAsia="Times New Roman" w:hAnsiTheme="majorBidi" w:cstheme="majorBidi"/>
          <w:i/>
          <w:iCs/>
          <w:color w:val="333333"/>
          <w:kern w:val="0"/>
          <w14:ligatures w14:val="none"/>
        </w:rPr>
        <w:t>Pelaporan sebagaimana dimaksud pada ayat (1) dilakukan oleh Penduduk yang beragama Islam kepada KUA</w:t>
      </w:r>
      <w:r w:rsidR="00494B55" w:rsidRPr="001E156B">
        <w:rPr>
          <w:rFonts w:asciiTheme="majorBidi" w:eastAsia="Times New Roman" w:hAnsiTheme="majorBidi" w:cstheme="majorBidi"/>
          <w:i/>
          <w:iCs/>
          <w:color w:val="333333"/>
          <w:kern w:val="0"/>
          <w14:ligatures w14:val="none"/>
        </w:rPr>
        <w:t xml:space="preserve"> </w:t>
      </w:r>
      <w:r w:rsidRPr="001E156B">
        <w:rPr>
          <w:rFonts w:asciiTheme="majorBidi" w:eastAsia="Times New Roman" w:hAnsiTheme="majorBidi" w:cstheme="majorBidi"/>
          <w:i/>
          <w:iCs/>
          <w:color w:val="333333"/>
          <w:kern w:val="0"/>
          <w14:ligatures w14:val="none"/>
        </w:rPr>
        <w:t>Kec.</w:t>
      </w:r>
    </w:p>
    <w:p w14:paraId="736B56BE" w14:textId="24019C8F" w:rsidR="007A545A" w:rsidRPr="001E156B" w:rsidRDefault="007A545A" w:rsidP="001E156B">
      <w:pPr>
        <w:pStyle w:val="ListParagraph"/>
        <w:numPr>
          <w:ilvl w:val="0"/>
          <w:numId w:val="2"/>
        </w:numPr>
        <w:spacing w:after="0" w:line="240" w:lineRule="auto"/>
        <w:ind w:left="709"/>
        <w:jc w:val="both"/>
        <w:rPr>
          <w:rFonts w:asciiTheme="majorBidi" w:eastAsia="Times New Roman" w:hAnsiTheme="majorBidi" w:cstheme="majorBidi"/>
          <w:i/>
          <w:iCs/>
          <w:color w:val="333333"/>
          <w:kern w:val="0"/>
          <w14:ligatures w14:val="none"/>
        </w:rPr>
      </w:pPr>
      <w:r w:rsidRPr="001E156B">
        <w:rPr>
          <w:rFonts w:asciiTheme="majorBidi" w:eastAsia="Times New Roman" w:hAnsiTheme="majorBidi" w:cstheme="majorBidi"/>
          <w:i/>
          <w:iCs/>
          <w:color w:val="333333"/>
          <w:kern w:val="0"/>
          <w14:ligatures w14:val="none"/>
        </w:rPr>
        <w:lastRenderedPageBreak/>
        <w:t>Data hasil pencatatan atas peristiwa sebagaimana dimaksud pada ayat (4) dan dalam Pasal 8 ayat (2) wajib disampaikan oleh KUA</w:t>
      </w:r>
      <w:r w:rsidR="00494B55" w:rsidRPr="001E156B">
        <w:rPr>
          <w:rFonts w:asciiTheme="majorBidi" w:eastAsia="Times New Roman" w:hAnsiTheme="majorBidi" w:cstheme="majorBidi"/>
          <w:i/>
          <w:iCs/>
          <w:color w:val="333333"/>
          <w:kern w:val="0"/>
          <w14:ligatures w14:val="none"/>
        </w:rPr>
        <w:t xml:space="preserve"> </w:t>
      </w:r>
      <w:proofErr w:type="spellStart"/>
      <w:r w:rsidRPr="001E156B">
        <w:rPr>
          <w:rFonts w:asciiTheme="majorBidi" w:eastAsia="Times New Roman" w:hAnsiTheme="majorBidi" w:cstheme="majorBidi"/>
          <w:i/>
          <w:iCs/>
          <w:color w:val="333333"/>
          <w:kern w:val="0"/>
          <w14:ligatures w14:val="none"/>
        </w:rPr>
        <w:t>Kec</w:t>
      </w:r>
      <w:proofErr w:type="spellEnd"/>
      <w:r w:rsidRPr="001E156B">
        <w:rPr>
          <w:rFonts w:asciiTheme="majorBidi" w:eastAsia="Times New Roman" w:hAnsiTheme="majorBidi" w:cstheme="majorBidi"/>
          <w:i/>
          <w:iCs/>
          <w:color w:val="333333"/>
          <w:kern w:val="0"/>
          <w14:ligatures w14:val="none"/>
        </w:rPr>
        <w:t xml:space="preserve"> kepada Instansi Pelaksana dalam waktu paling lambat 10 (sepuluh) hari setelah pencatatan perkawinan dilaksanakan.</w:t>
      </w:r>
    </w:p>
    <w:p w14:paraId="42D5E2C8" w14:textId="3EE2A13A" w:rsidR="007A545A" w:rsidRPr="001E156B" w:rsidRDefault="007A545A" w:rsidP="001E156B">
      <w:pPr>
        <w:pStyle w:val="ListParagraph"/>
        <w:numPr>
          <w:ilvl w:val="0"/>
          <w:numId w:val="2"/>
        </w:numPr>
        <w:spacing w:after="0" w:line="240" w:lineRule="auto"/>
        <w:ind w:left="709"/>
        <w:jc w:val="both"/>
        <w:rPr>
          <w:rFonts w:asciiTheme="majorBidi" w:eastAsia="Times New Roman" w:hAnsiTheme="majorBidi" w:cstheme="majorBidi"/>
          <w:i/>
          <w:iCs/>
          <w:color w:val="333333"/>
          <w:kern w:val="0"/>
          <w14:ligatures w14:val="none"/>
        </w:rPr>
      </w:pPr>
      <w:r w:rsidRPr="001E156B">
        <w:rPr>
          <w:rFonts w:asciiTheme="majorBidi" w:eastAsia="Times New Roman" w:hAnsiTheme="majorBidi" w:cstheme="majorBidi"/>
          <w:i/>
          <w:iCs/>
          <w:color w:val="333333"/>
          <w:kern w:val="0"/>
          <w14:ligatures w14:val="none"/>
        </w:rPr>
        <w:t>Hasil pencatatan data sebagaimana dimaksud pada ayat (5) tidak memerlukan penerbitan kutipan akta Pencatatan Sipil.</w:t>
      </w:r>
    </w:p>
    <w:p w14:paraId="2269E65A" w14:textId="7D3394DB" w:rsidR="007A545A" w:rsidRPr="001E156B" w:rsidRDefault="007A545A" w:rsidP="001E156B">
      <w:pPr>
        <w:pStyle w:val="ListParagraph"/>
        <w:numPr>
          <w:ilvl w:val="0"/>
          <w:numId w:val="2"/>
        </w:numPr>
        <w:spacing w:after="0" w:line="240" w:lineRule="auto"/>
        <w:ind w:left="709"/>
        <w:jc w:val="both"/>
        <w:rPr>
          <w:rFonts w:asciiTheme="majorBidi" w:eastAsia="Times New Roman" w:hAnsiTheme="majorBidi" w:cstheme="majorBidi"/>
          <w:i/>
          <w:iCs/>
          <w:color w:val="333333"/>
          <w:kern w:val="0"/>
          <w14:ligatures w14:val="none"/>
        </w:rPr>
      </w:pPr>
      <w:r w:rsidRPr="001E156B">
        <w:rPr>
          <w:rFonts w:asciiTheme="majorBidi" w:eastAsia="Times New Roman" w:hAnsiTheme="majorBidi" w:cstheme="majorBidi"/>
          <w:i/>
          <w:iCs/>
          <w:color w:val="333333"/>
          <w:kern w:val="0"/>
          <w14:ligatures w14:val="none"/>
        </w:rPr>
        <w:t>Pada tingkat kecamatan laporan sebagaimana dimaksud pada ayat (1) dilakukan pada UPTD Instansi Pelaksana</w:t>
      </w:r>
    </w:p>
    <w:p w14:paraId="5FF581AC" w14:textId="6A66C89E" w:rsidR="004602DE" w:rsidRPr="001E156B" w:rsidRDefault="00494B55" w:rsidP="00103744">
      <w:pPr>
        <w:pStyle w:val="ListParagraph"/>
        <w:spacing w:after="0" w:line="240" w:lineRule="auto"/>
        <w:ind w:left="284" w:firstLine="567"/>
        <w:jc w:val="both"/>
        <w:rPr>
          <w:rFonts w:asciiTheme="majorBidi" w:hAnsiTheme="majorBidi" w:cstheme="majorBidi"/>
          <w:color w:val="212529"/>
          <w:shd w:val="clear" w:color="auto" w:fill="FFFFFF"/>
        </w:rPr>
      </w:pPr>
      <w:r w:rsidRPr="001E156B">
        <w:rPr>
          <w:rFonts w:asciiTheme="majorBidi" w:hAnsiTheme="majorBidi" w:cstheme="majorBidi"/>
        </w:rPr>
        <w:t>Selanjutnya Pasal 3</w:t>
      </w:r>
      <w:r w:rsidR="00103744" w:rsidRPr="001E156B">
        <w:rPr>
          <w:rFonts w:asciiTheme="majorBidi" w:hAnsiTheme="majorBidi" w:cstheme="majorBidi"/>
        </w:rPr>
        <w:t>5</w:t>
      </w:r>
      <w:r w:rsidRPr="001E156B">
        <w:rPr>
          <w:rFonts w:asciiTheme="majorBidi" w:hAnsiTheme="majorBidi" w:cstheme="majorBidi"/>
        </w:rPr>
        <w:t xml:space="preserve"> UU </w:t>
      </w:r>
      <w:proofErr w:type="spellStart"/>
      <w:r w:rsidRPr="001E156B">
        <w:rPr>
          <w:rFonts w:asciiTheme="majorBidi" w:hAnsiTheme="majorBidi" w:cstheme="majorBidi"/>
        </w:rPr>
        <w:t>Adminduk</w:t>
      </w:r>
      <w:proofErr w:type="spellEnd"/>
      <w:r w:rsidRPr="001E156B">
        <w:rPr>
          <w:rFonts w:asciiTheme="majorBidi" w:hAnsiTheme="majorBidi" w:cstheme="majorBidi"/>
        </w:rPr>
        <w:t xml:space="preserve"> menyatakan bahwa </w:t>
      </w:r>
      <w:proofErr w:type="spellStart"/>
      <w:r w:rsidRPr="001E156B">
        <w:rPr>
          <w:rFonts w:asciiTheme="majorBidi" w:eastAsia="Times New Roman" w:hAnsiTheme="majorBidi" w:cstheme="majorBidi"/>
          <w:i/>
          <w:iCs/>
          <w:color w:val="333333"/>
          <w:kern w:val="0"/>
          <w:lang w:val="en-ID"/>
          <w14:ligatures w14:val="none"/>
        </w:rPr>
        <w:t>Pencatatan</w:t>
      </w:r>
      <w:proofErr w:type="spellEnd"/>
      <w:r w:rsidRPr="001E156B">
        <w:rPr>
          <w:rFonts w:asciiTheme="majorBidi" w:eastAsia="Times New Roman" w:hAnsiTheme="majorBidi" w:cstheme="majorBidi"/>
          <w:i/>
          <w:iCs/>
          <w:color w:val="333333"/>
          <w:kern w:val="0"/>
          <w:lang w:val="en-ID"/>
          <w14:ligatures w14:val="none"/>
        </w:rPr>
        <w:t xml:space="preserve"> </w:t>
      </w:r>
      <w:proofErr w:type="spellStart"/>
      <w:r w:rsidRPr="001E156B">
        <w:rPr>
          <w:rFonts w:asciiTheme="majorBidi" w:eastAsia="Times New Roman" w:hAnsiTheme="majorBidi" w:cstheme="majorBidi"/>
          <w:i/>
          <w:iCs/>
          <w:color w:val="333333"/>
          <w:kern w:val="0"/>
          <w:lang w:val="en-ID"/>
          <w14:ligatures w14:val="none"/>
        </w:rPr>
        <w:t>perkawinan</w:t>
      </w:r>
      <w:proofErr w:type="spellEnd"/>
      <w:r w:rsidRPr="001E156B">
        <w:rPr>
          <w:rFonts w:asciiTheme="majorBidi" w:eastAsia="Times New Roman" w:hAnsiTheme="majorBidi" w:cstheme="majorBidi"/>
          <w:i/>
          <w:iCs/>
          <w:color w:val="333333"/>
          <w:kern w:val="0"/>
          <w:lang w:val="en-ID"/>
          <w14:ligatures w14:val="none"/>
        </w:rPr>
        <w:t> </w:t>
      </w:r>
      <w:proofErr w:type="spellStart"/>
      <w:r w:rsidRPr="001E156B">
        <w:rPr>
          <w:rFonts w:asciiTheme="majorBidi" w:eastAsia="Times New Roman" w:hAnsiTheme="majorBidi" w:cstheme="majorBidi"/>
          <w:i/>
          <w:iCs/>
          <w:color w:val="333333"/>
          <w:kern w:val="0"/>
          <w:lang w:val="en-ID"/>
          <w14:ligatures w14:val="none"/>
        </w:rPr>
        <w:t>sebagaimana</w:t>
      </w:r>
      <w:proofErr w:type="spellEnd"/>
      <w:r w:rsidRPr="001E156B">
        <w:rPr>
          <w:rFonts w:asciiTheme="majorBidi" w:eastAsia="Times New Roman" w:hAnsiTheme="majorBidi" w:cstheme="majorBidi"/>
          <w:i/>
          <w:iCs/>
          <w:color w:val="333333"/>
          <w:kern w:val="0"/>
          <w:lang w:val="en-ID"/>
          <w14:ligatures w14:val="none"/>
        </w:rPr>
        <w:t xml:space="preserve"> </w:t>
      </w:r>
      <w:proofErr w:type="spellStart"/>
      <w:r w:rsidRPr="001E156B">
        <w:rPr>
          <w:rFonts w:asciiTheme="majorBidi" w:eastAsia="Times New Roman" w:hAnsiTheme="majorBidi" w:cstheme="majorBidi"/>
          <w:i/>
          <w:iCs/>
          <w:color w:val="333333"/>
          <w:kern w:val="0"/>
          <w:lang w:val="en-ID"/>
          <w14:ligatures w14:val="none"/>
        </w:rPr>
        <w:t>dimaksud</w:t>
      </w:r>
      <w:proofErr w:type="spellEnd"/>
      <w:r w:rsidRPr="001E156B">
        <w:rPr>
          <w:rFonts w:asciiTheme="majorBidi" w:eastAsia="Times New Roman" w:hAnsiTheme="majorBidi" w:cstheme="majorBidi"/>
          <w:i/>
          <w:iCs/>
          <w:color w:val="333333"/>
          <w:kern w:val="0"/>
          <w:lang w:val="en-ID"/>
          <w14:ligatures w14:val="none"/>
        </w:rPr>
        <w:t xml:space="preserve"> </w:t>
      </w:r>
      <w:proofErr w:type="spellStart"/>
      <w:r w:rsidRPr="001E156B">
        <w:rPr>
          <w:rFonts w:asciiTheme="majorBidi" w:eastAsia="Times New Roman" w:hAnsiTheme="majorBidi" w:cstheme="majorBidi"/>
          <w:i/>
          <w:iCs/>
          <w:color w:val="333333"/>
          <w:kern w:val="0"/>
          <w:lang w:val="en-ID"/>
          <w14:ligatures w14:val="none"/>
        </w:rPr>
        <w:t>dalam</w:t>
      </w:r>
      <w:proofErr w:type="spellEnd"/>
      <w:r w:rsidRPr="001E156B">
        <w:rPr>
          <w:rFonts w:asciiTheme="majorBidi" w:eastAsia="Times New Roman" w:hAnsiTheme="majorBidi" w:cstheme="majorBidi"/>
          <w:i/>
          <w:iCs/>
          <w:color w:val="333333"/>
          <w:kern w:val="0"/>
          <w:lang w:val="en-ID"/>
          <w14:ligatures w14:val="none"/>
        </w:rPr>
        <w:t xml:space="preserve"> </w:t>
      </w:r>
      <w:proofErr w:type="spellStart"/>
      <w:r w:rsidRPr="001E156B">
        <w:rPr>
          <w:rFonts w:asciiTheme="majorBidi" w:eastAsia="Times New Roman" w:hAnsiTheme="majorBidi" w:cstheme="majorBidi"/>
          <w:i/>
          <w:iCs/>
          <w:color w:val="333333"/>
          <w:kern w:val="0"/>
          <w:lang w:val="en-ID"/>
          <w14:ligatures w14:val="none"/>
        </w:rPr>
        <w:t>Pasal</w:t>
      </w:r>
      <w:proofErr w:type="spellEnd"/>
      <w:r w:rsidRPr="001E156B">
        <w:rPr>
          <w:rFonts w:asciiTheme="majorBidi" w:eastAsia="Times New Roman" w:hAnsiTheme="majorBidi" w:cstheme="majorBidi"/>
          <w:i/>
          <w:iCs/>
          <w:color w:val="333333"/>
          <w:kern w:val="0"/>
          <w:lang w:val="en-ID"/>
          <w14:ligatures w14:val="none"/>
        </w:rPr>
        <w:t xml:space="preserve"> 34 </w:t>
      </w:r>
      <w:proofErr w:type="spellStart"/>
      <w:r w:rsidRPr="001E156B">
        <w:rPr>
          <w:rFonts w:asciiTheme="majorBidi" w:eastAsia="Times New Roman" w:hAnsiTheme="majorBidi" w:cstheme="majorBidi"/>
          <w:i/>
          <w:iCs/>
          <w:color w:val="333333"/>
          <w:kern w:val="0"/>
          <w:lang w:val="en-ID"/>
          <w14:ligatures w14:val="none"/>
        </w:rPr>
        <w:t>berlaku</w:t>
      </w:r>
      <w:proofErr w:type="spellEnd"/>
      <w:r w:rsidRPr="001E156B">
        <w:rPr>
          <w:rFonts w:asciiTheme="majorBidi" w:eastAsia="Times New Roman" w:hAnsiTheme="majorBidi" w:cstheme="majorBidi"/>
          <w:i/>
          <w:iCs/>
          <w:color w:val="333333"/>
          <w:kern w:val="0"/>
          <w:lang w:val="en-ID"/>
          <w14:ligatures w14:val="none"/>
        </w:rPr>
        <w:t xml:space="preserve"> pula </w:t>
      </w:r>
      <w:proofErr w:type="spellStart"/>
      <w:r w:rsidRPr="001E156B">
        <w:rPr>
          <w:rFonts w:asciiTheme="majorBidi" w:eastAsia="Times New Roman" w:hAnsiTheme="majorBidi" w:cstheme="majorBidi"/>
          <w:i/>
          <w:iCs/>
          <w:color w:val="333333"/>
          <w:kern w:val="0"/>
          <w:lang w:val="en-ID"/>
          <w14:ligatures w14:val="none"/>
        </w:rPr>
        <w:t>bagi</w:t>
      </w:r>
      <w:proofErr w:type="spellEnd"/>
      <w:r w:rsidRPr="001E156B">
        <w:rPr>
          <w:rFonts w:asciiTheme="majorBidi" w:eastAsia="Times New Roman" w:hAnsiTheme="majorBidi" w:cstheme="majorBidi"/>
          <w:i/>
          <w:iCs/>
          <w:color w:val="333333"/>
          <w:kern w:val="0"/>
          <w:lang w:val="en-ID"/>
          <w14:ligatures w14:val="none"/>
        </w:rPr>
        <w:t>:</w:t>
      </w:r>
      <w:r w:rsidRPr="001E156B">
        <w:rPr>
          <w:rFonts w:asciiTheme="majorBidi" w:eastAsia="Times New Roman" w:hAnsiTheme="majorBidi" w:cstheme="majorBidi"/>
          <w:i/>
          <w:iCs/>
          <w:color w:val="333333"/>
          <w:kern w:val="0"/>
          <w14:ligatures w14:val="none"/>
        </w:rPr>
        <w:t xml:space="preserve"> (a) </w:t>
      </w:r>
      <w:proofErr w:type="spellStart"/>
      <w:r w:rsidRPr="001E156B">
        <w:rPr>
          <w:rFonts w:asciiTheme="majorBidi" w:eastAsia="Times New Roman" w:hAnsiTheme="majorBidi" w:cstheme="majorBidi"/>
          <w:i/>
          <w:iCs/>
          <w:color w:val="333333"/>
          <w:kern w:val="0"/>
          <w:lang w:val="en-ID"/>
          <w14:ligatures w14:val="none"/>
        </w:rPr>
        <w:t>perkawinan</w:t>
      </w:r>
      <w:proofErr w:type="spellEnd"/>
      <w:r w:rsidRPr="001E156B">
        <w:rPr>
          <w:rFonts w:asciiTheme="majorBidi" w:eastAsia="Times New Roman" w:hAnsiTheme="majorBidi" w:cstheme="majorBidi"/>
          <w:i/>
          <w:iCs/>
          <w:color w:val="333333"/>
          <w:kern w:val="0"/>
          <w:lang w:val="en-ID"/>
          <w14:ligatures w14:val="none"/>
        </w:rPr>
        <w:t xml:space="preserve"> yang </w:t>
      </w:r>
      <w:proofErr w:type="spellStart"/>
      <w:r w:rsidRPr="001E156B">
        <w:rPr>
          <w:rFonts w:asciiTheme="majorBidi" w:eastAsia="Times New Roman" w:hAnsiTheme="majorBidi" w:cstheme="majorBidi"/>
          <w:i/>
          <w:iCs/>
          <w:color w:val="333333"/>
          <w:kern w:val="0"/>
          <w:lang w:val="en-ID"/>
          <w14:ligatures w14:val="none"/>
        </w:rPr>
        <w:t>ditetapkan</w:t>
      </w:r>
      <w:proofErr w:type="spellEnd"/>
      <w:r w:rsidRPr="001E156B">
        <w:rPr>
          <w:rFonts w:asciiTheme="majorBidi" w:eastAsia="Times New Roman" w:hAnsiTheme="majorBidi" w:cstheme="majorBidi"/>
          <w:i/>
          <w:iCs/>
          <w:color w:val="333333"/>
          <w:kern w:val="0"/>
          <w:lang w:val="en-ID"/>
          <w14:ligatures w14:val="none"/>
        </w:rPr>
        <w:t xml:space="preserve"> oleh </w:t>
      </w:r>
      <w:proofErr w:type="spellStart"/>
      <w:r w:rsidRPr="001E156B">
        <w:rPr>
          <w:rFonts w:asciiTheme="majorBidi" w:eastAsia="Times New Roman" w:hAnsiTheme="majorBidi" w:cstheme="majorBidi"/>
          <w:i/>
          <w:iCs/>
          <w:color w:val="333333"/>
          <w:kern w:val="0"/>
          <w:lang w:val="en-ID"/>
          <w14:ligatures w14:val="none"/>
        </w:rPr>
        <w:t>Pengadilan</w:t>
      </w:r>
      <w:proofErr w:type="spellEnd"/>
      <w:r w:rsidRPr="001E156B">
        <w:rPr>
          <w:rFonts w:asciiTheme="majorBidi" w:eastAsia="Times New Roman" w:hAnsiTheme="majorBidi" w:cstheme="majorBidi"/>
          <w:i/>
          <w:iCs/>
          <w:color w:val="333333"/>
          <w:kern w:val="0"/>
          <w:lang w:val="en-ID"/>
          <w14:ligatures w14:val="none"/>
        </w:rPr>
        <w:t>; dan</w:t>
      </w:r>
      <w:r w:rsidRPr="001E156B">
        <w:rPr>
          <w:rFonts w:asciiTheme="majorBidi" w:eastAsia="Times New Roman" w:hAnsiTheme="majorBidi" w:cstheme="majorBidi"/>
          <w:i/>
          <w:iCs/>
          <w:color w:val="333333"/>
          <w:kern w:val="0"/>
          <w14:ligatures w14:val="none"/>
        </w:rPr>
        <w:t xml:space="preserve"> (b) </w:t>
      </w:r>
      <w:proofErr w:type="spellStart"/>
      <w:r w:rsidRPr="001E156B">
        <w:rPr>
          <w:rFonts w:asciiTheme="majorBidi" w:eastAsia="Times New Roman" w:hAnsiTheme="majorBidi" w:cstheme="majorBidi"/>
          <w:i/>
          <w:iCs/>
          <w:color w:val="333333"/>
          <w:kern w:val="0"/>
          <w:lang w:val="en-ID"/>
          <w14:ligatures w14:val="none"/>
        </w:rPr>
        <w:t>perkawinan</w:t>
      </w:r>
      <w:proofErr w:type="spellEnd"/>
      <w:r w:rsidRPr="001E156B">
        <w:rPr>
          <w:rFonts w:asciiTheme="majorBidi" w:eastAsia="Times New Roman" w:hAnsiTheme="majorBidi" w:cstheme="majorBidi"/>
          <w:i/>
          <w:iCs/>
          <w:color w:val="333333"/>
          <w:kern w:val="0"/>
          <w:lang w:val="en-ID"/>
          <w14:ligatures w14:val="none"/>
        </w:rPr>
        <w:t xml:space="preserve"> Warga Negara Asing yang </w:t>
      </w:r>
      <w:proofErr w:type="spellStart"/>
      <w:r w:rsidRPr="001E156B">
        <w:rPr>
          <w:rFonts w:asciiTheme="majorBidi" w:eastAsia="Times New Roman" w:hAnsiTheme="majorBidi" w:cstheme="majorBidi"/>
          <w:i/>
          <w:iCs/>
          <w:color w:val="333333"/>
          <w:kern w:val="0"/>
          <w:lang w:val="en-ID"/>
          <w14:ligatures w14:val="none"/>
        </w:rPr>
        <w:t>dilakukan</w:t>
      </w:r>
      <w:proofErr w:type="spellEnd"/>
      <w:r w:rsidRPr="001E156B">
        <w:rPr>
          <w:rFonts w:asciiTheme="majorBidi" w:eastAsia="Times New Roman" w:hAnsiTheme="majorBidi" w:cstheme="majorBidi"/>
          <w:i/>
          <w:iCs/>
          <w:color w:val="333333"/>
          <w:kern w:val="0"/>
          <w:lang w:val="en-ID"/>
          <w14:ligatures w14:val="none"/>
        </w:rPr>
        <w:t xml:space="preserve"> di Indonesia </w:t>
      </w:r>
      <w:proofErr w:type="spellStart"/>
      <w:r w:rsidRPr="001E156B">
        <w:rPr>
          <w:rFonts w:asciiTheme="majorBidi" w:eastAsia="Times New Roman" w:hAnsiTheme="majorBidi" w:cstheme="majorBidi"/>
          <w:i/>
          <w:iCs/>
          <w:color w:val="333333"/>
          <w:kern w:val="0"/>
          <w:lang w:val="en-ID"/>
          <w14:ligatures w14:val="none"/>
        </w:rPr>
        <w:t>atas</w:t>
      </w:r>
      <w:proofErr w:type="spellEnd"/>
      <w:r w:rsidRPr="001E156B">
        <w:rPr>
          <w:rFonts w:asciiTheme="majorBidi" w:eastAsia="Times New Roman" w:hAnsiTheme="majorBidi" w:cstheme="majorBidi"/>
          <w:i/>
          <w:iCs/>
          <w:color w:val="333333"/>
          <w:kern w:val="0"/>
          <w:lang w:val="en-ID"/>
          <w14:ligatures w14:val="none"/>
        </w:rPr>
        <w:t xml:space="preserve"> </w:t>
      </w:r>
      <w:proofErr w:type="spellStart"/>
      <w:r w:rsidRPr="001E156B">
        <w:rPr>
          <w:rFonts w:asciiTheme="majorBidi" w:eastAsia="Times New Roman" w:hAnsiTheme="majorBidi" w:cstheme="majorBidi"/>
          <w:i/>
          <w:iCs/>
          <w:color w:val="333333"/>
          <w:kern w:val="0"/>
          <w:lang w:val="en-ID"/>
          <w14:ligatures w14:val="none"/>
        </w:rPr>
        <w:t>permintaan</w:t>
      </w:r>
      <w:proofErr w:type="spellEnd"/>
      <w:r w:rsidRPr="001E156B">
        <w:rPr>
          <w:rFonts w:asciiTheme="majorBidi" w:eastAsia="Times New Roman" w:hAnsiTheme="majorBidi" w:cstheme="majorBidi"/>
          <w:i/>
          <w:iCs/>
          <w:color w:val="333333"/>
          <w:kern w:val="0"/>
          <w:lang w:val="en-ID"/>
          <w14:ligatures w14:val="none"/>
        </w:rPr>
        <w:t xml:space="preserve"> Warga Negara Asing yang </w:t>
      </w:r>
      <w:proofErr w:type="spellStart"/>
      <w:r w:rsidRPr="001E156B">
        <w:rPr>
          <w:rFonts w:asciiTheme="majorBidi" w:eastAsia="Times New Roman" w:hAnsiTheme="majorBidi" w:cstheme="majorBidi"/>
          <w:i/>
          <w:iCs/>
          <w:color w:val="333333"/>
          <w:kern w:val="0"/>
          <w:lang w:val="en-ID"/>
          <w14:ligatures w14:val="none"/>
        </w:rPr>
        <w:t>bersangkutan</w:t>
      </w:r>
      <w:proofErr w:type="spellEnd"/>
      <w:r w:rsidRPr="001E156B">
        <w:rPr>
          <w:rFonts w:asciiTheme="majorBidi" w:eastAsia="Times New Roman" w:hAnsiTheme="majorBidi" w:cstheme="majorBidi"/>
          <w:i/>
          <w:iCs/>
          <w:color w:val="333333"/>
          <w:kern w:val="0"/>
          <w:lang w:val="en-ID"/>
          <w14:ligatures w14:val="none"/>
        </w:rPr>
        <w:t>.</w:t>
      </w:r>
      <w:r w:rsidRPr="001E156B">
        <w:rPr>
          <w:rFonts w:asciiTheme="majorBidi" w:eastAsia="Times New Roman" w:hAnsiTheme="majorBidi" w:cstheme="majorBidi"/>
          <w:color w:val="333333"/>
          <w:kern w:val="0"/>
          <w14:ligatures w14:val="none"/>
        </w:rPr>
        <w:t xml:space="preserve"> Adapun yang dimaksud dengan </w:t>
      </w:r>
      <w:proofErr w:type="spellStart"/>
      <w:r w:rsidRPr="001E156B">
        <w:rPr>
          <w:rFonts w:asciiTheme="majorBidi" w:eastAsia="Times New Roman" w:hAnsiTheme="majorBidi" w:cstheme="majorBidi"/>
          <w:i/>
          <w:iCs/>
          <w:color w:val="333333"/>
          <w:kern w:val="0"/>
          <w:lang w:val="en-ID"/>
          <w14:ligatures w14:val="none"/>
        </w:rPr>
        <w:t>dengan</w:t>
      </w:r>
      <w:proofErr w:type="spellEnd"/>
      <w:r w:rsidRPr="001E156B">
        <w:rPr>
          <w:rFonts w:asciiTheme="majorBidi" w:eastAsia="Times New Roman" w:hAnsiTheme="majorBidi" w:cstheme="majorBidi"/>
          <w:i/>
          <w:iCs/>
          <w:color w:val="333333"/>
          <w:kern w:val="0"/>
          <w:lang w:val="en-ID"/>
          <w14:ligatures w14:val="none"/>
        </w:rPr>
        <w:t> </w:t>
      </w:r>
      <w:r w:rsidRPr="001E156B">
        <w:rPr>
          <w:rFonts w:asciiTheme="majorBidi" w:eastAsia="Times New Roman" w:hAnsiTheme="majorBidi" w:cstheme="majorBidi"/>
          <w:i/>
          <w:iCs/>
          <w:color w:val="333333"/>
          <w:kern w:val="0"/>
          <w14:ligatures w14:val="none"/>
        </w:rPr>
        <w:t>“</w:t>
      </w:r>
      <w:proofErr w:type="spellStart"/>
      <w:r w:rsidRPr="001E156B">
        <w:rPr>
          <w:rFonts w:asciiTheme="majorBidi" w:eastAsia="Times New Roman" w:hAnsiTheme="majorBidi" w:cstheme="majorBidi"/>
          <w:i/>
          <w:iCs/>
          <w:color w:val="333333"/>
          <w:kern w:val="0"/>
          <w:lang w:val="en-ID"/>
          <w14:ligatures w14:val="none"/>
        </w:rPr>
        <w:t>Perkawinan</w:t>
      </w:r>
      <w:proofErr w:type="spellEnd"/>
      <w:r w:rsidRPr="001E156B">
        <w:rPr>
          <w:rFonts w:asciiTheme="majorBidi" w:eastAsia="Times New Roman" w:hAnsiTheme="majorBidi" w:cstheme="majorBidi"/>
          <w:i/>
          <w:iCs/>
          <w:color w:val="333333"/>
          <w:kern w:val="0"/>
          <w:lang w:val="en-ID"/>
          <w14:ligatures w14:val="none"/>
        </w:rPr>
        <w:t xml:space="preserve"> yang </w:t>
      </w:r>
      <w:proofErr w:type="spellStart"/>
      <w:r w:rsidRPr="001E156B">
        <w:rPr>
          <w:rFonts w:asciiTheme="majorBidi" w:eastAsia="Times New Roman" w:hAnsiTheme="majorBidi" w:cstheme="majorBidi"/>
          <w:i/>
          <w:iCs/>
          <w:color w:val="333333"/>
          <w:kern w:val="0"/>
          <w:lang w:val="en-ID"/>
          <w14:ligatures w14:val="none"/>
        </w:rPr>
        <w:t>ditetapkan</w:t>
      </w:r>
      <w:proofErr w:type="spellEnd"/>
      <w:r w:rsidRPr="001E156B">
        <w:rPr>
          <w:rFonts w:asciiTheme="majorBidi" w:eastAsia="Times New Roman" w:hAnsiTheme="majorBidi" w:cstheme="majorBidi"/>
          <w:i/>
          <w:iCs/>
          <w:color w:val="333333"/>
          <w:kern w:val="0"/>
          <w:lang w:val="en-ID"/>
          <w14:ligatures w14:val="none"/>
        </w:rPr>
        <w:t xml:space="preserve"> oleh </w:t>
      </w:r>
      <w:proofErr w:type="spellStart"/>
      <w:r w:rsidRPr="001E156B">
        <w:rPr>
          <w:rFonts w:asciiTheme="majorBidi" w:eastAsia="Times New Roman" w:hAnsiTheme="majorBidi" w:cstheme="majorBidi"/>
          <w:i/>
          <w:iCs/>
          <w:color w:val="333333"/>
          <w:kern w:val="0"/>
          <w:lang w:val="en-ID"/>
          <w14:ligatures w14:val="none"/>
        </w:rPr>
        <w:t>Pengadilan</w:t>
      </w:r>
      <w:proofErr w:type="spellEnd"/>
      <w:r w:rsidRPr="001E156B">
        <w:rPr>
          <w:rFonts w:asciiTheme="majorBidi" w:eastAsia="Times New Roman" w:hAnsiTheme="majorBidi" w:cstheme="majorBidi"/>
          <w:i/>
          <w:iCs/>
          <w:color w:val="333333"/>
          <w:kern w:val="0"/>
          <w14:ligatures w14:val="none"/>
        </w:rPr>
        <w:t>”</w:t>
      </w:r>
      <w:r w:rsidRPr="001E156B">
        <w:rPr>
          <w:rFonts w:asciiTheme="majorBidi" w:eastAsia="Times New Roman" w:hAnsiTheme="majorBidi" w:cstheme="majorBidi"/>
          <w:i/>
          <w:iCs/>
          <w:color w:val="333333"/>
          <w:kern w:val="0"/>
          <w:lang w:val="en-ID"/>
          <w14:ligatures w14:val="none"/>
        </w:rPr>
        <w:t> </w:t>
      </w:r>
      <w:proofErr w:type="spellStart"/>
      <w:r w:rsidRPr="001E156B">
        <w:rPr>
          <w:rFonts w:asciiTheme="majorBidi" w:eastAsia="Times New Roman" w:hAnsiTheme="majorBidi" w:cstheme="majorBidi"/>
          <w:i/>
          <w:iCs/>
          <w:color w:val="333333"/>
          <w:kern w:val="0"/>
          <w:lang w:val="en-ID"/>
          <w14:ligatures w14:val="none"/>
        </w:rPr>
        <w:t>adalah</w:t>
      </w:r>
      <w:proofErr w:type="spellEnd"/>
      <w:r w:rsidRPr="001E156B">
        <w:rPr>
          <w:rFonts w:asciiTheme="majorBidi" w:eastAsia="Times New Roman" w:hAnsiTheme="majorBidi" w:cstheme="majorBidi"/>
          <w:i/>
          <w:iCs/>
          <w:color w:val="333333"/>
          <w:kern w:val="0"/>
          <w:lang w:val="en-ID"/>
          <w14:ligatures w14:val="none"/>
        </w:rPr>
        <w:t> </w:t>
      </w:r>
      <w:proofErr w:type="spellStart"/>
      <w:r w:rsidRPr="001E156B">
        <w:rPr>
          <w:rFonts w:asciiTheme="majorBidi" w:eastAsia="Times New Roman" w:hAnsiTheme="majorBidi" w:cstheme="majorBidi"/>
          <w:i/>
          <w:iCs/>
          <w:color w:val="333333"/>
          <w:kern w:val="0"/>
          <w:lang w:val="en-ID"/>
          <w14:ligatures w14:val="none"/>
        </w:rPr>
        <w:t>perkawinan</w:t>
      </w:r>
      <w:proofErr w:type="spellEnd"/>
      <w:r w:rsidRPr="001E156B">
        <w:rPr>
          <w:rFonts w:asciiTheme="majorBidi" w:eastAsia="Times New Roman" w:hAnsiTheme="majorBidi" w:cstheme="majorBidi"/>
          <w:i/>
          <w:iCs/>
          <w:color w:val="333333"/>
          <w:kern w:val="0"/>
          <w:lang w:val="en-ID"/>
          <w14:ligatures w14:val="none"/>
        </w:rPr>
        <w:t xml:space="preserve"> yang </w:t>
      </w:r>
      <w:proofErr w:type="spellStart"/>
      <w:r w:rsidRPr="001E156B">
        <w:rPr>
          <w:rFonts w:asciiTheme="majorBidi" w:eastAsia="Times New Roman" w:hAnsiTheme="majorBidi" w:cstheme="majorBidi"/>
          <w:i/>
          <w:iCs/>
          <w:color w:val="333333"/>
          <w:kern w:val="0"/>
          <w:lang w:val="en-ID"/>
          <w14:ligatures w14:val="none"/>
        </w:rPr>
        <w:t>dilakukan</w:t>
      </w:r>
      <w:proofErr w:type="spellEnd"/>
      <w:r w:rsidRPr="001E156B">
        <w:rPr>
          <w:rFonts w:asciiTheme="majorBidi" w:eastAsia="Times New Roman" w:hAnsiTheme="majorBidi" w:cstheme="majorBidi"/>
          <w:i/>
          <w:iCs/>
          <w:color w:val="333333"/>
          <w:kern w:val="0"/>
          <w:lang w:val="en-ID"/>
          <w14:ligatures w14:val="none"/>
        </w:rPr>
        <w:t xml:space="preserve"> </w:t>
      </w:r>
      <w:proofErr w:type="spellStart"/>
      <w:r w:rsidRPr="001E156B">
        <w:rPr>
          <w:rFonts w:asciiTheme="majorBidi" w:eastAsia="Times New Roman" w:hAnsiTheme="majorBidi" w:cstheme="majorBidi"/>
          <w:i/>
          <w:iCs/>
          <w:color w:val="333333"/>
          <w:kern w:val="0"/>
          <w:lang w:val="en-ID"/>
          <w14:ligatures w14:val="none"/>
        </w:rPr>
        <w:t>antar-umat</w:t>
      </w:r>
      <w:proofErr w:type="spellEnd"/>
      <w:r w:rsidRPr="001E156B">
        <w:rPr>
          <w:rFonts w:asciiTheme="majorBidi" w:eastAsia="Times New Roman" w:hAnsiTheme="majorBidi" w:cstheme="majorBidi"/>
          <w:i/>
          <w:iCs/>
          <w:color w:val="333333"/>
          <w:kern w:val="0"/>
          <w:lang w:val="en-ID"/>
          <w14:ligatures w14:val="none"/>
        </w:rPr>
        <w:t xml:space="preserve"> yang </w:t>
      </w:r>
      <w:proofErr w:type="spellStart"/>
      <w:r w:rsidRPr="001E156B">
        <w:rPr>
          <w:rFonts w:asciiTheme="majorBidi" w:eastAsia="Times New Roman" w:hAnsiTheme="majorBidi" w:cstheme="majorBidi"/>
          <w:i/>
          <w:iCs/>
          <w:color w:val="333333"/>
          <w:kern w:val="0"/>
          <w:lang w:val="en-ID"/>
          <w14:ligatures w14:val="none"/>
        </w:rPr>
        <w:t>berbeda</w:t>
      </w:r>
      <w:proofErr w:type="spellEnd"/>
      <w:r w:rsidRPr="001E156B">
        <w:rPr>
          <w:rFonts w:asciiTheme="majorBidi" w:eastAsia="Times New Roman" w:hAnsiTheme="majorBidi" w:cstheme="majorBidi"/>
          <w:i/>
          <w:iCs/>
          <w:color w:val="333333"/>
          <w:kern w:val="0"/>
          <w:lang w:val="en-ID"/>
          <w14:ligatures w14:val="none"/>
        </w:rPr>
        <w:t xml:space="preserve"> agama.</w:t>
      </w:r>
      <w:r w:rsidR="00103744" w:rsidRPr="001E156B">
        <w:rPr>
          <w:rFonts w:asciiTheme="majorBidi" w:eastAsia="Times New Roman" w:hAnsiTheme="majorBidi" w:cstheme="majorBidi"/>
          <w:i/>
          <w:iCs/>
          <w:color w:val="333333"/>
          <w:kern w:val="0"/>
          <w14:ligatures w14:val="none"/>
        </w:rPr>
        <w:t xml:space="preserve"> </w:t>
      </w:r>
      <w:r w:rsidR="00103744" w:rsidRPr="001E156B">
        <w:rPr>
          <w:rFonts w:asciiTheme="majorBidi" w:hAnsiTheme="majorBidi" w:cstheme="majorBidi"/>
          <w:color w:val="212529"/>
          <w:shd w:val="clear" w:color="auto" w:fill="FFFFFF"/>
        </w:rPr>
        <w:t xml:space="preserve">Pasal-pasal di atas </w:t>
      </w:r>
      <w:r w:rsidR="004602DE" w:rsidRPr="001E156B">
        <w:rPr>
          <w:rFonts w:asciiTheme="majorBidi" w:hAnsiTheme="majorBidi" w:cstheme="majorBidi"/>
          <w:color w:val="212529"/>
          <w:shd w:val="clear" w:color="auto" w:fill="FFFFFF"/>
        </w:rPr>
        <w:t xml:space="preserve">memberikan </w:t>
      </w:r>
      <w:proofErr w:type="spellStart"/>
      <w:r w:rsidR="004602DE" w:rsidRPr="001E156B">
        <w:rPr>
          <w:rFonts w:asciiTheme="majorBidi" w:hAnsiTheme="majorBidi" w:cstheme="majorBidi"/>
          <w:color w:val="212529"/>
          <w:shd w:val="clear" w:color="auto" w:fill="FFFFFF"/>
        </w:rPr>
        <w:t>exit</w:t>
      </w:r>
      <w:proofErr w:type="spellEnd"/>
      <w:r w:rsidR="004602DE" w:rsidRPr="001E156B">
        <w:rPr>
          <w:rFonts w:asciiTheme="majorBidi" w:hAnsiTheme="majorBidi" w:cstheme="majorBidi"/>
          <w:color w:val="212529"/>
          <w:shd w:val="clear" w:color="auto" w:fill="FFFFFF"/>
        </w:rPr>
        <w:t xml:space="preserve"> </w:t>
      </w:r>
      <w:proofErr w:type="spellStart"/>
      <w:r w:rsidR="004602DE" w:rsidRPr="001E156B">
        <w:rPr>
          <w:rFonts w:asciiTheme="majorBidi" w:hAnsiTheme="majorBidi" w:cstheme="majorBidi"/>
          <w:color w:val="212529"/>
          <w:shd w:val="clear" w:color="auto" w:fill="FFFFFF"/>
        </w:rPr>
        <w:t>way</w:t>
      </w:r>
      <w:proofErr w:type="spellEnd"/>
      <w:r w:rsidR="004602DE" w:rsidRPr="001E156B">
        <w:rPr>
          <w:rFonts w:asciiTheme="majorBidi" w:hAnsiTheme="majorBidi" w:cstheme="majorBidi"/>
          <w:color w:val="212529"/>
          <w:shd w:val="clear" w:color="auto" w:fill="FFFFFF"/>
        </w:rPr>
        <w:t xml:space="preserve"> secara eksplisit perkawinan antar-umat yang berbeda agama.</w:t>
      </w:r>
    </w:p>
    <w:p w14:paraId="3F105995" w14:textId="6BFB57DB" w:rsidR="00747123" w:rsidRPr="001E156B" w:rsidRDefault="00103744" w:rsidP="00103744">
      <w:pPr>
        <w:pStyle w:val="ListParagraph"/>
        <w:spacing w:after="0" w:line="240" w:lineRule="auto"/>
        <w:ind w:left="284" w:firstLine="567"/>
        <w:jc w:val="both"/>
        <w:rPr>
          <w:rFonts w:asciiTheme="majorBidi" w:hAnsiTheme="majorBidi" w:cstheme="majorBidi"/>
          <w:color w:val="212529"/>
          <w:shd w:val="clear" w:color="auto" w:fill="FFFFFF"/>
        </w:rPr>
      </w:pPr>
      <w:r w:rsidRPr="001E156B">
        <w:rPr>
          <w:rFonts w:asciiTheme="majorBidi" w:hAnsiTheme="majorBidi" w:cstheme="majorBidi"/>
          <w:color w:val="212529"/>
          <w:shd w:val="clear" w:color="auto" w:fill="FFFFFF"/>
        </w:rPr>
        <w:t xml:space="preserve">Atas dikabulkannya permohonan pencatatan perkawinan beda agama di atas, dan atas </w:t>
      </w:r>
      <w:r w:rsidR="00747123" w:rsidRPr="001E156B">
        <w:rPr>
          <w:rFonts w:asciiTheme="majorBidi" w:hAnsiTheme="majorBidi" w:cstheme="majorBidi"/>
          <w:color w:val="212529"/>
          <w:shd w:val="clear" w:color="auto" w:fill="FFFFFF"/>
        </w:rPr>
        <w:t>desakan dari banyak kalangan yang menyoroti sering dikabulkannya permohonan penetapan kawin beda agama oleh Pengadilan Negeri (PN). Penetapan hakim pengadilan itu dianggap mereduksi hukum perkawinan yang berlaku di Indonesia, walaupun dalam pertimbangannya hakim dalam memutuskan perkara itu menggunakan dasar hukum yaitu</w:t>
      </w:r>
      <w:r w:rsidRPr="001E156B">
        <w:rPr>
          <w:rFonts w:asciiTheme="majorBidi" w:hAnsiTheme="majorBidi" w:cstheme="majorBidi"/>
          <w:color w:val="212529"/>
          <w:shd w:val="clear" w:color="auto" w:fill="FFFFFF"/>
        </w:rPr>
        <w:t xml:space="preserve"> </w:t>
      </w:r>
      <w:r w:rsidRPr="001E156B">
        <w:rPr>
          <w:rFonts w:asciiTheme="majorBidi" w:hAnsiTheme="majorBidi" w:cstheme="majorBidi"/>
        </w:rPr>
        <w:t xml:space="preserve">UU </w:t>
      </w:r>
      <w:proofErr w:type="spellStart"/>
      <w:r w:rsidRPr="001E156B">
        <w:rPr>
          <w:rFonts w:asciiTheme="majorBidi" w:hAnsiTheme="majorBidi" w:cstheme="majorBidi"/>
        </w:rPr>
        <w:t>Adminduk</w:t>
      </w:r>
      <w:proofErr w:type="spellEnd"/>
      <w:r w:rsidR="00747123" w:rsidRPr="001E156B">
        <w:rPr>
          <w:rFonts w:asciiTheme="majorBidi" w:hAnsiTheme="majorBidi" w:cstheme="majorBidi"/>
          <w:color w:val="212529"/>
          <w:shd w:val="clear" w:color="auto" w:fill="FFFFFF"/>
        </w:rPr>
        <w:t>.</w:t>
      </w:r>
      <w:r w:rsidRPr="001E156B">
        <w:rPr>
          <w:rFonts w:asciiTheme="majorBidi" w:hAnsiTheme="majorBidi" w:cstheme="majorBidi"/>
          <w:color w:val="212529"/>
          <w:shd w:val="clear" w:color="auto" w:fill="FFFFFF"/>
        </w:rPr>
        <w:t xml:space="preserve"> Kemudian lahirlah Surat Edaran Mahkamah Agung (SEMA) Nomor 2 Tahun 2023 tentang Petunjuk Bagi Hakim dalam Mengadili Perkara Permohonan Pencatatan Perkawinan Antar-Umat Beragama yang Berbeda Agama dan Kepercayaan.</w:t>
      </w:r>
    </w:p>
    <w:p w14:paraId="1D36A717" w14:textId="44A1F329" w:rsidR="00103744" w:rsidRPr="001E156B" w:rsidRDefault="00103744" w:rsidP="008874D6">
      <w:pPr>
        <w:pStyle w:val="ListParagraph"/>
        <w:spacing w:after="0" w:line="240" w:lineRule="auto"/>
        <w:ind w:left="284" w:firstLine="567"/>
        <w:jc w:val="both"/>
        <w:rPr>
          <w:rFonts w:asciiTheme="majorBidi" w:hAnsiTheme="majorBidi" w:cstheme="majorBidi"/>
          <w:color w:val="212529"/>
          <w:shd w:val="clear" w:color="auto" w:fill="FFFFFF"/>
        </w:rPr>
      </w:pPr>
      <w:r w:rsidRPr="001E156B">
        <w:rPr>
          <w:rFonts w:asciiTheme="majorBidi" w:hAnsiTheme="majorBidi" w:cstheme="majorBidi"/>
          <w:color w:val="212529"/>
          <w:shd w:val="clear" w:color="auto" w:fill="FFFFFF"/>
        </w:rPr>
        <w:t>Dalam SEMA Nomor 2 Tahun 2023</w:t>
      </w:r>
      <w:r w:rsidR="008874D6" w:rsidRPr="001E156B">
        <w:rPr>
          <w:rFonts w:asciiTheme="majorBidi" w:hAnsiTheme="majorBidi" w:cstheme="majorBidi"/>
          <w:color w:val="212529"/>
          <w:shd w:val="clear" w:color="auto" w:fill="FFFFFF"/>
        </w:rPr>
        <w:t xml:space="preserve"> di atas</w:t>
      </w:r>
      <w:r w:rsidRPr="001E156B">
        <w:rPr>
          <w:rFonts w:asciiTheme="majorBidi" w:hAnsiTheme="majorBidi" w:cstheme="majorBidi"/>
          <w:color w:val="212529"/>
          <w:shd w:val="clear" w:color="auto" w:fill="FFFFFF"/>
        </w:rPr>
        <w:t xml:space="preserve"> dijelaskan bahwa untuk memberikan kepastian dan kesatuan hukum dalam mengadili permohonan pencatatan perkawinan </w:t>
      </w:r>
      <w:r w:rsidR="00862628" w:rsidRPr="001E156B">
        <w:rPr>
          <w:rFonts w:asciiTheme="majorBidi" w:hAnsiTheme="majorBidi" w:cstheme="majorBidi"/>
          <w:color w:val="212529"/>
          <w:shd w:val="clear" w:color="auto" w:fill="FFFFFF"/>
        </w:rPr>
        <w:t>antar umat</w:t>
      </w:r>
      <w:r w:rsidRPr="001E156B">
        <w:rPr>
          <w:rFonts w:asciiTheme="majorBidi" w:hAnsiTheme="majorBidi" w:cstheme="majorBidi"/>
          <w:color w:val="212529"/>
          <w:shd w:val="clear" w:color="auto" w:fill="FFFFFF"/>
        </w:rPr>
        <w:t xml:space="preserve"> beragama yang berbeda agama dan kepercayaan, para hakim harus berpedoman pada ketentuan sebagai berikut:</w:t>
      </w:r>
    </w:p>
    <w:p w14:paraId="54B4EB5B" w14:textId="78CFC3FF" w:rsidR="00103744" w:rsidRPr="001E156B" w:rsidRDefault="00103744" w:rsidP="001E156B">
      <w:pPr>
        <w:pStyle w:val="NormalWeb"/>
        <w:numPr>
          <w:ilvl w:val="0"/>
          <w:numId w:val="18"/>
        </w:numPr>
        <w:shd w:val="clear" w:color="auto" w:fill="FFFFFF"/>
        <w:spacing w:before="0" w:beforeAutospacing="0" w:after="0" w:afterAutospacing="0"/>
        <w:ind w:left="567" w:hanging="283"/>
        <w:jc w:val="both"/>
        <w:rPr>
          <w:rFonts w:asciiTheme="majorBidi" w:eastAsiaTheme="minorEastAsia" w:hAnsiTheme="majorBidi" w:cstheme="majorBidi"/>
          <w:color w:val="212529"/>
          <w:kern w:val="2"/>
          <w:sz w:val="22"/>
          <w:szCs w:val="22"/>
          <w:shd w:val="clear" w:color="auto" w:fill="FFFFFF"/>
          <w:lang w:val="id-ID"/>
          <w14:ligatures w14:val="standardContextual"/>
        </w:rPr>
      </w:pPr>
      <w:r w:rsidRPr="001E156B">
        <w:rPr>
          <w:rFonts w:asciiTheme="majorBidi" w:eastAsiaTheme="minorEastAsia" w:hAnsiTheme="majorBidi" w:cstheme="majorBidi"/>
          <w:color w:val="212529"/>
          <w:kern w:val="2"/>
          <w:sz w:val="22"/>
          <w:szCs w:val="22"/>
          <w:shd w:val="clear" w:color="auto" w:fill="FFFFFF"/>
          <w:lang w:val="id-ID"/>
          <w14:ligatures w14:val="standardContextual"/>
        </w:rPr>
        <w:t>Perkawinan yang sah adalah yang dilakukan menurut hukum masing-masing agama dan kepercayaan itu, sesuai Pasal 2 ayat 1 dan Pasal 8 huruf f UU Nomor Tahun 1974 tentang Perkawinan</w:t>
      </w:r>
    </w:p>
    <w:p w14:paraId="3BB5DF45" w14:textId="5FC67D95" w:rsidR="00103744" w:rsidRPr="001E156B" w:rsidRDefault="00103744" w:rsidP="001E156B">
      <w:pPr>
        <w:pStyle w:val="NormalWeb"/>
        <w:numPr>
          <w:ilvl w:val="0"/>
          <w:numId w:val="18"/>
        </w:numPr>
        <w:shd w:val="clear" w:color="auto" w:fill="FFFFFF"/>
        <w:spacing w:before="0" w:beforeAutospacing="0" w:after="0" w:afterAutospacing="0"/>
        <w:ind w:left="567" w:hanging="283"/>
        <w:jc w:val="both"/>
        <w:rPr>
          <w:rFonts w:asciiTheme="majorBidi" w:eastAsiaTheme="minorEastAsia" w:hAnsiTheme="majorBidi" w:cstheme="majorBidi"/>
          <w:color w:val="212529"/>
          <w:kern w:val="2"/>
          <w:sz w:val="22"/>
          <w:szCs w:val="22"/>
          <w:shd w:val="clear" w:color="auto" w:fill="FFFFFF"/>
          <w:lang w:val="id-ID"/>
          <w14:ligatures w14:val="standardContextual"/>
        </w:rPr>
      </w:pPr>
      <w:r w:rsidRPr="001E156B">
        <w:rPr>
          <w:rFonts w:asciiTheme="majorBidi" w:eastAsiaTheme="minorEastAsia" w:hAnsiTheme="majorBidi" w:cstheme="majorBidi"/>
          <w:color w:val="212529"/>
          <w:kern w:val="2"/>
          <w:sz w:val="22"/>
          <w:szCs w:val="22"/>
          <w:shd w:val="clear" w:color="auto" w:fill="FFFFFF"/>
          <w:lang w:val="id-ID"/>
          <w14:ligatures w14:val="standardContextual"/>
        </w:rPr>
        <w:t xml:space="preserve">Pengadilan tidak mengabulkan permohonan pencatatan perkawinan antar </w:t>
      </w:r>
      <w:r w:rsidR="008874D6" w:rsidRPr="001E156B">
        <w:rPr>
          <w:rFonts w:asciiTheme="majorBidi" w:eastAsiaTheme="minorEastAsia" w:hAnsiTheme="majorBidi" w:cstheme="majorBidi"/>
          <w:color w:val="212529"/>
          <w:kern w:val="2"/>
          <w:sz w:val="22"/>
          <w:szCs w:val="22"/>
          <w:shd w:val="clear" w:color="auto" w:fill="FFFFFF"/>
          <w:lang w:val="id-ID"/>
          <w14:ligatures w14:val="standardContextual"/>
        </w:rPr>
        <w:t>umat</w:t>
      </w:r>
      <w:r w:rsidRPr="001E156B">
        <w:rPr>
          <w:rFonts w:asciiTheme="majorBidi" w:eastAsiaTheme="minorEastAsia" w:hAnsiTheme="majorBidi" w:cstheme="majorBidi"/>
          <w:color w:val="212529"/>
          <w:kern w:val="2"/>
          <w:sz w:val="22"/>
          <w:szCs w:val="22"/>
          <w:shd w:val="clear" w:color="auto" w:fill="FFFFFF"/>
          <w:lang w:val="id-ID"/>
          <w14:ligatures w14:val="standardContextual"/>
        </w:rPr>
        <w:t xml:space="preserve"> beragama yang berbeda agama dan kepercayaan.</w:t>
      </w:r>
    </w:p>
    <w:p w14:paraId="570D2950" w14:textId="1226BA98" w:rsidR="00747123" w:rsidRPr="001E156B" w:rsidRDefault="008874D6" w:rsidP="008874D6">
      <w:pPr>
        <w:pStyle w:val="ListParagraph"/>
        <w:spacing w:after="0" w:line="240" w:lineRule="auto"/>
        <w:ind w:left="284" w:firstLine="567"/>
        <w:jc w:val="both"/>
        <w:rPr>
          <w:rFonts w:asciiTheme="majorBidi" w:hAnsiTheme="majorBidi" w:cstheme="majorBidi"/>
          <w:color w:val="212529"/>
          <w:shd w:val="clear" w:color="auto" w:fill="FFFFFF"/>
        </w:rPr>
      </w:pPr>
      <w:r w:rsidRPr="001E156B">
        <w:rPr>
          <w:rFonts w:asciiTheme="majorBidi" w:hAnsiTheme="majorBidi" w:cstheme="majorBidi"/>
          <w:color w:val="212529"/>
          <w:shd w:val="clear" w:color="auto" w:fill="FFFFFF"/>
        </w:rPr>
        <w:t xml:space="preserve">SEMA di atas, seakan bahwa perkawinan beda agama telah ada aturan yang jelas padahal hal tersebut tidak diatur secara tegas dalam </w:t>
      </w:r>
      <w:r w:rsidR="00747123" w:rsidRPr="001E156B">
        <w:rPr>
          <w:rFonts w:asciiTheme="majorBidi" w:hAnsiTheme="majorBidi" w:cstheme="majorBidi"/>
          <w:color w:val="212529"/>
          <w:shd w:val="clear" w:color="auto" w:fill="FFFFFF"/>
        </w:rPr>
        <w:t>di</w:t>
      </w:r>
      <w:r w:rsidRPr="001E156B">
        <w:rPr>
          <w:rFonts w:asciiTheme="majorBidi" w:hAnsiTheme="majorBidi" w:cstheme="majorBidi"/>
          <w:color w:val="212529"/>
          <w:shd w:val="clear" w:color="auto" w:fill="FFFFFF"/>
        </w:rPr>
        <w:t xml:space="preserve"> </w:t>
      </w:r>
      <w:r w:rsidR="00747123" w:rsidRPr="001E156B">
        <w:rPr>
          <w:rFonts w:asciiTheme="majorBidi" w:hAnsiTheme="majorBidi" w:cstheme="majorBidi"/>
          <w:color w:val="212529"/>
          <w:shd w:val="clear" w:color="auto" w:fill="FFFFFF"/>
        </w:rPr>
        <w:t xml:space="preserve">dalam </w:t>
      </w:r>
      <w:proofErr w:type="spellStart"/>
      <w:r w:rsidR="00747123" w:rsidRPr="001E156B">
        <w:rPr>
          <w:rFonts w:asciiTheme="majorBidi" w:hAnsiTheme="majorBidi" w:cstheme="majorBidi"/>
          <w:color w:val="212529"/>
          <w:shd w:val="clear" w:color="auto" w:fill="FFFFFF"/>
        </w:rPr>
        <w:t>Undang</w:t>
      </w:r>
      <w:r w:rsidRPr="001E156B">
        <w:rPr>
          <w:rFonts w:asciiTheme="majorBidi" w:hAnsiTheme="majorBidi" w:cstheme="majorBidi"/>
          <w:color w:val="212529"/>
          <w:shd w:val="clear" w:color="auto" w:fill="FFFFFF"/>
        </w:rPr>
        <w:t>-</w:t>
      </w:r>
      <w:r w:rsidR="00747123" w:rsidRPr="001E156B">
        <w:rPr>
          <w:rFonts w:asciiTheme="majorBidi" w:hAnsiTheme="majorBidi" w:cstheme="majorBidi"/>
          <w:color w:val="212529"/>
          <w:shd w:val="clear" w:color="auto" w:fill="FFFFFF"/>
        </w:rPr>
        <w:t>Undang</w:t>
      </w:r>
      <w:proofErr w:type="spellEnd"/>
      <w:r w:rsidR="00747123" w:rsidRPr="001E156B">
        <w:rPr>
          <w:rFonts w:asciiTheme="majorBidi" w:hAnsiTheme="majorBidi" w:cstheme="majorBidi"/>
          <w:color w:val="212529"/>
          <w:shd w:val="clear" w:color="auto" w:fill="FFFFFF"/>
        </w:rPr>
        <w:t xml:space="preserve"> No</w:t>
      </w:r>
      <w:r w:rsidRPr="001E156B">
        <w:rPr>
          <w:rFonts w:asciiTheme="majorBidi" w:hAnsiTheme="majorBidi" w:cstheme="majorBidi"/>
          <w:color w:val="212529"/>
          <w:shd w:val="clear" w:color="auto" w:fill="FFFFFF"/>
        </w:rPr>
        <w:t>mor</w:t>
      </w:r>
      <w:r w:rsidR="00747123" w:rsidRPr="001E156B">
        <w:rPr>
          <w:rFonts w:asciiTheme="majorBidi" w:hAnsiTheme="majorBidi" w:cstheme="majorBidi"/>
          <w:color w:val="212529"/>
          <w:shd w:val="clear" w:color="auto" w:fill="FFFFFF"/>
        </w:rPr>
        <w:t xml:space="preserve"> 1 tahun 1974 tentang Perkawinan, </w:t>
      </w:r>
      <w:r w:rsidRPr="001E156B">
        <w:rPr>
          <w:rFonts w:asciiTheme="majorBidi" w:hAnsiTheme="majorBidi" w:cstheme="majorBidi"/>
          <w:color w:val="212529"/>
          <w:shd w:val="clear" w:color="auto" w:fill="FFFFFF"/>
        </w:rPr>
        <w:t xml:space="preserve">sebagaimana telah diubah oleh </w:t>
      </w:r>
      <w:proofErr w:type="spellStart"/>
      <w:r w:rsidRPr="001E156B">
        <w:rPr>
          <w:rFonts w:asciiTheme="majorBidi" w:hAnsiTheme="majorBidi" w:cstheme="majorBidi"/>
          <w:color w:val="212529"/>
          <w:shd w:val="clear" w:color="auto" w:fill="FFFFFF"/>
        </w:rPr>
        <w:t>Undang-Undang</w:t>
      </w:r>
      <w:proofErr w:type="spellEnd"/>
      <w:r w:rsidRPr="001E156B">
        <w:rPr>
          <w:rFonts w:asciiTheme="majorBidi" w:hAnsiTheme="majorBidi" w:cstheme="majorBidi"/>
          <w:color w:val="212529"/>
          <w:shd w:val="clear" w:color="auto" w:fill="FFFFFF"/>
        </w:rPr>
        <w:t xml:space="preserve"> Nomor 16 Tahun 2019 tentang Perubahan atas </w:t>
      </w:r>
      <w:proofErr w:type="spellStart"/>
      <w:r w:rsidRPr="001E156B">
        <w:rPr>
          <w:rFonts w:asciiTheme="majorBidi" w:hAnsiTheme="majorBidi" w:cstheme="majorBidi"/>
          <w:color w:val="212529"/>
          <w:shd w:val="clear" w:color="auto" w:fill="FFFFFF"/>
        </w:rPr>
        <w:t>Undang-Undang</w:t>
      </w:r>
      <w:proofErr w:type="spellEnd"/>
      <w:r w:rsidRPr="001E156B">
        <w:rPr>
          <w:rFonts w:asciiTheme="majorBidi" w:hAnsiTheme="majorBidi" w:cstheme="majorBidi"/>
          <w:color w:val="212529"/>
          <w:shd w:val="clear" w:color="auto" w:fill="FFFFFF"/>
        </w:rPr>
        <w:t xml:space="preserve"> Nomor 1 tahun 1974 tentang Perkawinan.</w:t>
      </w:r>
    </w:p>
    <w:p w14:paraId="6954F6B6" w14:textId="35A15CE5" w:rsidR="0015094B" w:rsidRPr="001E156B" w:rsidRDefault="0015094B" w:rsidP="008874D6">
      <w:pPr>
        <w:pStyle w:val="ListParagraph"/>
        <w:spacing w:after="0" w:line="240" w:lineRule="auto"/>
        <w:ind w:left="284" w:firstLine="567"/>
        <w:jc w:val="both"/>
        <w:rPr>
          <w:rFonts w:asciiTheme="majorBidi" w:hAnsiTheme="majorBidi" w:cstheme="majorBidi"/>
          <w:color w:val="212529"/>
          <w:shd w:val="clear" w:color="auto" w:fill="FFFFFF"/>
        </w:rPr>
      </w:pPr>
      <w:r w:rsidRPr="001E156B">
        <w:rPr>
          <w:rFonts w:asciiTheme="majorBidi" w:hAnsiTheme="majorBidi" w:cstheme="majorBidi"/>
          <w:color w:val="212529"/>
          <w:shd w:val="clear" w:color="auto" w:fill="FFFFFF"/>
        </w:rPr>
        <w:t xml:space="preserve">Selain itu, kehadiran SEMA di atas memantik ragam pendapat di publik, ada yang mendukung, namun ada pula yang menolak dengan argumentasi yang beragam, hal ini menandakan ada anomali dalam SEMA itu sendiri, untuk itu, pada kesempatan ini tertarik untuk serta dalam </w:t>
      </w:r>
      <w:proofErr w:type="spellStart"/>
      <w:r w:rsidRPr="001E156B">
        <w:rPr>
          <w:rFonts w:asciiTheme="majorBidi" w:hAnsiTheme="majorBidi" w:cstheme="majorBidi"/>
          <w:color w:val="212529"/>
          <w:shd w:val="clear" w:color="auto" w:fill="FFFFFF"/>
        </w:rPr>
        <w:t>diskursus</w:t>
      </w:r>
      <w:proofErr w:type="spellEnd"/>
      <w:r w:rsidRPr="001E156B">
        <w:rPr>
          <w:rFonts w:asciiTheme="majorBidi" w:hAnsiTheme="majorBidi" w:cstheme="majorBidi"/>
          <w:color w:val="212529"/>
          <w:shd w:val="clear" w:color="auto" w:fill="FFFFFF"/>
        </w:rPr>
        <w:t xml:space="preserve"> di atas dengan mengambil pendekatan yang berbeda yaitu pada aspek</w:t>
      </w:r>
      <w:r w:rsidR="00BB6B12" w:rsidRPr="001E156B">
        <w:rPr>
          <w:rFonts w:asciiTheme="majorBidi" w:hAnsiTheme="majorBidi" w:cstheme="majorBidi"/>
          <w:color w:val="212529"/>
          <w:shd w:val="clear" w:color="auto" w:fill="FFFFFF"/>
        </w:rPr>
        <w:t xml:space="preserve"> dampaknya bagi </w:t>
      </w:r>
      <w:proofErr w:type="spellStart"/>
      <w:r w:rsidR="00BB6B12" w:rsidRPr="001E156B">
        <w:rPr>
          <w:rFonts w:asciiTheme="majorBidi" w:hAnsiTheme="majorBidi" w:cstheme="majorBidi"/>
          <w:color w:val="212529"/>
          <w:shd w:val="clear" w:color="auto" w:fill="FFFFFF"/>
        </w:rPr>
        <w:t>independensi</w:t>
      </w:r>
      <w:proofErr w:type="spellEnd"/>
      <w:r w:rsidR="00BB6B12" w:rsidRPr="001E156B">
        <w:rPr>
          <w:rFonts w:asciiTheme="majorBidi" w:hAnsiTheme="majorBidi" w:cstheme="majorBidi"/>
          <w:color w:val="212529"/>
          <w:shd w:val="clear" w:color="auto" w:fill="FFFFFF"/>
        </w:rPr>
        <w:t xml:space="preserve"> hakim dan hak-hak konstitusional serta benturannya dengan perkawinan beda agama yang dilakukan secara transnasional di luar negeri dan yang dibawa ke Indonesia.</w:t>
      </w:r>
    </w:p>
    <w:p w14:paraId="590638A7" w14:textId="77777777" w:rsidR="008874D6" w:rsidRPr="008874D6" w:rsidRDefault="008874D6" w:rsidP="008874D6">
      <w:pPr>
        <w:pStyle w:val="ListParagraph"/>
        <w:spacing w:after="0" w:line="240" w:lineRule="auto"/>
        <w:ind w:left="284" w:firstLine="567"/>
        <w:jc w:val="both"/>
        <w:rPr>
          <w:rFonts w:asciiTheme="majorBidi" w:hAnsiTheme="majorBidi" w:cstheme="majorBidi"/>
          <w:color w:val="212529"/>
          <w:sz w:val="24"/>
          <w:szCs w:val="24"/>
          <w:shd w:val="clear" w:color="auto" w:fill="FFFFFF"/>
        </w:rPr>
      </w:pPr>
    </w:p>
    <w:p w14:paraId="39D3041D" w14:textId="75D1EF61" w:rsidR="001E156B" w:rsidRDefault="001E156B" w:rsidP="00D84793">
      <w:pPr>
        <w:pStyle w:val="ListParagraph"/>
        <w:numPr>
          <w:ilvl w:val="0"/>
          <w:numId w:val="1"/>
        </w:numPr>
        <w:spacing w:after="0" w:line="240" w:lineRule="auto"/>
        <w:ind w:left="567" w:hanging="567"/>
        <w:jc w:val="both"/>
        <w:rPr>
          <w:rFonts w:asciiTheme="majorBidi" w:hAnsiTheme="majorBidi" w:cstheme="majorBidi"/>
          <w:b/>
          <w:bCs/>
          <w:sz w:val="26"/>
          <w:szCs w:val="26"/>
        </w:rPr>
      </w:pPr>
      <w:r w:rsidRPr="001E156B">
        <w:rPr>
          <w:rFonts w:asciiTheme="majorBidi" w:hAnsiTheme="majorBidi" w:cstheme="majorBidi"/>
          <w:b/>
          <w:bCs/>
          <w:sz w:val="26"/>
          <w:szCs w:val="26"/>
        </w:rPr>
        <w:t xml:space="preserve">METODE </w:t>
      </w:r>
    </w:p>
    <w:p w14:paraId="79DF7F5E" w14:textId="0A22DEC6" w:rsidR="001E156B" w:rsidRPr="002323D7" w:rsidRDefault="001E156B" w:rsidP="001E156B">
      <w:pPr>
        <w:spacing w:after="0" w:line="240" w:lineRule="auto"/>
        <w:ind w:firstLine="567"/>
        <w:jc w:val="both"/>
        <w:rPr>
          <w:rFonts w:ascii="Times New Roman" w:hAnsi="Times New Roman"/>
        </w:rPr>
      </w:pPr>
      <w:r w:rsidRPr="002323D7">
        <w:rPr>
          <w:rFonts w:ascii="Times New Roman" w:hAnsi="Times New Roman"/>
        </w:rPr>
        <w:t>Metode penelitian</w:t>
      </w:r>
      <w:r>
        <w:rPr>
          <w:rFonts w:ascii="Times New Roman" w:hAnsi="Times New Roman"/>
        </w:rPr>
        <w:t xml:space="preserve"> yang digunakan</w:t>
      </w:r>
      <w:r w:rsidRPr="002323D7">
        <w:rPr>
          <w:rFonts w:ascii="Times New Roman" w:hAnsi="Times New Roman"/>
        </w:rPr>
        <w:t xml:space="preserve"> dalam kegiatan penelitian ini </w:t>
      </w:r>
      <w:r w:rsidR="00763F9E">
        <w:rPr>
          <w:rFonts w:ascii="Times New Roman" w:hAnsi="Times New Roman"/>
        </w:rPr>
        <w:t xml:space="preserve">adalah dengan </w:t>
      </w:r>
      <w:r w:rsidRPr="002323D7">
        <w:rPr>
          <w:rFonts w:ascii="Times New Roman" w:hAnsi="Times New Roman"/>
        </w:rPr>
        <w:t xml:space="preserve">menggunakan jenis penelitian hukum normatif, atau metode penelitian hukum </w:t>
      </w:r>
      <w:proofErr w:type="spellStart"/>
      <w:r w:rsidRPr="002323D7">
        <w:rPr>
          <w:rFonts w:ascii="Times New Roman" w:hAnsi="Times New Roman"/>
        </w:rPr>
        <w:t>doktrinal</w:t>
      </w:r>
      <w:proofErr w:type="spellEnd"/>
      <w:r w:rsidRPr="002323D7">
        <w:rPr>
          <w:rFonts w:ascii="Times New Roman" w:hAnsi="Times New Roman"/>
        </w:rPr>
        <w:t xml:space="preserve"> dalam </w:t>
      </w:r>
      <w:proofErr w:type="spellStart"/>
      <w:r w:rsidRPr="002323D7">
        <w:rPr>
          <w:rFonts w:ascii="Times New Roman" w:hAnsi="Times New Roman"/>
        </w:rPr>
        <w:t>Soetandyo</w:t>
      </w:r>
      <w:proofErr w:type="spellEnd"/>
      <w:r w:rsidRPr="002323D7">
        <w:rPr>
          <w:rFonts w:ascii="Times New Roman" w:hAnsi="Times New Roman"/>
        </w:rPr>
        <w:t xml:space="preserve"> </w:t>
      </w:r>
      <w:proofErr w:type="spellStart"/>
      <w:r w:rsidRPr="002323D7">
        <w:rPr>
          <w:rFonts w:ascii="Times New Roman" w:hAnsi="Times New Roman"/>
        </w:rPr>
        <w:t>Wignjosoebroto</w:t>
      </w:r>
      <w:proofErr w:type="spellEnd"/>
      <w:r w:rsidRPr="002323D7">
        <w:rPr>
          <w:rFonts w:ascii="Times New Roman" w:hAnsi="Times New Roman"/>
        </w:rPr>
        <w:t>.</w:t>
      </w:r>
      <w:r w:rsidRPr="002323D7">
        <w:rPr>
          <w:rStyle w:val="FootnoteReference"/>
          <w:rFonts w:ascii="Times New Roman" w:hAnsi="Times New Roman"/>
        </w:rPr>
        <w:footnoteReference w:id="1"/>
      </w:r>
      <w:r w:rsidRPr="002323D7">
        <w:rPr>
          <w:rFonts w:ascii="Times New Roman" w:hAnsi="Times New Roman"/>
        </w:rPr>
        <w:t xml:space="preserve"> Penelitian hukum normatif ini merupakan metode penelitian hukum </w:t>
      </w:r>
      <w:r w:rsidRPr="002323D7">
        <w:rPr>
          <w:rFonts w:ascii="Times New Roman" w:hAnsi="Times New Roman"/>
        </w:rPr>
        <w:lastRenderedPageBreak/>
        <w:t>yang berusaha menganalisis dan membahas isu-isu hukum dengan menggunakan kerangka hukum yang terbangun atas suatu peraturan perundang-undangan</w:t>
      </w:r>
      <w:r w:rsidRPr="002323D7">
        <w:rPr>
          <w:rStyle w:val="FootnoteReference"/>
          <w:rFonts w:ascii="Times New Roman" w:hAnsi="Times New Roman"/>
        </w:rPr>
        <w:footnoteReference w:id="2"/>
      </w:r>
      <w:r w:rsidRPr="002323D7">
        <w:rPr>
          <w:rFonts w:ascii="Times New Roman" w:hAnsi="Times New Roman"/>
        </w:rPr>
        <w:t xml:space="preserve"> dan konsep-konsep serta asas dalam keilmuan ilmu hukum. </w:t>
      </w:r>
      <w:r w:rsidRPr="002323D7">
        <w:rPr>
          <w:rStyle w:val="FootnoteReference"/>
          <w:rFonts w:ascii="Times New Roman" w:hAnsi="Times New Roman"/>
        </w:rPr>
        <w:footnoteReference w:id="3"/>
      </w:r>
    </w:p>
    <w:p w14:paraId="0E263622" w14:textId="7FED179A" w:rsidR="001E156B" w:rsidRPr="00E8229D" w:rsidRDefault="001E156B" w:rsidP="001E156B">
      <w:pPr>
        <w:spacing w:after="0" w:line="240" w:lineRule="auto"/>
        <w:ind w:firstLine="567"/>
        <w:jc w:val="both"/>
        <w:rPr>
          <w:rFonts w:ascii="Times New Roman" w:hAnsi="Times New Roman"/>
        </w:rPr>
      </w:pPr>
      <w:r w:rsidRPr="00E8229D">
        <w:rPr>
          <w:rFonts w:ascii="Times New Roman" w:hAnsi="Times New Roman"/>
        </w:rPr>
        <w:t xml:space="preserve">Adapun metode pendekatan yang digunakan ialah pendekatan konseptual </w:t>
      </w:r>
      <w:r w:rsidRPr="00E8229D">
        <w:rPr>
          <w:rFonts w:ascii="Times New Roman" w:hAnsi="Times New Roman"/>
          <w:i/>
          <w:iCs/>
        </w:rPr>
        <w:t>(</w:t>
      </w:r>
      <w:proofErr w:type="spellStart"/>
      <w:r w:rsidRPr="00E8229D">
        <w:rPr>
          <w:rFonts w:ascii="Times New Roman" w:hAnsi="Times New Roman"/>
          <w:i/>
          <w:iCs/>
        </w:rPr>
        <w:t>conseptual</w:t>
      </w:r>
      <w:proofErr w:type="spellEnd"/>
      <w:r w:rsidRPr="00E8229D">
        <w:rPr>
          <w:rFonts w:ascii="Times New Roman" w:hAnsi="Times New Roman"/>
          <w:i/>
          <w:iCs/>
        </w:rPr>
        <w:t xml:space="preserve"> </w:t>
      </w:r>
      <w:proofErr w:type="spellStart"/>
      <w:r w:rsidRPr="00E8229D">
        <w:rPr>
          <w:rFonts w:ascii="Times New Roman" w:hAnsi="Times New Roman"/>
          <w:i/>
          <w:iCs/>
        </w:rPr>
        <w:t>approach</w:t>
      </w:r>
      <w:proofErr w:type="spellEnd"/>
      <w:r w:rsidRPr="00E8229D">
        <w:rPr>
          <w:rFonts w:ascii="Times New Roman" w:hAnsi="Times New Roman"/>
        </w:rPr>
        <w:t xml:space="preserve">) dan pendekatan perundang-undangan </w:t>
      </w:r>
      <w:r w:rsidRPr="00E8229D">
        <w:rPr>
          <w:rFonts w:ascii="Times New Roman" w:hAnsi="Times New Roman"/>
          <w:i/>
          <w:iCs/>
        </w:rPr>
        <w:t>(</w:t>
      </w:r>
      <w:proofErr w:type="spellStart"/>
      <w:r w:rsidRPr="00E8229D">
        <w:rPr>
          <w:rFonts w:ascii="Times New Roman" w:hAnsi="Times New Roman"/>
          <w:i/>
          <w:iCs/>
        </w:rPr>
        <w:t>statute</w:t>
      </w:r>
      <w:proofErr w:type="spellEnd"/>
      <w:r w:rsidRPr="00E8229D">
        <w:rPr>
          <w:rFonts w:ascii="Times New Roman" w:hAnsi="Times New Roman"/>
          <w:i/>
          <w:iCs/>
        </w:rPr>
        <w:t xml:space="preserve"> </w:t>
      </w:r>
      <w:proofErr w:type="spellStart"/>
      <w:r w:rsidRPr="00E8229D">
        <w:rPr>
          <w:rFonts w:ascii="Times New Roman" w:hAnsi="Times New Roman"/>
          <w:i/>
          <w:iCs/>
        </w:rPr>
        <w:t>approach</w:t>
      </w:r>
      <w:proofErr w:type="spellEnd"/>
      <w:r w:rsidRPr="00E8229D">
        <w:rPr>
          <w:rFonts w:ascii="Times New Roman" w:hAnsi="Times New Roman"/>
        </w:rPr>
        <w:t xml:space="preserve">). </w:t>
      </w:r>
      <w:r w:rsidRPr="006933E9">
        <w:rPr>
          <w:rFonts w:ascii="Lato" w:hAnsi="Lato"/>
          <w:color w:val="333333"/>
          <w:shd w:val="clear" w:color="auto" w:fill="FFFFFF"/>
        </w:rPr>
        <w:t xml:space="preserve"> </w:t>
      </w:r>
      <w:r w:rsidRPr="006933E9">
        <w:rPr>
          <w:rFonts w:ascii="Times New Roman" w:hAnsi="Times New Roman"/>
        </w:rPr>
        <w:t>Pendekatan konseptual </w:t>
      </w:r>
      <w:r w:rsidRPr="006933E9">
        <w:rPr>
          <w:rFonts w:ascii="Times New Roman" w:hAnsi="Times New Roman"/>
          <w:i/>
          <w:iCs/>
        </w:rPr>
        <w:t>(</w:t>
      </w:r>
      <w:proofErr w:type="spellStart"/>
      <w:r w:rsidRPr="006933E9">
        <w:rPr>
          <w:rFonts w:ascii="Times New Roman" w:hAnsi="Times New Roman"/>
          <w:i/>
          <w:iCs/>
        </w:rPr>
        <w:t>conceptual</w:t>
      </w:r>
      <w:proofErr w:type="spellEnd"/>
      <w:r w:rsidRPr="006933E9">
        <w:rPr>
          <w:rFonts w:ascii="Times New Roman" w:hAnsi="Times New Roman"/>
          <w:i/>
          <w:iCs/>
        </w:rPr>
        <w:t xml:space="preserve"> </w:t>
      </w:r>
      <w:proofErr w:type="spellStart"/>
      <w:r w:rsidRPr="006933E9">
        <w:rPr>
          <w:rFonts w:ascii="Times New Roman" w:hAnsi="Times New Roman"/>
          <w:i/>
          <w:iCs/>
        </w:rPr>
        <w:t>approach</w:t>
      </w:r>
      <w:proofErr w:type="spellEnd"/>
      <w:r w:rsidRPr="006933E9">
        <w:rPr>
          <w:rFonts w:ascii="Times New Roman" w:hAnsi="Times New Roman"/>
          <w:i/>
          <w:iCs/>
        </w:rPr>
        <w:t>)</w:t>
      </w:r>
      <w:r w:rsidRPr="006933E9">
        <w:rPr>
          <w:rFonts w:ascii="Times New Roman" w:hAnsi="Times New Roman"/>
        </w:rPr>
        <w:t> </w:t>
      </w:r>
      <w:r>
        <w:rPr>
          <w:rFonts w:ascii="Times New Roman" w:hAnsi="Times New Roman"/>
        </w:rPr>
        <w:t>adalah</w:t>
      </w:r>
      <w:r w:rsidRPr="006933E9">
        <w:rPr>
          <w:rFonts w:ascii="Times New Roman" w:hAnsi="Times New Roman"/>
        </w:rPr>
        <w:t xml:space="preserve"> pendekatan yang memberikan sudut pandang analisa penyelesaian permasalahan dalam penelitian </w:t>
      </w:r>
      <w:r>
        <w:rPr>
          <w:rFonts w:ascii="Times New Roman" w:hAnsi="Times New Roman"/>
        </w:rPr>
        <w:t>ini</w:t>
      </w:r>
      <w:r w:rsidRPr="006933E9">
        <w:rPr>
          <w:rFonts w:ascii="Times New Roman" w:hAnsi="Times New Roman"/>
        </w:rPr>
        <w:t xml:space="preserve"> dilihat dari konsep-konsep hukum. Pendekatan ini beranjak dari pandangan-pandangan dan doktrin-doktrin yang berkembang di dalam ilmu hukum. Pendekatan ini penting sebab pemahaman terhadap pandangan/doktrin yang berkembang dalam ilmu hukum dapat menjadi pijakan untuk membangun argumentasi hukum </w:t>
      </w:r>
      <w:r>
        <w:rPr>
          <w:rFonts w:ascii="Times New Roman" w:hAnsi="Times New Roman"/>
        </w:rPr>
        <w:t>dalam penelitian ini</w:t>
      </w:r>
      <w:r w:rsidRPr="006933E9">
        <w:rPr>
          <w:rFonts w:ascii="Times New Roman" w:hAnsi="Times New Roman"/>
        </w:rPr>
        <w:t>.</w:t>
      </w:r>
      <w:r w:rsidRPr="00E8229D">
        <w:rPr>
          <w:rFonts w:ascii="Times New Roman" w:hAnsi="Times New Roman"/>
        </w:rPr>
        <w:t xml:space="preserve"> Pendekatan konseptual digunakan untuk mengurai </w:t>
      </w:r>
      <w:r w:rsidR="00763F9E">
        <w:rPr>
          <w:rFonts w:ascii="Times New Roman" w:hAnsi="Times New Roman"/>
        </w:rPr>
        <w:t xml:space="preserve">dampak SEMA terhadap </w:t>
      </w:r>
      <w:proofErr w:type="spellStart"/>
      <w:r w:rsidR="00763F9E">
        <w:rPr>
          <w:rFonts w:ascii="Times New Roman" w:hAnsi="Times New Roman"/>
        </w:rPr>
        <w:t>independensi</w:t>
      </w:r>
      <w:proofErr w:type="spellEnd"/>
      <w:r w:rsidR="00763F9E">
        <w:rPr>
          <w:rFonts w:ascii="Times New Roman" w:hAnsi="Times New Roman"/>
        </w:rPr>
        <w:t xml:space="preserve"> hakim dan hak-hak konstitusional pelaku perkawinan beda agama</w:t>
      </w:r>
      <w:r w:rsidRPr="00E8229D">
        <w:rPr>
          <w:rFonts w:ascii="Times New Roman" w:hAnsi="Times New Roman"/>
        </w:rPr>
        <w:t>.</w:t>
      </w:r>
    </w:p>
    <w:p w14:paraId="6AF768ED" w14:textId="09EE8605" w:rsidR="001E156B" w:rsidRPr="002323D7" w:rsidRDefault="001E156B" w:rsidP="001E156B">
      <w:pPr>
        <w:spacing w:after="0" w:line="240" w:lineRule="auto"/>
        <w:ind w:firstLine="567"/>
        <w:jc w:val="both"/>
        <w:rPr>
          <w:rFonts w:ascii="Times New Roman" w:hAnsi="Times New Roman"/>
        </w:rPr>
      </w:pPr>
      <w:r w:rsidRPr="002323D7">
        <w:rPr>
          <w:rFonts w:ascii="Times New Roman" w:hAnsi="Times New Roman"/>
        </w:rPr>
        <w:t>Pendekatan perundang-undangan (</w:t>
      </w:r>
      <w:proofErr w:type="spellStart"/>
      <w:r w:rsidRPr="002323D7">
        <w:rPr>
          <w:rFonts w:ascii="Times New Roman" w:hAnsi="Times New Roman"/>
          <w:i/>
          <w:iCs/>
        </w:rPr>
        <w:t>statute</w:t>
      </w:r>
      <w:proofErr w:type="spellEnd"/>
      <w:r w:rsidRPr="002323D7">
        <w:rPr>
          <w:rFonts w:ascii="Times New Roman" w:hAnsi="Times New Roman"/>
          <w:i/>
          <w:iCs/>
        </w:rPr>
        <w:t xml:space="preserve"> </w:t>
      </w:r>
      <w:proofErr w:type="spellStart"/>
      <w:r w:rsidRPr="002323D7">
        <w:rPr>
          <w:rFonts w:ascii="Times New Roman" w:hAnsi="Times New Roman"/>
          <w:i/>
          <w:iCs/>
        </w:rPr>
        <w:t>approach</w:t>
      </w:r>
      <w:proofErr w:type="spellEnd"/>
      <w:r w:rsidRPr="002323D7">
        <w:rPr>
          <w:rFonts w:ascii="Times New Roman" w:hAnsi="Times New Roman"/>
        </w:rPr>
        <w:t>), merupakan pendekatan yang digunakan untuk menggali dan menginventaris</w:t>
      </w:r>
      <w:r w:rsidR="00763F9E">
        <w:rPr>
          <w:rFonts w:ascii="Times New Roman" w:hAnsi="Times New Roman"/>
        </w:rPr>
        <w:t>asi</w:t>
      </w:r>
      <w:r w:rsidRPr="002323D7">
        <w:rPr>
          <w:rFonts w:ascii="Times New Roman" w:hAnsi="Times New Roman"/>
        </w:rPr>
        <w:t xml:space="preserve"> </w:t>
      </w:r>
      <w:r>
        <w:rPr>
          <w:rFonts w:ascii="Times New Roman" w:hAnsi="Times New Roman"/>
        </w:rPr>
        <w:t>peraturan</w:t>
      </w:r>
      <w:r w:rsidRPr="002323D7">
        <w:rPr>
          <w:rFonts w:ascii="Times New Roman" w:hAnsi="Times New Roman"/>
        </w:rPr>
        <w:t xml:space="preserve"> </w:t>
      </w:r>
      <w:r>
        <w:rPr>
          <w:rFonts w:ascii="Times New Roman" w:hAnsi="Times New Roman"/>
        </w:rPr>
        <w:t xml:space="preserve">dan </w:t>
      </w:r>
      <w:r w:rsidR="00763F9E">
        <w:rPr>
          <w:rFonts w:ascii="Times New Roman" w:hAnsi="Times New Roman"/>
        </w:rPr>
        <w:t>doktrin</w:t>
      </w:r>
      <w:r>
        <w:rPr>
          <w:rFonts w:ascii="Times New Roman" w:hAnsi="Times New Roman"/>
        </w:rPr>
        <w:t xml:space="preserve">-doktrin </w:t>
      </w:r>
      <w:r w:rsidR="00763F9E">
        <w:rPr>
          <w:rFonts w:ascii="Times New Roman" w:hAnsi="Times New Roman"/>
        </w:rPr>
        <w:t xml:space="preserve">perkawinan beda </w:t>
      </w:r>
      <w:proofErr w:type="spellStart"/>
      <w:r w:rsidR="00763F9E">
        <w:rPr>
          <w:rFonts w:ascii="Times New Roman" w:hAnsi="Times New Roman"/>
        </w:rPr>
        <w:t>agama</w:t>
      </w:r>
      <w:r w:rsidRPr="002323D7">
        <w:rPr>
          <w:rFonts w:ascii="Times New Roman" w:hAnsi="Times New Roman"/>
        </w:rPr>
        <w:t>dalam</w:t>
      </w:r>
      <w:proofErr w:type="spellEnd"/>
      <w:r w:rsidRPr="002323D7">
        <w:rPr>
          <w:rFonts w:ascii="Times New Roman" w:hAnsi="Times New Roman"/>
        </w:rPr>
        <w:t xml:space="preserve"> bahan-bahan hukum yang relevan, baik dalam UUD NRI 1945, maupun dalam </w:t>
      </w:r>
      <w:proofErr w:type="spellStart"/>
      <w:r w:rsidRPr="002323D7">
        <w:rPr>
          <w:rFonts w:ascii="Times New Roman" w:hAnsi="Times New Roman"/>
        </w:rPr>
        <w:t>Undang-Undang</w:t>
      </w:r>
      <w:proofErr w:type="spellEnd"/>
      <w:r w:rsidRPr="002323D7">
        <w:rPr>
          <w:rFonts w:ascii="Times New Roman" w:hAnsi="Times New Roman"/>
        </w:rPr>
        <w:t xml:space="preserve"> No.</w:t>
      </w:r>
      <w:r w:rsidR="00763F9E">
        <w:rPr>
          <w:rFonts w:ascii="Times New Roman" w:hAnsi="Times New Roman"/>
        </w:rPr>
        <w:t xml:space="preserve"> 1 Tahun 1974</w:t>
      </w:r>
      <w:r w:rsidRPr="002323D7">
        <w:rPr>
          <w:rFonts w:ascii="Times New Roman" w:hAnsi="Times New Roman"/>
        </w:rPr>
        <w:t xml:space="preserve"> </w:t>
      </w:r>
      <w:r w:rsidR="00763F9E" w:rsidRPr="001E156B">
        <w:rPr>
          <w:rFonts w:asciiTheme="majorBidi" w:hAnsiTheme="majorBidi" w:cstheme="majorBidi"/>
          <w:color w:val="212529"/>
          <w:shd w:val="clear" w:color="auto" w:fill="FFFFFF"/>
        </w:rPr>
        <w:t xml:space="preserve">telah diubah oleh </w:t>
      </w:r>
      <w:proofErr w:type="spellStart"/>
      <w:r w:rsidR="00763F9E" w:rsidRPr="001E156B">
        <w:rPr>
          <w:rFonts w:asciiTheme="majorBidi" w:hAnsiTheme="majorBidi" w:cstheme="majorBidi"/>
          <w:color w:val="212529"/>
          <w:shd w:val="clear" w:color="auto" w:fill="FFFFFF"/>
        </w:rPr>
        <w:t>Undang-Undang</w:t>
      </w:r>
      <w:proofErr w:type="spellEnd"/>
      <w:r w:rsidR="00763F9E" w:rsidRPr="001E156B">
        <w:rPr>
          <w:rFonts w:asciiTheme="majorBidi" w:hAnsiTheme="majorBidi" w:cstheme="majorBidi"/>
          <w:color w:val="212529"/>
          <w:shd w:val="clear" w:color="auto" w:fill="FFFFFF"/>
        </w:rPr>
        <w:t xml:space="preserve"> Nomor 16 Tahun 2019 tentang Perubahan atas </w:t>
      </w:r>
      <w:proofErr w:type="spellStart"/>
      <w:r w:rsidR="00763F9E" w:rsidRPr="001E156B">
        <w:rPr>
          <w:rFonts w:asciiTheme="majorBidi" w:hAnsiTheme="majorBidi" w:cstheme="majorBidi"/>
          <w:color w:val="212529"/>
          <w:shd w:val="clear" w:color="auto" w:fill="FFFFFF"/>
        </w:rPr>
        <w:t>Undang-Undang</w:t>
      </w:r>
      <w:proofErr w:type="spellEnd"/>
      <w:r w:rsidR="00763F9E" w:rsidRPr="001E156B">
        <w:rPr>
          <w:rFonts w:asciiTheme="majorBidi" w:hAnsiTheme="majorBidi" w:cstheme="majorBidi"/>
          <w:color w:val="212529"/>
          <w:shd w:val="clear" w:color="auto" w:fill="FFFFFF"/>
        </w:rPr>
        <w:t xml:space="preserve"> Nomor 1 tahun 1974 tentang Perkawinan</w:t>
      </w:r>
      <w:r w:rsidR="00763F9E">
        <w:rPr>
          <w:rFonts w:asciiTheme="majorBidi" w:hAnsiTheme="majorBidi" w:cstheme="majorBidi"/>
          <w:color w:val="212529"/>
          <w:shd w:val="clear" w:color="auto" w:fill="FFFFFF"/>
        </w:rPr>
        <w:t xml:space="preserve">, </w:t>
      </w:r>
      <w:r w:rsidR="00763F9E" w:rsidRPr="001E156B">
        <w:rPr>
          <w:rFonts w:asciiTheme="majorBidi" w:hAnsiTheme="majorBidi" w:cstheme="majorBidi"/>
          <w:color w:val="212529"/>
          <w:shd w:val="clear" w:color="auto" w:fill="FFFFFF"/>
        </w:rPr>
        <w:t>Edaran Mahkamah Agung (SEMA) Nomor 2 Tahun 2023 tentang Petunjuk Bagi Hakim dalam Mengadili Perkara Permohonan Pencatatan Perkawinan Antar-Umat Beragama yang Berbeda Agama dan Kepercayaan</w:t>
      </w:r>
      <w:r w:rsidR="00763F9E">
        <w:rPr>
          <w:rFonts w:asciiTheme="majorBidi" w:hAnsiTheme="majorBidi" w:cstheme="majorBidi"/>
          <w:color w:val="212529"/>
          <w:shd w:val="clear" w:color="auto" w:fill="FFFFFF"/>
        </w:rPr>
        <w:t xml:space="preserve">, dan </w:t>
      </w:r>
      <w:r w:rsidR="00763F9E" w:rsidRPr="001E156B">
        <w:rPr>
          <w:rFonts w:asciiTheme="majorBidi" w:hAnsiTheme="majorBidi" w:cstheme="majorBidi"/>
        </w:rPr>
        <w:t xml:space="preserve">35 </w:t>
      </w:r>
      <w:proofErr w:type="spellStart"/>
      <w:r w:rsidR="00763F9E" w:rsidRPr="001E156B">
        <w:rPr>
          <w:rFonts w:asciiTheme="majorBidi" w:hAnsiTheme="majorBidi" w:cstheme="majorBidi"/>
        </w:rPr>
        <w:t>Undang-Undang</w:t>
      </w:r>
      <w:proofErr w:type="spellEnd"/>
      <w:r w:rsidR="00763F9E" w:rsidRPr="001E156B">
        <w:rPr>
          <w:rFonts w:asciiTheme="majorBidi" w:hAnsiTheme="majorBidi" w:cstheme="majorBidi"/>
        </w:rPr>
        <w:t xml:space="preserve"> Nomor 23 Tahun 2006 tentang Administrasi Kependudukan </w:t>
      </w:r>
      <w:proofErr w:type="spellStart"/>
      <w:r w:rsidR="00763F9E" w:rsidRPr="001E156B">
        <w:rPr>
          <w:rFonts w:asciiTheme="majorBidi" w:hAnsiTheme="majorBidi" w:cstheme="majorBidi"/>
        </w:rPr>
        <w:t>sebagimana</w:t>
      </w:r>
      <w:proofErr w:type="spellEnd"/>
      <w:r w:rsidR="00763F9E" w:rsidRPr="001E156B">
        <w:rPr>
          <w:rFonts w:asciiTheme="majorBidi" w:hAnsiTheme="majorBidi" w:cstheme="majorBidi"/>
        </w:rPr>
        <w:t xml:space="preserve"> telah diubah oleh </w:t>
      </w:r>
      <w:proofErr w:type="spellStart"/>
      <w:r w:rsidR="00763F9E" w:rsidRPr="001E156B">
        <w:rPr>
          <w:rFonts w:asciiTheme="majorBidi" w:hAnsiTheme="majorBidi" w:cstheme="majorBidi"/>
        </w:rPr>
        <w:t>Undang-Undang</w:t>
      </w:r>
      <w:proofErr w:type="spellEnd"/>
      <w:r w:rsidR="00763F9E" w:rsidRPr="001E156B">
        <w:rPr>
          <w:rFonts w:asciiTheme="majorBidi" w:hAnsiTheme="majorBidi" w:cstheme="majorBidi"/>
        </w:rPr>
        <w:t xml:space="preserve"> Nomor 24 Tahun 2013 tentang Perubahan atas </w:t>
      </w:r>
      <w:proofErr w:type="spellStart"/>
      <w:r w:rsidR="00763F9E" w:rsidRPr="001E156B">
        <w:rPr>
          <w:rFonts w:asciiTheme="majorBidi" w:hAnsiTheme="majorBidi" w:cstheme="majorBidi"/>
        </w:rPr>
        <w:t>Undang-Undang</w:t>
      </w:r>
      <w:proofErr w:type="spellEnd"/>
      <w:r w:rsidR="00763F9E" w:rsidRPr="001E156B">
        <w:rPr>
          <w:rFonts w:asciiTheme="majorBidi" w:hAnsiTheme="majorBidi" w:cstheme="majorBidi"/>
        </w:rPr>
        <w:t xml:space="preserve"> Nomor 23 tahun 2006 tentang </w:t>
      </w:r>
      <w:proofErr w:type="spellStart"/>
      <w:r w:rsidR="00763F9E" w:rsidRPr="001E156B">
        <w:rPr>
          <w:rFonts w:asciiTheme="majorBidi" w:hAnsiTheme="majorBidi" w:cstheme="majorBidi"/>
        </w:rPr>
        <w:t>Adminitrasi</w:t>
      </w:r>
      <w:proofErr w:type="spellEnd"/>
      <w:r w:rsidR="00763F9E" w:rsidRPr="001E156B">
        <w:rPr>
          <w:rFonts w:asciiTheme="majorBidi" w:hAnsiTheme="majorBidi" w:cstheme="majorBidi"/>
        </w:rPr>
        <w:t xml:space="preserve"> Kependudukan</w:t>
      </w:r>
      <w:r w:rsidRPr="002323D7">
        <w:rPr>
          <w:rFonts w:ascii="Times New Roman" w:hAnsi="Times New Roman"/>
        </w:rPr>
        <w:t>.</w:t>
      </w:r>
    </w:p>
    <w:p w14:paraId="30813D3E" w14:textId="20776BCD" w:rsidR="001E156B" w:rsidRPr="002323D7" w:rsidRDefault="001E156B" w:rsidP="001E156B">
      <w:pPr>
        <w:spacing w:after="0" w:line="240" w:lineRule="auto"/>
        <w:ind w:firstLine="567"/>
        <w:jc w:val="both"/>
        <w:rPr>
          <w:rFonts w:ascii="Times New Roman" w:hAnsi="Times New Roman"/>
        </w:rPr>
      </w:pPr>
      <w:r w:rsidRPr="002323D7">
        <w:rPr>
          <w:rFonts w:ascii="Times New Roman" w:hAnsi="Times New Roman"/>
        </w:rPr>
        <w:t xml:space="preserve">Peraturan perundang-undangan di atas adalah bahan hukum utama dalam penelitian ini. Selain itu, terdapat bahan hukum lainnya sebagai bahan analisa, yakni bahan hukum sekunder dan tersier yang terdiri atas buku-buku ilmiah, jurnal ilmiah, </w:t>
      </w:r>
      <w:proofErr w:type="spellStart"/>
      <w:r w:rsidRPr="002323D7">
        <w:rPr>
          <w:rFonts w:ascii="Times New Roman" w:hAnsi="Times New Roman"/>
        </w:rPr>
        <w:t>prosiding</w:t>
      </w:r>
      <w:proofErr w:type="spellEnd"/>
      <w:r w:rsidRPr="002323D7">
        <w:rPr>
          <w:rFonts w:ascii="Times New Roman" w:hAnsi="Times New Roman"/>
        </w:rPr>
        <w:t>, makalah, sumber internet, dan kamus hukum yang</w:t>
      </w:r>
      <w:r w:rsidR="00763F9E">
        <w:rPr>
          <w:rFonts w:ascii="Times New Roman" w:hAnsi="Times New Roman"/>
        </w:rPr>
        <w:t xml:space="preserve"> relevan dengan isu hukum yang dikaji</w:t>
      </w:r>
      <w:r w:rsidRPr="002323D7">
        <w:rPr>
          <w:rFonts w:ascii="Times New Roman" w:hAnsi="Times New Roman"/>
        </w:rPr>
        <w:t xml:space="preserve">. </w:t>
      </w:r>
    </w:p>
    <w:p w14:paraId="691731C9" w14:textId="39CD3200" w:rsidR="001E156B" w:rsidRDefault="001E156B" w:rsidP="001E156B">
      <w:pPr>
        <w:spacing w:after="0" w:line="240" w:lineRule="auto"/>
        <w:ind w:firstLine="567"/>
        <w:jc w:val="both"/>
        <w:rPr>
          <w:rFonts w:ascii="Times New Roman" w:hAnsi="Times New Roman"/>
        </w:rPr>
      </w:pPr>
      <w:r w:rsidRPr="002323D7">
        <w:rPr>
          <w:rFonts w:ascii="Times New Roman" w:hAnsi="Times New Roman"/>
        </w:rPr>
        <w:t>Keseluruhan sumber hukum di atas kemudian dianalisis menggunakan teknik analisis preskriptif</w:t>
      </w:r>
      <w:r>
        <w:rPr>
          <w:rFonts w:ascii="Times New Roman" w:hAnsi="Times New Roman"/>
        </w:rPr>
        <w:t xml:space="preserve">. Teknik analisis ini dapat dikatakan gabungan dari teknis analisis deskriptif dan prediktif. Analisis deskriptif menggambarkan situasi </w:t>
      </w:r>
      <w:r w:rsidR="00763F9E">
        <w:rPr>
          <w:rFonts w:ascii="Times New Roman" w:hAnsi="Times New Roman"/>
        </w:rPr>
        <w:t>tren dari perkawinan beda agama saat ini</w:t>
      </w:r>
      <w:r>
        <w:rPr>
          <w:rFonts w:ascii="Times New Roman" w:hAnsi="Times New Roman"/>
        </w:rPr>
        <w:t>, sedangkan analisis prediktif</w:t>
      </w:r>
      <w:r w:rsidRPr="002323D7">
        <w:rPr>
          <w:rFonts w:ascii="Times New Roman" w:hAnsi="Times New Roman"/>
        </w:rPr>
        <w:t xml:space="preserve"> </w:t>
      </w:r>
      <w:r>
        <w:rPr>
          <w:rFonts w:ascii="Times New Roman" w:hAnsi="Times New Roman"/>
        </w:rPr>
        <w:t xml:space="preserve">memberikan prediksi dengan berpijak pada situasi terkini untuk menggambarkan apa yang terjadi pada </w:t>
      </w:r>
      <w:r w:rsidR="004E78B3">
        <w:rPr>
          <w:rFonts w:ascii="Times New Roman" w:hAnsi="Times New Roman"/>
        </w:rPr>
        <w:t>hak konstitusional pelaku perkawinan beda agama jika SEMA ditaati oleh para hakim</w:t>
      </w:r>
      <w:r>
        <w:rPr>
          <w:rFonts w:ascii="Times New Roman" w:hAnsi="Times New Roman"/>
        </w:rPr>
        <w:t xml:space="preserve">. Berdasarkan hal ini analisis preskriptif adalah menjawab pertanyaan mengenai apa yang harus dilakukan </w:t>
      </w:r>
      <w:r w:rsidR="004E78B3">
        <w:rPr>
          <w:rFonts w:ascii="Times New Roman" w:hAnsi="Times New Roman"/>
        </w:rPr>
        <w:t>bagi pelaku perkawinan beda agama</w:t>
      </w:r>
      <w:r>
        <w:rPr>
          <w:rFonts w:ascii="Times New Roman" w:hAnsi="Times New Roman"/>
        </w:rPr>
        <w:t xml:space="preserve">, setelah melihat kondisi </w:t>
      </w:r>
      <w:proofErr w:type="spellStart"/>
      <w:r>
        <w:rPr>
          <w:rFonts w:ascii="Times New Roman" w:hAnsi="Times New Roman"/>
        </w:rPr>
        <w:t>eksisting</w:t>
      </w:r>
      <w:proofErr w:type="spellEnd"/>
      <w:r>
        <w:rPr>
          <w:rFonts w:ascii="Times New Roman" w:hAnsi="Times New Roman"/>
        </w:rPr>
        <w:t xml:space="preserve"> saat ini, yang berfungsi memberikan arahan, solusi maupun saran terkait perlindungan </w:t>
      </w:r>
      <w:r w:rsidR="004E78B3">
        <w:rPr>
          <w:rFonts w:ascii="Times New Roman" w:hAnsi="Times New Roman"/>
        </w:rPr>
        <w:t>hak-hak konstitusional pelaku perkawinan beda agama</w:t>
      </w:r>
      <w:r>
        <w:rPr>
          <w:rFonts w:ascii="Times New Roman" w:hAnsi="Times New Roman"/>
        </w:rPr>
        <w:t>.</w:t>
      </w:r>
    </w:p>
    <w:p w14:paraId="6688B8FC" w14:textId="39DDEA0D" w:rsidR="001E156B" w:rsidRPr="001E156B" w:rsidRDefault="001E156B" w:rsidP="001E156B">
      <w:pPr>
        <w:pStyle w:val="ListParagraph"/>
        <w:spacing w:after="0" w:line="240" w:lineRule="auto"/>
        <w:ind w:left="284"/>
        <w:jc w:val="both"/>
        <w:rPr>
          <w:rFonts w:asciiTheme="majorBidi" w:hAnsiTheme="majorBidi" w:cstheme="majorBidi"/>
          <w:b/>
          <w:bCs/>
          <w:sz w:val="26"/>
          <w:szCs w:val="26"/>
        </w:rPr>
      </w:pPr>
    </w:p>
    <w:p w14:paraId="1253A386" w14:textId="062AF43D" w:rsidR="00747123" w:rsidRPr="004E78B3" w:rsidRDefault="004E78B3" w:rsidP="004E78B3">
      <w:pPr>
        <w:pStyle w:val="ListParagraph"/>
        <w:numPr>
          <w:ilvl w:val="0"/>
          <w:numId w:val="1"/>
        </w:numPr>
        <w:spacing w:after="0" w:line="240" w:lineRule="auto"/>
        <w:ind w:left="567" w:hanging="567"/>
        <w:jc w:val="both"/>
        <w:rPr>
          <w:rFonts w:asciiTheme="majorBidi" w:hAnsiTheme="majorBidi" w:cstheme="majorBidi"/>
          <w:b/>
          <w:bCs/>
          <w:sz w:val="24"/>
          <w:szCs w:val="24"/>
        </w:rPr>
      </w:pPr>
      <w:r w:rsidRPr="004E78B3">
        <w:rPr>
          <w:rFonts w:asciiTheme="majorBidi" w:hAnsiTheme="majorBidi" w:cstheme="majorBidi"/>
          <w:b/>
          <w:bCs/>
          <w:sz w:val="24"/>
          <w:szCs w:val="24"/>
        </w:rPr>
        <w:t>PEMBAHASAN</w:t>
      </w:r>
    </w:p>
    <w:p w14:paraId="4FB648E2" w14:textId="1E2C801C" w:rsidR="00BB6B12" w:rsidRPr="00F6627D" w:rsidRDefault="00BB6B12" w:rsidP="00A475C1">
      <w:pPr>
        <w:pStyle w:val="ListParagraph"/>
        <w:numPr>
          <w:ilvl w:val="1"/>
          <w:numId w:val="19"/>
        </w:numPr>
        <w:spacing w:after="0" w:line="240" w:lineRule="auto"/>
        <w:ind w:left="567" w:hanging="567"/>
        <w:jc w:val="both"/>
        <w:rPr>
          <w:rFonts w:asciiTheme="majorBidi" w:hAnsiTheme="majorBidi" w:cstheme="majorBidi"/>
          <w:b/>
          <w:bCs/>
          <w:sz w:val="24"/>
          <w:szCs w:val="24"/>
        </w:rPr>
      </w:pPr>
      <w:r w:rsidRPr="00F6627D">
        <w:rPr>
          <w:rFonts w:asciiTheme="majorBidi" w:hAnsiTheme="majorBidi" w:cstheme="majorBidi"/>
          <w:b/>
          <w:bCs/>
          <w:sz w:val="24"/>
          <w:szCs w:val="24"/>
        </w:rPr>
        <w:t xml:space="preserve">Dampak SEMA </w:t>
      </w:r>
      <w:r w:rsidR="00A475C1" w:rsidRPr="00F6627D">
        <w:rPr>
          <w:rFonts w:asciiTheme="majorBidi" w:hAnsiTheme="majorBidi" w:cstheme="majorBidi"/>
          <w:b/>
          <w:bCs/>
          <w:sz w:val="24"/>
          <w:szCs w:val="24"/>
        </w:rPr>
        <w:t>Bagi</w:t>
      </w:r>
      <w:r w:rsidRPr="00F6627D">
        <w:rPr>
          <w:rFonts w:asciiTheme="majorBidi" w:hAnsiTheme="majorBidi" w:cstheme="majorBidi"/>
          <w:b/>
          <w:bCs/>
          <w:sz w:val="24"/>
          <w:szCs w:val="24"/>
        </w:rPr>
        <w:t xml:space="preserve"> </w:t>
      </w:r>
      <w:proofErr w:type="spellStart"/>
      <w:r w:rsidRPr="00F6627D">
        <w:rPr>
          <w:rFonts w:asciiTheme="majorBidi" w:hAnsiTheme="majorBidi" w:cstheme="majorBidi"/>
          <w:b/>
          <w:bCs/>
          <w:sz w:val="24"/>
          <w:szCs w:val="24"/>
        </w:rPr>
        <w:t>Independensi</w:t>
      </w:r>
      <w:proofErr w:type="spellEnd"/>
      <w:r w:rsidRPr="00F6627D">
        <w:rPr>
          <w:rFonts w:asciiTheme="majorBidi" w:hAnsiTheme="majorBidi" w:cstheme="majorBidi"/>
          <w:b/>
          <w:bCs/>
          <w:sz w:val="24"/>
          <w:szCs w:val="24"/>
        </w:rPr>
        <w:t xml:space="preserve"> Hakim </w:t>
      </w:r>
      <w:r w:rsidR="00A475C1" w:rsidRPr="00F6627D">
        <w:rPr>
          <w:rFonts w:asciiTheme="majorBidi" w:hAnsiTheme="majorBidi" w:cstheme="majorBidi"/>
          <w:b/>
          <w:bCs/>
          <w:sz w:val="24"/>
          <w:szCs w:val="24"/>
        </w:rPr>
        <w:t>sebagai pelaku kekuasaan kehakiman yang merdeka.</w:t>
      </w:r>
    </w:p>
    <w:p w14:paraId="174D781E" w14:textId="70A91E3A" w:rsidR="0033611A" w:rsidRPr="00D21BF7" w:rsidRDefault="00BB6B12" w:rsidP="00D21BF7">
      <w:pPr>
        <w:pStyle w:val="ListParagraph"/>
        <w:spacing w:after="0" w:line="240" w:lineRule="auto"/>
        <w:ind w:left="0" w:firstLine="567"/>
        <w:jc w:val="both"/>
        <w:rPr>
          <w:rFonts w:asciiTheme="majorBidi" w:hAnsiTheme="majorBidi" w:cstheme="majorBidi"/>
        </w:rPr>
      </w:pPr>
      <w:r w:rsidRPr="00D21BF7">
        <w:rPr>
          <w:rFonts w:asciiTheme="majorBidi" w:hAnsiTheme="majorBidi" w:cstheme="majorBidi"/>
        </w:rPr>
        <w:t xml:space="preserve">Indonesia adalah negara hukum. Hal ini tegas dinyatakan dalam </w:t>
      </w:r>
      <w:proofErr w:type="spellStart"/>
      <w:r w:rsidRPr="00D21BF7">
        <w:rPr>
          <w:rFonts w:asciiTheme="majorBidi" w:hAnsiTheme="majorBidi" w:cstheme="majorBidi"/>
        </w:rPr>
        <w:t>Undang-Undang</w:t>
      </w:r>
      <w:proofErr w:type="spellEnd"/>
      <w:r w:rsidRPr="00D21BF7">
        <w:rPr>
          <w:rFonts w:asciiTheme="majorBidi" w:hAnsiTheme="majorBidi" w:cstheme="majorBidi"/>
        </w:rPr>
        <w:t xml:space="preserve"> Dasar Negara Republik Indonesia Tahun 1945 (UUD NRI 1945). Salah satu </w:t>
      </w:r>
      <w:r w:rsidR="0033611A" w:rsidRPr="00D21BF7">
        <w:rPr>
          <w:rFonts w:asciiTheme="majorBidi" w:hAnsiTheme="majorBidi" w:cstheme="majorBidi"/>
        </w:rPr>
        <w:t xml:space="preserve">cirinya adalah adanya </w:t>
      </w:r>
      <w:r w:rsidRPr="00D21BF7">
        <w:rPr>
          <w:rFonts w:asciiTheme="majorBidi" w:hAnsiTheme="majorBidi" w:cstheme="majorBidi"/>
        </w:rPr>
        <w:t xml:space="preserve">jaminan keberadaan negara hukum tersebut adalah adanya kekuasaan kehakiman yang merdeka atau independen. Hal ini sudah dituangkan </w:t>
      </w:r>
      <w:r w:rsidR="0033611A" w:rsidRPr="00D21BF7">
        <w:rPr>
          <w:rFonts w:asciiTheme="majorBidi" w:hAnsiTheme="majorBidi" w:cstheme="majorBidi"/>
          <w:color w:val="111111"/>
          <w:shd w:val="clear" w:color="auto" w:fill="FFFFFF"/>
        </w:rPr>
        <w:t>Pasal 24 ayat (1) UUD NRI 1945 yang menyatakan bahwa kekuasaan kehakiman merupakan kekuasaan yang merdeka untuk menyelenggarakan peradilan guna menegakkan hukum dan keadilan.</w:t>
      </w:r>
    </w:p>
    <w:p w14:paraId="082E9701" w14:textId="3EFA01CA" w:rsidR="00583B7D" w:rsidRPr="00D21BF7" w:rsidRDefault="00583B7D" w:rsidP="00D21BF7">
      <w:pPr>
        <w:pStyle w:val="ListParagraph"/>
        <w:spacing w:after="0" w:line="240" w:lineRule="auto"/>
        <w:ind w:left="0" w:firstLine="567"/>
        <w:jc w:val="both"/>
        <w:rPr>
          <w:rFonts w:asciiTheme="majorBidi" w:hAnsiTheme="majorBidi" w:cstheme="majorBidi"/>
        </w:rPr>
      </w:pP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dalam Kamus Besar Bahasa Indonesia berarti kemandirian.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merupakan kata benda dengan bentuk kata sifatnya adalah independen. Independen dalam Kamus </w:t>
      </w:r>
      <w:r w:rsidRPr="00D21BF7">
        <w:rPr>
          <w:rFonts w:asciiTheme="majorBidi" w:hAnsiTheme="majorBidi" w:cstheme="majorBidi"/>
        </w:rPr>
        <w:lastRenderedPageBreak/>
        <w:t xml:space="preserve">Besar Bahasa Indonesia berarti: a)yang berdiri sendiri, yang berjiwa bebas; b) tidak terikat, merdeka, bebas. Kata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merupakan serapan Bahasa Inggris yaitu </w:t>
      </w:r>
      <w:proofErr w:type="spellStart"/>
      <w:r w:rsidRPr="00D21BF7">
        <w:rPr>
          <w:rFonts w:asciiTheme="majorBidi" w:hAnsiTheme="majorBidi" w:cstheme="majorBidi"/>
          <w:i/>
          <w:iCs/>
        </w:rPr>
        <w:t>independence</w:t>
      </w:r>
      <w:proofErr w:type="spellEnd"/>
      <w:r w:rsidRPr="00D21BF7">
        <w:rPr>
          <w:rFonts w:asciiTheme="majorBidi" w:hAnsiTheme="majorBidi" w:cstheme="majorBidi"/>
        </w:rPr>
        <w:t xml:space="preserve">. </w:t>
      </w:r>
      <w:proofErr w:type="spellStart"/>
      <w:r w:rsidRPr="00D21BF7">
        <w:rPr>
          <w:rFonts w:asciiTheme="majorBidi" w:hAnsiTheme="majorBidi" w:cstheme="majorBidi"/>
          <w:i/>
          <w:iCs/>
        </w:rPr>
        <w:t>Independence</w:t>
      </w:r>
      <w:proofErr w:type="spellEnd"/>
      <w:r w:rsidRPr="00D21BF7">
        <w:rPr>
          <w:rFonts w:asciiTheme="majorBidi" w:hAnsiTheme="majorBidi" w:cstheme="majorBidi"/>
        </w:rPr>
        <w:t xml:space="preserve"> menurut </w:t>
      </w:r>
      <w:proofErr w:type="spellStart"/>
      <w:r w:rsidRPr="00D21BF7">
        <w:rPr>
          <w:rFonts w:asciiTheme="majorBidi" w:hAnsiTheme="majorBidi" w:cstheme="majorBidi"/>
          <w:i/>
          <w:iCs/>
        </w:rPr>
        <w:t>Black’s</w:t>
      </w:r>
      <w:proofErr w:type="spellEnd"/>
      <w:r w:rsidRPr="00D21BF7">
        <w:rPr>
          <w:rFonts w:asciiTheme="majorBidi" w:hAnsiTheme="majorBidi" w:cstheme="majorBidi"/>
          <w:i/>
          <w:iCs/>
        </w:rPr>
        <w:t xml:space="preserve"> Law </w:t>
      </w:r>
      <w:proofErr w:type="spellStart"/>
      <w:r w:rsidRPr="00D21BF7">
        <w:rPr>
          <w:rFonts w:asciiTheme="majorBidi" w:hAnsiTheme="majorBidi" w:cstheme="majorBidi"/>
          <w:i/>
          <w:iCs/>
        </w:rPr>
        <w:t>Dictionary</w:t>
      </w:r>
      <w:proofErr w:type="spellEnd"/>
      <w:r w:rsidRPr="00D21BF7">
        <w:rPr>
          <w:rFonts w:asciiTheme="majorBidi" w:hAnsiTheme="majorBidi" w:cstheme="majorBidi"/>
        </w:rPr>
        <w:t xml:space="preserve"> ialah “</w:t>
      </w:r>
      <w:r w:rsidRPr="00D21BF7">
        <w:rPr>
          <w:rFonts w:asciiTheme="majorBidi" w:hAnsiTheme="majorBidi" w:cstheme="majorBidi"/>
          <w:i/>
          <w:iCs/>
        </w:rPr>
        <w:t xml:space="preserve">The </w:t>
      </w:r>
      <w:proofErr w:type="spellStart"/>
      <w:r w:rsidRPr="00D21BF7">
        <w:rPr>
          <w:rFonts w:asciiTheme="majorBidi" w:hAnsiTheme="majorBidi" w:cstheme="majorBidi"/>
          <w:i/>
          <w:iCs/>
        </w:rPr>
        <w:t>state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or</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quality</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of</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being</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independent</w:t>
      </w:r>
      <w:proofErr w:type="spellEnd"/>
      <w:r w:rsidRPr="00D21BF7">
        <w:rPr>
          <w:rFonts w:asciiTheme="majorBidi" w:hAnsiTheme="majorBidi" w:cstheme="majorBidi"/>
        </w:rPr>
        <w:t>”.</w:t>
      </w:r>
      <w:r w:rsidR="000228C2" w:rsidRPr="00D21BF7">
        <w:rPr>
          <w:rStyle w:val="FootnoteReference"/>
          <w:rFonts w:asciiTheme="majorBidi" w:hAnsiTheme="majorBidi" w:cstheme="majorBidi"/>
        </w:rPr>
        <w:footnoteReference w:id="4"/>
      </w:r>
      <w:r w:rsidRPr="00D21BF7">
        <w:rPr>
          <w:rStyle w:val="FootnoteReference"/>
          <w:rFonts w:asciiTheme="majorBidi" w:hAnsiTheme="majorBidi" w:cstheme="majorBidi"/>
        </w:rPr>
        <w:footnoteReference w:id="5"/>
      </w:r>
      <w:r w:rsidRPr="00D21BF7">
        <w:rPr>
          <w:rFonts w:asciiTheme="majorBidi" w:hAnsiTheme="majorBidi" w:cstheme="majorBidi"/>
        </w:rPr>
        <w:t xml:space="preserve"> Sedangkan kata </w:t>
      </w:r>
      <w:proofErr w:type="spellStart"/>
      <w:r w:rsidRPr="00D21BF7">
        <w:rPr>
          <w:rFonts w:asciiTheme="majorBidi" w:hAnsiTheme="majorBidi" w:cstheme="majorBidi"/>
        </w:rPr>
        <w:t>independent</w:t>
      </w:r>
      <w:proofErr w:type="spellEnd"/>
      <w:r w:rsidRPr="00D21BF7">
        <w:rPr>
          <w:rFonts w:asciiTheme="majorBidi" w:hAnsiTheme="majorBidi" w:cstheme="majorBidi"/>
        </w:rPr>
        <w:t xml:space="preserve"> menurut </w:t>
      </w:r>
      <w:proofErr w:type="spellStart"/>
      <w:r w:rsidRPr="00D21BF7">
        <w:rPr>
          <w:rFonts w:asciiTheme="majorBidi" w:hAnsiTheme="majorBidi" w:cstheme="majorBidi"/>
        </w:rPr>
        <w:t>Black’s</w:t>
      </w:r>
      <w:proofErr w:type="spellEnd"/>
      <w:r w:rsidRPr="00D21BF7">
        <w:rPr>
          <w:rFonts w:asciiTheme="majorBidi" w:hAnsiTheme="majorBidi" w:cstheme="majorBidi"/>
        </w:rPr>
        <w:t xml:space="preserve"> Law </w:t>
      </w:r>
      <w:proofErr w:type="spellStart"/>
      <w:r w:rsidRPr="00D21BF7">
        <w:rPr>
          <w:rFonts w:asciiTheme="majorBidi" w:hAnsiTheme="majorBidi" w:cstheme="majorBidi"/>
        </w:rPr>
        <w:t>Dictionary</w:t>
      </w:r>
      <w:proofErr w:type="spellEnd"/>
      <w:r w:rsidRPr="00D21BF7">
        <w:rPr>
          <w:rFonts w:asciiTheme="majorBidi" w:hAnsiTheme="majorBidi" w:cstheme="majorBidi"/>
        </w:rPr>
        <w:t xml:space="preserve"> ialah</w:t>
      </w:r>
      <w:r w:rsidR="000228C2" w:rsidRPr="00D21BF7">
        <w:rPr>
          <w:rFonts w:asciiTheme="majorBidi" w:hAnsiTheme="majorBidi" w:cstheme="majorBidi"/>
        </w:rPr>
        <w:t>:</w:t>
      </w:r>
      <w:r w:rsidRPr="00D21BF7">
        <w:rPr>
          <w:rFonts w:asciiTheme="majorBidi" w:hAnsiTheme="majorBidi" w:cstheme="majorBidi"/>
        </w:rPr>
        <w:t xml:space="preserve"> </w:t>
      </w:r>
      <w:r w:rsidR="000228C2" w:rsidRPr="00D21BF7">
        <w:rPr>
          <w:rFonts w:asciiTheme="majorBidi" w:hAnsiTheme="majorBidi" w:cstheme="majorBidi"/>
        </w:rPr>
        <w:t>(</w:t>
      </w:r>
      <w:r w:rsidRPr="00D21BF7">
        <w:rPr>
          <w:rFonts w:asciiTheme="majorBidi" w:hAnsiTheme="majorBidi" w:cstheme="majorBidi"/>
        </w:rPr>
        <w:t xml:space="preserve">a) </w:t>
      </w:r>
      <w:r w:rsidRPr="00D21BF7">
        <w:rPr>
          <w:rFonts w:asciiTheme="majorBidi" w:hAnsiTheme="majorBidi" w:cstheme="majorBidi"/>
          <w:i/>
          <w:iCs/>
        </w:rPr>
        <w:t xml:space="preserve">Not </w:t>
      </w:r>
      <w:proofErr w:type="spellStart"/>
      <w:r w:rsidRPr="00D21BF7">
        <w:rPr>
          <w:rFonts w:asciiTheme="majorBidi" w:hAnsiTheme="majorBidi" w:cstheme="majorBidi"/>
          <w:i/>
          <w:iCs/>
        </w:rPr>
        <w:t>subject</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to</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the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control</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or</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influence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of</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another</w:t>
      </w:r>
      <w:proofErr w:type="spellEnd"/>
      <w:r w:rsidR="003D4A26" w:rsidRPr="00D21BF7">
        <w:rPr>
          <w:rFonts w:asciiTheme="majorBidi" w:hAnsiTheme="majorBidi" w:cstheme="majorBidi"/>
        </w:rPr>
        <w:t xml:space="preserve"> (Tidak tunduk pada kendali atau pengaruh)</w:t>
      </w:r>
      <w:r w:rsidRPr="00D21BF7">
        <w:rPr>
          <w:rFonts w:asciiTheme="majorBidi" w:hAnsiTheme="majorBidi" w:cstheme="majorBidi"/>
        </w:rPr>
        <w:t xml:space="preserve">; </w:t>
      </w:r>
      <w:r w:rsidR="003D4A26" w:rsidRPr="00D21BF7">
        <w:rPr>
          <w:rFonts w:asciiTheme="majorBidi" w:hAnsiTheme="majorBidi" w:cstheme="majorBidi"/>
        </w:rPr>
        <w:t>(</w:t>
      </w:r>
      <w:r w:rsidRPr="00D21BF7">
        <w:rPr>
          <w:rFonts w:asciiTheme="majorBidi" w:hAnsiTheme="majorBidi" w:cstheme="majorBidi"/>
        </w:rPr>
        <w:t>b)</w:t>
      </w:r>
      <w:r w:rsidR="003D4A26" w:rsidRPr="00D21BF7">
        <w:rPr>
          <w:rFonts w:asciiTheme="majorBidi" w:hAnsiTheme="majorBidi" w:cstheme="majorBidi"/>
        </w:rPr>
        <w:t xml:space="preserve"> </w:t>
      </w:r>
      <w:r w:rsidR="003D4A26" w:rsidRPr="00D21BF7">
        <w:rPr>
          <w:rFonts w:asciiTheme="majorBidi" w:hAnsiTheme="majorBidi" w:cstheme="majorBidi"/>
          <w:i/>
          <w:iCs/>
        </w:rPr>
        <w:t xml:space="preserve">not </w:t>
      </w:r>
      <w:proofErr w:type="spellStart"/>
      <w:r w:rsidRPr="00D21BF7">
        <w:rPr>
          <w:rFonts w:asciiTheme="majorBidi" w:hAnsiTheme="majorBidi" w:cstheme="majorBidi"/>
          <w:i/>
          <w:iCs/>
        </w:rPr>
        <w:t>associated</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with</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another</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often</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larger</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entity</w:t>
      </w:r>
      <w:proofErr w:type="spellEnd"/>
      <w:r w:rsidR="003D4A26" w:rsidRPr="00D21BF7">
        <w:rPr>
          <w:rFonts w:asciiTheme="majorBidi" w:hAnsiTheme="majorBidi" w:cstheme="majorBidi"/>
          <w:i/>
          <w:iCs/>
        </w:rPr>
        <w:t xml:space="preserve"> </w:t>
      </w:r>
      <w:r w:rsidR="003D4A26" w:rsidRPr="00D21BF7">
        <w:rPr>
          <w:rFonts w:asciiTheme="majorBidi" w:hAnsiTheme="majorBidi" w:cstheme="majorBidi"/>
        </w:rPr>
        <w:t>(tidak terkait dengan entitas lain),</w:t>
      </w:r>
      <w:r w:rsidRPr="00D21BF7">
        <w:rPr>
          <w:rFonts w:asciiTheme="majorBidi" w:hAnsiTheme="majorBidi" w:cstheme="majorBidi"/>
        </w:rPr>
        <w:t xml:space="preserve"> </w:t>
      </w:r>
      <w:r w:rsidR="003D4A26" w:rsidRPr="00D21BF7">
        <w:rPr>
          <w:rFonts w:asciiTheme="majorBidi" w:hAnsiTheme="majorBidi" w:cstheme="majorBidi"/>
        </w:rPr>
        <w:t>(</w:t>
      </w:r>
      <w:r w:rsidRPr="00D21BF7">
        <w:rPr>
          <w:rFonts w:asciiTheme="majorBidi" w:hAnsiTheme="majorBidi" w:cstheme="majorBidi"/>
        </w:rPr>
        <w:t xml:space="preserve">3) </w:t>
      </w:r>
      <w:r w:rsidR="003D4A26" w:rsidRPr="00D21BF7">
        <w:rPr>
          <w:rFonts w:asciiTheme="majorBidi" w:hAnsiTheme="majorBidi" w:cstheme="majorBidi"/>
          <w:i/>
          <w:iCs/>
        </w:rPr>
        <w:t xml:space="preserve">not </w:t>
      </w:r>
      <w:proofErr w:type="spellStart"/>
      <w:r w:rsidRPr="00D21BF7">
        <w:rPr>
          <w:rFonts w:asciiTheme="majorBidi" w:hAnsiTheme="majorBidi" w:cstheme="majorBidi"/>
          <w:i/>
          <w:iCs/>
        </w:rPr>
        <w:t>dependent</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or</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contingent</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on</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something</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else</w:t>
      </w:r>
      <w:proofErr w:type="spellEnd"/>
      <w:r w:rsidR="003D4A26" w:rsidRPr="00D21BF7">
        <w:rPr>
          <w:rFonts w:asciiTheme="majorBidi" w:hAnsiTheme="majorBidi" w:cstheme="majorBidi"/>
        </w:rPr>
        <w:t xml:space="preserve"> (tidak tergantung atau bergantung pada sesuatu yang lain)</w:t>
      </w:r>
      <w:r w:rsidRPr="00D21BF7">
        <w:rPr>
          <w:rFonts w:asciiTheme="majorBidi" w:hAnsiTheme="majorBidi" w:cstheme="majorBidi"/>
        </w:rPr>
        <w:t>.</w:t>
      </w:r>
      <w:r w:rsidRPr="00D21BF7">
        <w:rPr>
          <w:rStyle w:val="FootnoteReference"/>
          <w:rFonts w:asciiTheme="majorBidi" w:hAnsiTheme="majorBidi" w:cstheme="majorBidi"/>
        </w:rPr>
        <w:footnoteReference w:id="6"/>
      </w:r>
      <w:r w:rsidR="003D4A26" w:rsidRPr="00D21BF7">
        <w:rPr>
          <w:rFonts w:asciiTheme="majorBidi" w:hAnsiTheme="majorBidi" w:cstheme="majorBidi"/>
        </w:rPr>
        <w:t xml:space="preserve"> </w:t>
      </w:r>
      <w:r w:rsidRPr="00D21BF7">
        <w:rPr>
          <w:rFonts w:asciiTheme="majorBidi" w:hAnsiTheme="majorBidi" w:cstheme="majorBidi"/>
        </w:rPr>
        <w:t xml:space="preserve">Secara terminologi antara kata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dalam Bahasa Indonesia dan bahasa aslinya tidak jauh berbeda.</w:t>
      </w:r>
    </w:p>
    <w:p w14:paraId="0FE7D8E6" w14:textId="5A651D69" w:rsidR="0083166E" w:rsidRPr="00D21BF7" w:rsidRDefault="0083166E" w:rsidP="00D21BF7">
      <w:pPr>
        <w:pStyle w:val="ListParagraph"/>
        <w:spacing w:after="0" w:line="240" w:lineRule="auto"/>
        <w:ind w:left="0" w:firstLine="567"/>
        <w:jc w:val="both"/>
        <w:rPr>
          <w:rFonts w:asciiTheme="majorBidi" w:hAnsiTheme="majorBidi" w:cstheme="majorBidi"/>
        </w:rPr>
      </w:pP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atau kemandirian menurut </w:t>
      </w:r>
      <w:proofErr w:type="spellStart"/>
      <w:r w:rsidRPr="00D21BF7">
        <w:rPr>
          <w:rFonts w:asciiTheme="majorBidi" w:hAnsiTheme="majorBidi" w:cstheme="majorBidi"/>
        </w:rPr>
        <w:t>Shimon</w:t>
      </w:r>
      <w:proofErr w:type="spellEnd"/>
      <w:r w:rsidRPr="00D21BF7">
        <w:rPr>
          <w:rFonts w:asciiTheme="majorBidi" w:hAnsiTheme="majorBidi" w:cstheme="majorBidi"/>
        </w:rPr>
        <w:t xml:space="preserve"> </w:t>
      </w:r>
      <w:proofErr w:type="spellStart"/>
      <w:r w:rsidRPr="00D21BF7">
        <w:rPr>
          <w:rFonts w:asciiTheme="majorBidi" w:hAnsiTheme="majorBidi" w:cstheme="majorBidi"/>
        </w:rPr>
        <w:t>Shetreet</w:t>
      </w:r>
      <w:proofErr w:type="spellEnd"/>
      <w:r w:rsidRPr="00D21BF7">
        <w:rPr>
          <w:rFonts w:asciiTheme="majorBidi" w:hAnsiTheme="majorBidi" w:cstheme="majorBidi"/>
        </w:rPr>
        <w:t xml:space="preserve"> dapat dibagi menjadi empat jenis yaitu </w:t>
      </w:r>
      <w:proofErr w:type="spellStart"/>
      <w:r w:rsidRPr="00D21BF7">
        <w:rPr>
          <w:rFonts w:asciiTheme="majorBidi" w:hAnsiTheme="majorBidi" w:cstheme="majorBidi"/>
          <w:i/>
          <w:iCs/>
        </w:rPr>
        <w:t>substantive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independence</w:t>
      </w:r>
      <w:proofErr w:type="spellEnd"/>
      <w:r w:rsidRPr="00D21BF7">
        <w:rPr>
          <w:rFonts w:asciiTheme="majorBidi" w:hAnsiTheme="majorBidi" w:cstheme="majorBidi"/>
        </w:rPr>
        <w:t xml:space="preserve">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dalam memutus perkara), </w:t>
      </w:r>
      <w:r w:rsidRPr="00D21BF7">
        <w:rPr>
          <w:rFonts w:asciiTheme="majorBidi" w:hAnsiTheme="majorBidi" w:cstheme="majorBidi"/>
          <w:i/>
          <w:iCs/>
        </w:rPr>
        <w:t xml:space="preserve">personal </w:t>
      </w:r>
      <w:proofErr w:type="spellStart"/>
      <w:r w:rsidRPr="00D21BF7">
        <w:rPr>
          <w:rFonts w:asciiTheme="majorBidi" w:hAnsiTheme="majorBidi" w:cstheme="majorBidi"/>
          <w:i/>
          <w:iCs/>
        </w:rPr>
        <w:t>independence</w:t>
      </w:r>
      <w:proofErr w:type="spellEnd"/>
      <w:r w:rsidRPr="00D21BF7">
        <w:rPr>
          <w:rFonts w:asciiTheme="majorBidi" w:hAnsiTheme="majorBidi" w:cstheme="majorBidi"/>
        </w:rPr>
        <w:t xml:space="preserve"> </w:t>
      </w:r>
      <w:r w:rsidR="003D4A26" w:rsidRPr="00D21BF7">
        <w:rPr>
          <w:rFonts w:asciiTheme="majorBidi" w:hAnsiTheme="majorBidi" w:cstheme="majorBidi"/>
        </w:rPr>
        <w:t>(</w:t>
      </w:r>
      <w:r w:rsidRPr="00D21BF7">
        <w:rPr>
          <w:rFonts w:asciiTheme="majorBidi" w:hAnsiTheme="majorBidi" w:cstheme="majorBidi"/>
        </w:rPr>
        <w:t>misalnya adanya jaminan masa kerja dan jabatan (</w:t>
      </w:r>
      <w:r w:rsidRPr="00D21BF7">
        <w:rPr>
          <w:rFonts w:asciiTheme="majorBidi" w:hAnsiTheme="majorBidi" w:cstheme="majorBidi"/>
          <w:i/>
          <w:iCs/>
        </w:rPr>
        <w:t xml:space="preserve">term </w:t>
      </w:r>
      <w:proofErr w:type="spellStart"/>
      <w:r w:rsidRPr="00D21BF7">
        <w:rPr>
          <w:rFonts w:asciiTheme="majorBidi" w:hAnsiTheme="majorBidi" w:cstheme="majorBidi"/>
          <w:i/>
          <w:iCs/>
        </w:rPr>
        <w:t>of</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office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and</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tenure</w:t>
      </w:r>
      <w:proofErr w:type="spellEnd"/>
      <w:r w:rsidRPr="00D21BF7">
        <w:rPr>
          <w:rFonts w:asciiTheme="majorBidi" w:hAnsiTheme="majorBidi" w:cstheme="majorBidi"/>
        </w:rPr>
        <w:t>)</w:t>
      </w:r>
      <w:r w:rsidR="003D4A26" w:rsidRPr="00D21BF7">
        <w:rPr>
          <w:rFonts w:asciiTheme="majorBidi" w:hAnsiTheme="majorBidi" w:cstheme="majorBidi"/>
        </w:rPr>
        <w:t>)</w:t>
      </w:r>
      <w:r w:rsidRPr="00D21BF7">
        <w:rPr>
          <w:rFonts w:asciiTheme="majorBidi" w:hAnsiTheme="majorBidi" w:cstheme="majorBidi"/>
        </w:rPr>
        <w:t xml:space="preserve">, </w:t>
      </w:r>
      <w:r w:rsidRPr="00D21BF7">
        <w:rPr>
          <w:rFonts w:asciiTheme="majorBidi" w:hAnsiTheme="majorBidi" w:cstheme="majorBidi"/>
          <w:i/>
          <w:iCs/>
        </w:rPr>
        <w:t xml:space="preserve">internal </w:t>
      </w:r>
      <w:proofErr w:type="spellStart"/>
      <w:r w:rsidRPr="00D21BF7">
        <w:rPr>
          <w:rFonts w:asciiTheme="majorBidi" w:hAnsiTheme="majorBidi" w:cstheme="majorBidi"/>
          <w:i/>
          <w:iCs/>
        </w:rPr>
        <w:t>independence</w:t>
      </w:r>
      <w:proofErr w:type="spellEnd"/>
      <w:r w:rsidRPr="00D21BF7">
        <w:rPr>
          <w:rFonts w:asciiTheme="majorBidi" w:hAnsiTheme="majorBidi" w:cstheme="majorBidi"/>
        </w:rPr>
        <w:t xml:space="preserve"> (misalnya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dari atasan dan rekan kerja) dan </w:t>
      </w:r>
      <w:proofErr w:type="spellStart"/>
      <w:r w:rsidRPr="00D21BF7">
        <w:rPr>
          <w:rFonts w:asciiTheme="majorBidi" w:hAnsiTheme="majorBidi" w:cstheme="majorBidi"/>
          <w:i/>
          <w:iCs/>
        </w:rPr>
        <w:t>collective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independence</w:t>
      </w:r>
      <w:proofErr w:type="spellEnd"/>
      <w:r w:rsidRPr="00D21BF7">
        <w:rPr>
          <w:rFonts w:asciiTheme="majorBidi" w:hAnsiTheme="majorBidi" w:cstheme="majorBidi"/>
        </w:rPr>
        <w:t xml:space="preserve"> (misalnya adanya partisipasi pengadilan dalam administrasi pengadilan, termasuk dalam penentuan </w:t>
      </w:r>
      <w:proofErr w:type="spellStart"/>
      <w:r w:rsidRPr="00D21BF7">
        <w:rPr>
          <w:rFonts w:asciiTheme="majorBidi" w:hAnsiTheme="majorBidi" w:cstheme="majorBidi"/>
          <w:i/>
          <w:iCs/>
        </w:rPr>
        <w:t>budget</w:t>
      </w:r>
      <w:proofErr w:type="spellEnd"/>
      <w:r w:rsidRPr="00D21BF7">
        <w:rPr>
          <w:rFonts w:asciiTheme="majorBidi" w:hAnsiTheme="majorBidi" w:cstheme="majorBidi"/>
        </w:rPr>
        <w:t xml:space="preserve"> pengadilan).</w:t>
      </w:r>
      <w:r w:rsidR="00CD2DED" w:rsidRPr="00D21BF7">
        <w:rPr>
          <w:rStyle w:val="FootnoteReference"/>
          <w:rFonts w:asciiTheme="majorBidi" w:hAnsiTheme="majorBidi" w:cstheme="majorBidi"/>
        </w:rPr>
        <w:footnoteReference w:id="7"/>
      </w:r>
      <w:r w:rsidRPr="00D21BF7">
        <w:rPr>
          <w:rFonts w:asciiTheme="majorBidi" w:hAnsiTheme="majorBidi" w:cstheme="majorBidi"/>
        </w:rPr>
        <w:t xml:space="preserve"> </w:t>
      </w:r>
    </w:p>
    <w:p w14:paraId="32E68D67" w14:textId="15F14BDE" w:rsidR="0083166E" w:rsidRPr="00D21BF7" w:rsidRDefault="0083166E" w:rsidP="00D21BF7">
      <w:pPr>
        <w:pStyle w:val="ListParagraph"/>
        <w:spacing w:after="0" w:line="240" w:lineRule="auto"/>
        <w:ind w:left="0" w:firstLine="567"/>
        <w:jc w:val="both"/>
        <w:rPr>
          <w:rFonts w:asciiTheme="majorBidi" w:hAnsiTheme="majorBidi" w:cstheme="majorBidi"/>
        </w:rPr>
      </w:pP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kekuasaan kehakiman menurut Mahkamah Konstitusi antara lain adanya kemampuan bagi hakim untuk tidak terpengaruh oleh tekanan opini publik dalam mengambil putusan. Pada posisi lain, masyarakat maupun kekuasaan di luar kekuasaan kehakiman juga wajib untuk menegakkan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tersebut dengan tidak mencampuri proses peradilan termasuk dalam pengambilan putusan.</w:t>
      </w:r>
      <w:r w:rsidRPr="00D21BF7">
        <w:rPr>
          <w:rStyle w:val="FootnoteReference"/>
          <w:rFonts w:asciiTheme="majorBidi" w:hAnsiTheme="majorBidi" w:cstheme="majorBidi"/>
        </w:rPr>
        <w:footnoteReference w:id="8"/>
      </w:r>
    </w:p>
    <w:p w14:paraId="2D342EB1" w14:textId="1E2D644B" w:rsidR="0083166E" w:rsidRPr="00D21BF7" w:rsidRDefault="0083166E" w:rsidP="00D21BF7">
      <w:pPr>
        <w:pStyle w:val="ListParagraph"/>
        <w:spacing w:after="0" w:line="240" w:lineRule="auto"/>
        <w:ind w:left="0" w:firstLine="567"/>
        <w:jc w:val="both"/>
        <w:rPr>
          <w:rFonts w:asciiTheme="majorBidi" w:hAnsiTheme="majorBidi" w:cstheme="majorBidi"/>
        </w:rPr>
      </w:pPr>
      <w:r w:rsidRPr="00D21BF7">
        <w:rPr>
          <w:rFonts w:asciiTheme="majorBidi" w:hAnsiTheme="majorBidi" w:cstheme="majorBidi"/>
        </w:rPr>
        <w:t xml:space="preserve">Kendati demikian, terdapat temuan terkait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kekuasaan kehakiman dalam pertimbangan Mahkamah Konstitusi. Dalam pertimbangan disebutkan bahwa sebagai seorang warga negara yang berprofesi sebagai hakim, memiliki hak konstitusional yang diberikan oleh Pasal 24 ayat (1) UUD 1945 yaitu hak kebebasannya sebagai hakim dalam mengadili suatu perkara. Sedangkan, kemerdekaan institusional lembaga peradilan merupakan cerminan dari kemerdekaan para hakim sebagai pelaku kekuasaan kehakiman.</w:t>
      </w:r>
      <w:r w:rsidR="0054421E" w:rsidRPr="00D21BF7">
        <w:rPr>
          <w:rStyle w:val="FootnoteReference"/>
          <w:rFonts w:asciiTheme="majorBidi" w:hAnsiTheme="majorBidi" w:cstheme="majorBidi"/>
        </w:rPr>
        <w:footnoteReference w:id="9"/>
      </w:r>
      <w:r w:rsidRPr="00D21BF7">
        <w:rPr>
          <w:rFonts w:asciiTheme="majorBidi" w:hAnsiTheme="majorBidi" w:cstheme="majorBidi"/>
        </w:rPr>
        <w:t xml:space="preserve"> Konsekuensinya, hakim sebagai pejabat yang melakukan kekuasaan kehakiman wajib menjaga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peradilan.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peradilan sebagai institusi dimaknai terlepas dari pengaruh Pemerintah dan pengaruh-pengaruh lainnya jika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kewenangan </w:t>
      </w:r>
      <w:proofErr w:type="spellStart"/>
      <w:r w:rsidRPr="00D21BF7">
        <w:rPr>
          <w:rFonts w:asciiTheme="majorBidi" w:hAnsiTheme="majorBidi" w:cstheme="majorBidi"/>
        </w:rPr>
        <w:t>justisialnya</w:t>
      </w:r>
      <w:proofErr w:type="spellEnd"/>
      <w:r w:rsidRPr="00D21BF7">
        <w:rPr>
          <w:rFonts w:asciiTheme="majorBidi" w:hAnsiTheme="majorBidi" w:cstheme="majorBidi"/>
        </w:rPr>
        <w:t xml:space="preserve"> terlepas dari paksaan, </w:t>
      </w:r>
      <w:proofErr w:type="spellStart"/>
      <w:r w:rsidRPr="00D21BF7">
        <w:rPr>
          <w:rFonts w:asciiTheme="majorBidi" w:hAnsiTheme="majorBidi" w:cstheme="majorBidi"/>
        </w:rPr>
        <w:t>direktiva</w:t>
      </w:r>
      <w:proofErr w:type="spellEnd"/>
      <w:r w:rsidRPr="00D21BF7">
        <w:rPr>
          <w:rFonts w:asciiTheme="majorBidi" w:hAnsiTheme="majorBidi" w:cstheme="majorBidi"/>
        </w:rPr>
        <w:t xml:space="preserve"> atau intervensi, maupun intimidasi dari pihak ekstra</w:t>
      </w:r>
      <w:r w:rsidR="00CD2DED" w:rsidRPr="00D21BF7">
        <w:rPr>
          <w:rFonts w:asciiTheme="majorBidi" w:hAnsiTheme="majorBidi" w:cstheme="majorBidi"/>
        </w:rPr>
        <w:t xml:space="preserve"> </w:t>
      </w:r>
      <w:r w:rsidRPr="00D21BF7">
        <w:rPr>
          <w:rFonts w:asciiTheme="majorBidi" w:hAnsiTheme="majorBidi" w:cstheme="majorBidi"/>
        </w:rPr>
        <w:t>yudisial.</w:t>
      </w:r>
      <w:r w:rsidR="00D05A1C" w:rsidRPr="00D21BF7">
        <w:rPr>
          <w:rStyle w:val="FootnoteReference"/>
          <w:rFonts w:asciiTheme="majorBidi" w:hAnsiTheme="majorBidi" w:cstheme="majorBidi"/>
        </w:rPr>
        <w:footnoteReference w:id="10"/>
      </w:r>
      <w:r w:rsidRPr="00D21BF7">
        <w:rPr>
          <w:rFonts w:asciiTheme="majorBidi" w:hAnsiTheme="majorBidi" w:cstheme="majorBidi"/>
        </w:rPr>
        <w:t xml:space="preserve"> Selain itu, </w:t>
      </w:r>
      <w:proofErr w:type="spellStart"/>
      <w:r w:rsidR="004D3C2B">
        <w:rPr>
          <w:rFonts w:asciiTheme="majorBidi" w:hAnsiTheme="majorBidi" w:cstheme="majorBidi"/>
        </w:rPr>
        <w:t>i</w:t>
      </w:r>
      <w:r w:rsidRPr="00D21BF7">
        <w:rPr>
          <w:rFonts w:asciiTheme="majorBidi" w:hAnsiTheme="majorBidi" w:cstheme="majorBidi"/>
        </w:rPr>
        <w:t>ndependensi</w:t>
      </w:r>
      <w:proofErr w:type="spellEnd"/>
      <w:r w:rsidRPr="00D21BF7">
        <w:rPr>
          <w:rFonts w:asciiTheme="majorBidi" w:hAnsiTheme="majorBidi" w:cstheme="majorBidi"/>
        </w:rPr>
        <w:t xml:space="preserve"> kekuasaan kehakiman diwujudkan dengan membangun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secara fungsional dan struktural.</w:t>
      </w:r>
      <w:r w:rsidR="00D05A1C" w:rsidRPr="00D21BF7">
        <w:rPr>
          <w:rStyle w:val="FootnoteReference"/>
          <w:rFonts w:asciiTheme="majorBidi" w:hAnsiTheme="majorBidi" w:cstheme="majorBidi"/>
        </w:rPr>
        <w:footnoteReference w:id="11"/>
      </w:r>
      <w:r w:rsidRPr="00D21BF7">
        <w:rPr>
          <w:rFonts w:asciiTheme="majorBidi" w:hAnsiTheme="majorBidi" w:cstheme="majorBidi"/>
        </w:rPr>
        <w:t xml:space="preserve"> Maksudnya,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tersebut secara fungsional dapat dilaksanakan oleh hakim. Dalam konteks struktural,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diwujudkan dengan tidak terjadinya pemaksaan atau tekanan yang datang secara struktur kelembagaan. Hal itu dikuatkan dengan pertimbangan berikut bahwa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lembaga peradilan tercermin dari </w:t>
      </w:r>
      <w:proofErr w:type="spellStart"/>
      <w:r w:rsidRPr="00D21BF7">
        <w:rPr>
          <w:rFonts w:asciiTheme="majorBidi" w:hAnsiTheme="majorBidi" w:cstheme="majorBidi"/>
        </w:rPr>
        <w:t>ketidak</w:t>
      </w:r>
      <w:proofErr w:type="spellEnd"/>
      <w:r w:rsidRPr="00D21BF7">
        <w:rPr>
          <w:rFonts w:asciiTheme="majorBidi" w:hAnsiTheme="majorBidi" w:cstheme="majorBidi"/>
        </w:rPr>
        <w:t xml:space="preserve"> </w:t>
      </w:r>
      <w:proofErr w:type="spellStart"/>
      <w:r w:rsidRPr="00D21BF7">
        <w:rPr>
          <w:rFonts w:asciiTheme="majorBidi" w:hAnsiTheme="majorBidi" w:cstheme="majorBidi"/>
        </w:rPr>
        <w:t>tergantungan</w:t>
      </w:r>
      <w:proofErr w:type="spellEnd"/>
      <w:r w:rsidRPr="00D21BF7">
        <w:rPr>
          <w:rFonts w:asciiTheme="majorBidi" w:hAnsiTheme="majorBidi" w:cstheme="majorBidi"/>
        </w:rPr>
        <w:t xml:space="preserve"> pada organ lain dalam bidang tertentu sehingga tidak mampu mengatur dirinya secara mandiri.</w:t>
      </w:r>
      <w:r w:rsidR="00D05A1C" w:rsidRPr="00D21BF7">
        <w:rPr>
          <w:rStyle w:val="FootnoteReference"/>
          <w:rFonts w:asciiTheme="majorBidi" w:hAnsiTheme="majorBidi" w:cstheme="majorBidi"/>
        </w:rPr>
        <w:footnoteReference w:id="12"/>
      </w:r>
    </w:p>
    <w:p w14:paraId="506BE952" w14:textId="52DFC1B5" w:rsidR="00583B7D" w:rsidRPr="00D21BF7" w:rsidRDefault="0083166E" w:rsidP="00D21BF7">
      <w:pPr>
        <w:pStyle w:val="ListParagraph"/>
        <w:spacing w:after="0" w:line="240" w:lineRule="auto"/>
        <w:ind w:left="0" w:firstLine="567"/>
        <w:jc w:val="both"/>
        <w:rPr>
          <w:rFonts w:asciiTheme="majorBidi" w:hAnsiTheme="majorBidi" w:cstheme="majorBidi"/>
          <w:color w:val="040C28"/>
        </w:rPr>
      </w:pPr>
      <w:r w:rsidRPr="00D21BF7">
        <w:rPr>
          <w:rFonts w:asciiTheme="majorBidi" w:hAnsiTheme="majorBidi" w:cstheme="majorBidi"/>
        </w:rPr>
        <w:lastRenderedPageBreak/>
        <w:t xml:space="preserve">Dalam putusan ini Mahkamah Konstitusi juga memberi pertimbangan bahwa </w:t>
      </w:r>
      <w:proofErr w:type="spellStart"/>
      <w:r w:rsidRPr="00D21BF7">
        <w:rPr>
          <w:rFonts w:asciiTheme="majorBidi" w:hAnsiTheme="majorBidi" w:cstheme="majorBidi"/>
        </w:rPr>
        <w:t>independensi</w:t>
      </w:r>
      <w:proofErr w:type="spellEnd"/>
      <w:r w:rsidRPr="00D21BF7">
        <w:rPr>
          <w:rFonts w:asciiTheme="majorBidi" w:hAnsiTheme="majorBidi" w:cstheme="majorBidi"/>
        </w:rPr>
        <w:t xml:space="preserve"> atau kemerdekaan hakim bukan merupakan </w:t>
      </w:r>
      <w:proofErr w:type="spellStart"/>
      <w:r w:rsidRPr="004D3C2B">
        <w:rPr>
          <w:rFonts w:asciiTheme="majorBidi" w:hAnsiTheme="majorBidi" w:cstheme="majorBidi"/>
          <w:i/>
          <w:iCs/>
        </w:rPr>
        <w:t>privilege</w:t>
      </w:r>
      <w:proofErr w:type="spellEnd"/>
      <w:r w:rsidRPr="00D21BF7">
        <w:rPr>
          <w:rFonts w:asciiTheme="majorBidi" w:hAnsiTheme="majorBidi" w:cstheme="majorBidi"/>
        </w:rPr>
        <w:t xml:space="preserve"> atau hak istimewa hakim melainkan merupakan hak yang melekat (</w:t>
      </w:r>
      <w:proofErr w:type="spellStart"/>
      <w:r w:rsidRPr="00D21BF7">
        <w:rPr>
          <w:rFonts w:asciiTheme="majorBidi" w:hAnsiTheme="majorBidi" w:cstheme="majorBidi"/>
          <w:i/>
          <w:iCs/>
        </w:rPr>
        <w:t>indispensable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right</w:t>
      </w:r>
      <w:proofErr w:type="spellEnd"/>
      <w:r w:rsidRPr="00D21BF7">
        <w:rPr>
          <w:rFonts w:asciiTheme="majorBidi" w:hAnsiTheme="majorBidi" w:cstheme="majorBidi"/>
          <w:i/>
          <w:iCs/>
        </w:rPr>
        <w:t xml:space="preserve"> atau </w:t>
      </w:r>
      <w:proofErr w:type="spellStart"/>
      <w:r w:rsidRPr="00D21BF7">
        <w:rPr>
          <w:rFonts w:asciiTheme="majorBidi" w:hAnsiTheme="majorBidi" w:cstheme="majorBidi"/>
          <w:i/>
          <w:iCs/>
        </w:rPr>
        <w:t>inherent</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right</w:t>
      </w:r>
      <w:proofErr w:type="spellEnd"/>
      <w:r w:rsidRPr="00D21BF7">
        <w:rPr>
          <w:rFonts w:asciiTheme="majorBidi" w:hAnsiTheme="majorBidi" w:cstheme="majorBidi"/>
        </w:rPr>
        <w:t>) pada hakim dalam rangka menjamin pemenuhan hak asasi dari warga negara untuk memperoleh peradilan yang bebas dan tidak berpihak (</w:t>
      </w:r>
      <w:proofErr w:type="spellStart"/>
      <w:r w:rsidRPr="00D21BF7">
        <w:rPr>
          <w:rFonts w:asciiTheme="majorBidi" w:hAnsiTheme="majorBidi" w:cstheme="majorBidi"/>
          <w:i/>
          <w:iCs/>
        </w:rPr>
        <w:t>fair</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trial</w:t>
      </w:r>
      <w:proofErr w:type="spellEnd"/>
      <w:r w:rsidRPr="00D21BF7">
        <w:rPr>
          <w:rFonts w:asciiTheme="majorBidi" w:hAnsiTheme="majorBidi" w:cstheme="majorBidi"/>
        </w:rPr>
        <w:t>)</w:t>
      </w:r>
      <w:r w:rsidR="00D05A1C" w:rsidRPr="00D21BF7">
        <w:rPr>
          <w:rFonts w:asciiTheme="majorBidi" w:hAnsiTheme="majorBidi" w:cstheme="majorBidi"/>
        </w:rPr>
        <w:t>.</w:t>
      </w:r>
      <w:r w:rsidR="00D05A1C" w:rsidRPr="00D21BF7">
        <w:rPr>
          <w:rStyle w:val="FootnoteReference"/>
          <w:rFonts w:asciiTheme="majorBidi" w:hAnsiTheme="majorBidi" w:cstheme="majorBidi"/>
        </w:rPr>
        <w:footnoteReference w:id="13"/>
      </w:r>
      <w:r w:rsidR="008A09CA" w:rsidRPr="00D21BF7">
        <w:rPr>
          <w:rFonts w:asciiTheme="majorBidi" w:hAnsiTheme="majorBidi" w:cstheme="majorBidi"/>
        </w:rPr>
        <w:t xml:space="preserve"> </w:t>
      </w:r>
      <w:r w:rsidR="00D05A1C" w:rsidRPr="00D21BF7">
        <w:rPr>
          <w:rFonts w:asciiTheme="majorBidi" w:hAnsiTheme="majorBidi" w:cstheme="majorBidi"/>
          <w:color w:val="202124"/>
          <w:shd w:val="clear" w:color="auto" w:fill="FFFFFF"/>
        </w:rPr>
        <w:t>Berdasarkan hal</w:t>
      </w:r>
      <w:r w:rsidR="008A09CA" w:rsidRPr="00D21BF7">
        <w:rPr>
          <w:rFonts w:asciiTheme="majorBidi" w:hAnsiTheme="majorBidi" w:cstheme="majorBidi"/>
          <w:color w:val="202124"/>
          <w:shd w:val="clear" w:color="auto" w:fill="FFFFFF"/>
        </w:rPr>
        <w:t xml:space="preserve"> ini</w:t>
      </w:r>
      <w:r w:rsidR="00D05A1C" w:rsidRPr="00D21BF7">
        <w:rPr>
          <w:rFonts w:asciiTheme="majorBidi" w:hAnsiTheme="majorBidi" w:cstheme="majorBidi"/>
          <w:color w:val="202124"/>
          <w:shd w:val="clear" w:color="auto" w:fill="FFFFFF"/>
        </w:rPr>
        <w:t xml:space="preserve">, filosofi </w:t>
      </w:r>
      <w:proofErr w:type="spellStart"/>
      <w:r w:rsidR="00D05A1C" w:rsidRPr="00D21BF7">
        <w:rPr>
          <w:rFonts w:asciiTheme="majorBidi" w:hAnsiTheme="majorBidi" w:cstheme="majorBidi"/>
          <w:color w:val="202124"/>
          <w:shd w:val="clear" w:color="auto" w:fill="FFFFFF"/>
        </w:rPr>
        <w:t>independensi</w:t>
      </w:r>
      <w:proofErr w:type="spellEnd"/>
      <w:r w:rsidR="00D05A1C" w:rsidRPr="00D21BF7">
        <w:rPr>
          <w:rFonts w:asciiTheme="majorBidi" w:hAnsiTheme="majorBidi" w:cstheme="majorBidi"/>
          <w:color w:val="202124"/>
          <w:shd w:val="clear" w:color="auto" w:fill="FFFFFF"/>
        </w:rPr>
        <w:t xml:space="preserve"> kekuasaan kehakiman di Indonesia adalah </w:t>
      </w:r>
      <w:r w:rsidR="00D05A1C" w:rsidRPr="00D21BF7">
        <w:rPr>
          <w:rFonts w:asciiTheme="majorBidi" w:hAnsiTheme="majorBidi" w:cstheme="majorBidi"/>
          <w:color w:val="040C28"/>
        </w:rPr>
        <w:t>kekuasaan negara yang bebas dari segala bentuk intervensi dari dalam maupun dari luar kekuasaan kehakiman, kecuali atas dasar kekuatan falsafah Pancasila dan UUD 1945.</w:t>
      </w:r>
    </w:p>
    <w:p w14:paraId="0E7E247F" w14:textId="5509FFAC" w:rsidR="00BD3532" w:rsidRPr="00D21BF7" w:rsidRDefault="00BD3532" w:rsidP="00D21BF7">
      <w:pPr>
        <w:pStyle w:val="ListParagraph"/>
        <w:spacing w:after="0" w:line="240" w:lineRule="auto"/>
        <w:ind w:left="0" w:firstLine="567"/>
        <w:jc w:val="both"/>
        <w:rPr>
          <w:rFonts w:asciiTheme="majorBidi" w:hAnsiTheme="majorBidi" w:cstheme="majorBidi"/>
        </w:rPr>
      </w:pPr>
      <w:r w:rsidRPr="00D21BF7">
        <w:rPr>
          <w:rFonts w:asciiTheme="majorBidi" w:hAnsiTheme="majorBidi" w:cstheme="majorBidi"/>
          <w:color w:val="202124"/>
          <w:shd w:val="clear" w:color="auto" w:fill="FFFFFF"/>
        </w:rPr>
        <w:t xml:space="preserve">SEMA yang dikeluarkan oleh MA di atas yang ditujukan untuk keseragaman putusan pengadilan, tentu tidak konsisten dengan </w:t>
      </w:r>
      <w:proofErr w:type="spellStart"/>
      <w:r w:rsidRPr="00D21BF7">
        <w:rPr>
          <w:rFonts w:asciiTheme="majorBidi" w:hAnsiTheme="majorBidi" w:cstheme="majorBidi"/>
          <w:color w:val="202124"/>
          <w:shd w:val="clear" w:color="auto" w:fill="FFFFFF"/>
        </w:rPr>
        <w:t>independesi</w:t>
      </w:r>
      <w:proofErr w:type="spellEnd"/>
      <w:r w:rsidRPr="00D21BF7">
        <w:rPr>
          <w:rFonts w:asciiTheme="majorBidi" w:hAnsiTheme="majorBidi" w:cstheme="majorBidi"/>
          <w:color w:val="202124"/>
          <w:shd w:val="clear" w:color="auto" w:fill="FFFFFF"/>
        </w:rPr>
        <w:t xml:space="preserve"> fungsional hakim dalam mengeluarkan putusan. SEMA di atas dapat dinilai sebagai bentuk </w:t>
      </w:r>
      <w:r w:rsidR="009C65C8" w:rsidRPr="00D21BF7">
        <w:rPr>
          <w:rFonts w:asciiTheme="majorBidi" w:hAnsiTheme="majorBidi" w:cstheme="majorBidi"/>
          <w:color w:val="202124"/>
          <w:shd w:val="clear" w:color="auto" w:fill="FFFFFF"/>
        </w:rPr>
        <w:t>intervensi</w:t>
      </w:r>
      <w:r w:rsidRPr="00D21BF7">
        <w:rPr>
          <w:rFonts w:asciiTheme="majorBidi" w:hAnsiTheme="majorBidi" w:cstheme="majorBidi"/>
          <w:color w:val="202124"/>
          <w:shd w:val="clear" w:color="auto" w:fill="FFFFFF"/>
        </w:rPr>
        <w:t xml:space="preserve"> dari dalam kekuasaan kehakiman itu sendiri</w:t>
      </w:r>
      <w:r w:rsidR="009D64BE" w:rsidRPr="00D21BF7">
        <w:rPr>
          <w:rFonts w:asciiTheme="majorBidi" w:hAnsiTheme="majorBidi" w:cstheme="majorBidi"/>
          <w:color w:val="202124"/>
          <w:shd w:val="clear" w:color="auto" w:fill="FFFFFF"/>
        </w:rPr>
        <w:t xml:space="preserve"> oleh</w:t>
      </w:r>
      <w:r w:rsidR="004D3C2B">
        <w:rPr>
          <w:rFonts w:asciiTheme="majorBidi" w:hAnsiTheme="majorBidi" w:cstheme="majorBidi"/>
          <w:color w:val="202124"/>
          <w:shd w:val="clear" w:color="auto" w:fill="FFFFFF"/>
        </w:rPr>
        <w:t xml:space="preserve"> MA</w:t>
      </w:r>
      <w:r w:rsidRPr="00D21BF7">
        <w:rPr>
          <w:rFonts w:asciiTheme="majorBidi" w:hAnsiTheme="majorBidi" w:cstheme="majorBidi"/>
          <w:color w:val="202124"/>
          <w:shd w:val="clear" w:color="auto" w:fill="FFFFFF"/>
        </w:rPr>
        <w:t>, di mana MA sebagai salah satu pelakunya di samping Mahkamah Konstitusi</w:t>
      </w:r>
      <w:r w:rsidR="009C65C8" w:rsidRPr="00D21BF7">
        <w:rPr>
          <w:rFonts w:asciiTheme="majorBidi" w:hAnsiTheme="majorBidi" w:cstheme="majorBidi"/>
          <w:color w:val="202124"/>
          <w:shd w:val="clear" w:color="auto" w:fill="FFFFFF"/>
        </w:rPr>
        <w:t xml:space="preserve">. SEMA tersebut juga inkonsisten dengan </w:t>
      </w:r>
      <w:r w:rsidR="009C65C8" w:rsidRPr="00D21BF7">
        <w:rPr>
          <w:rFonts w:asciiTheme="majorBidi" w:hAnsiTheme="majorBidi" w:cstheme="majorBidi"/>
        </w:rPr>
        <w:t>Pasal 24 ayat (1) UUD NRI 1945 yang memberikan hak konstitusional kepada hakim untuk secara bebas dalam mengadili suatu perkara termasuk di dalamnya permohonan penetapan pencatatan perkawinan beda agama.</w:t>
      </w:r>
    </w:p>
    <w:p w14:paraId="63095945" w14:textId="48F67B0D" w:rsidR="00C55197" w:rsidRPr="00D21BF7" w:rsidRDefault="0054421E" w:rsidP="00D21BF7">
      <w:pPr>
        <w:pStyle w:val="ListParagraph"/>
        <w:spacing w:after="0" w:line="240" w:lineRule="auto"/>
        <w:ind w:left="0" w:firstLine="567"/>
        <w:jc w:val="both"/>
        <w:rPr>
          <w:rFonts w:asciiTheme="majorBidi" w:hAnsiTheme="majorBidi" w:cstheme="majorBidi"/>
          <w:color w:val="040C28"/>
        </w:rPr>
      </w:pPr>
      <w:r w:rsidRPr="00D21BF7">
        <w:rPr>
          <w:rFonts w:asciiTheme="majorBidi" w:hAnsiTheme="majorBidi" w:cstheme="majorBidi"/>
          <w:color w:val="202124"/>
          <w:shd w:val="clear" w:color="auto" w:fill="FFFFFF"/>
        </w:rPr>
        <w:t xml:space="preserve">MA memang memiliki beberapa tugas dan fungsi yang diberikan oleh </w:t>
      </w:r>
      <w:proofErr w:type="spellStart"/>
      <w:r w:rsidRPr="00D21BF7">
        <w:rPr>
          <w:rFonts w:asciiTheme="majorBidi" w:hAnsiTheme="majorBidi" w:cstheme="majorBidi"/>
          <w:color w:val="202124"/>
          <w:shd w:val="clear" w:color="auto" w:fill="FFFFFF"/>
        </w:rPr>
        <w:t>Undang-Undang</w:t>
      </w:r>
      <w:proofErr w:type="spellEnd"/>
      <w:r w:rsidRPr="00D21BF7">
        <w:rPr>
          <w:rFonts w:asciiTheme="majorBidi" w:hAnsiTheme="majorBidi" w:cstheme="majorBidi"/>
          <w:color w:val="202124"/>
          <w:shd w:val="clear" w:color="auto" w:fill="FFFFFF"/>
        </w:rPr>
        <w:t xml:space="preserve"> Nomor 14 tahun 1985 tentang Mahkamah Agung</w:t>
      </w:r>
      <w:r w:rsidR="00C55197" w:rsidRPr="00D21BF7">
        <w:rPr>
          <w:rFonts w:asciiTheme="majorBidi" w:hAnsiTheme="majorBidi" w:cstheme="majorBidi"/>
          <w:color w:val="202124"/>
          <w:shd w:val="clear" w:color="auto" w:fill="FFFFFF"/>
        </w:rPr>
        <w:t>, salah satunya adalah kewenangan untuk mengatur, yaitu: (a)</w:t>
      </w:r>
      <w:r w:rsidR="00C55197" w:rsidRPr="00D21BF7">
        <w:rPr>
          <w:rFonts w:asciiTheme="majorBidi" w:hAnsiTheme="majorBidi" w:cstheme="majorBidi"/>
          <w:color w:val="111111"/>
        </w:rPr>
        <w:t> Mahkamah Agung dapat mengatur lebih lanjut hal-hal yang diperlukan bagi kelancaran penyelenggaraan peradilan apabila terdapat hal-hal yang belum cukup diatur dalam Undang-undang tentang Mahkamah Agung sebagai pelengkap untuk mengisi kekurangan atau kekosongan hukum yang diperlukan bagi kelancaran penyelenggaraan peradilan, (b) Mahkamah Agung dapat membuat peraturan acara sendiri bilamana dianggap perlu untuk mencukupi hukum acara yang sudah diatur Undang-undang.</w:t>
      </w:r>
    </w:p>
    <w:p w14:paraId="45EE2248" w14:textId="55639D57" w:rsidR="009C65C8" w:rsidRPr="00D21BF7" w:rsidRDefault="009D64BE" w:rsidP="00D21BF7">
      <w:pPr>
        <w:pStyle w:val="ListParagraph"/>
        <w:spacing w:after="0" w:line="240" w:lineRule="auto"/>
        <w:ind w:left="0" w:firstLine="567"/>
        <w:jc w:val="both"/>
        <w:rPr>
          <w:rFonts w:asciiTheme="majorBidi" w:hAnsiTheme="majorBidi" w:cstheme="majorBidi"/>
          <w:color w:val="212529"/>
          <w:shd w:val="clear" w:color="auto" w:fill="FFFFFF"/>
        </w:rPr>
      </w:pPr>
      <w:r w:rsidRPr="00D21BF7">
        <w:rPr>
          <w:rFonts w:asciiTheme="majorBidi" w:hAnsiTheme="majorBidi" w:cstheme="majorBidi"/>
        </w:rPr>
        <w:t>Kewenangan pengaturan yang diberikan kepada MA dengan demikian berkaitan dengan hukum acara bukan hukum materiil. Adapun SEMA yang menjadi obyek bahasan dalam tulisan ini berkaitan dengan hukum materiil, di mana MA seharusnya tidak dapat masuk di dalamnya, terlepas apakah itu</w:t>
      </w:r>
      <w:r w:rsidR="002B766A" w:rsidRPr="00D21BF7">
        <w:rPr>
          <w:rFonts w:asciiTheme="majorBidi" w:hAnsiTheme="majorBidi" w:cstheme="majorBidi"/>
        </w:rPr>
        <w:t xml:space="preserve"> berbentuk</w:t>
      </w:r>
      <w:r w:rsidRPr="00D21BF7">
        <w:rPr>
          <w:rFonts w:asciiTheme="majorBidi" w:hAnsiTheme="majorBidi" w:cstheme="majorBidi"/>
        </w:rPr>
        <w:t xml:space="preserve"> edaran ataupun peraturan. SEMA di atas jelas berkaitan dengan hukum materiil. Hal tersebut dapat dilihat dengan jelas, yaitu: (a) </w:t>
      </w:r>
      <w:r w:rsidR="009C65C8" w:rsidRPr="00D21BF7">
        <w:rPr>
          <w:rFonts w:asciiTheme="majorBidi" w:hAnsiTheme="majorBidi" w:cstheme="majorBidi"/>
          <w:color w:val="212529"/>
          <w:shd w:val="clear" w:color="auto" w:fill="FFFFFF"/>
        </w:rPr>
        <w:t>Perkawinan yang sah adalah yang dilakukan menurut hukum masing-masing agama dan kepercayaan itu, sesuai Pasal 2 ayat 1 dan Pasal 8 huruf f UU Nomor Tahun 1974 tentang Perkawinan</w:t>
      </w:r>
      <w:r w:rsidRPr="00D21BF7">
        <w:rPr>
          <w:rFonts w:asciiTheme="majorBidi" w:hAnsiTheme="majorBidi" w:cstheme="majorBidi"/>
          <w:color w:val="212529"/>
          <w:shd w:val="clear" w:color="auto" w:fill="FFFFFF"/>
        </w:rPr>
        <w:t xml:space="preserve">, dan (b) </w:t>
      </w:r>
      <w:r w:rsidR="009C65C8" w:rsidRPr="00D21BF7">
        <w:rPr>
          <w:rFonts w:asciiTheme="majorBidi" w:hAnsiTheme="majorBidi" w:cstheme="majorBidi"/>
          <w:color w:val="212529"/>
          <w:shd w:val="clear" w:color="auto" w:fill="FFFFFF"/>
        </w:rPr>
        <w:t>Pengadilan tidak mengabulkan permohonan pencatatan perkawinan antar umat beragama yang berbeda agama dan kepercayaan.</w:t>
      </w:r>
    </w:p>
    <w:p w14:paraId="0E45D5D8" w14:textId="15320076" w:rsidR="00310864" w:rsidRPr="00D21BF7" w:rsidRDefault="002B766A" w:rsidP="00D21BF7">
      <w:pPr>
        <w:pStyle w:val="ListParagraph"/>
        <w:spacing w:after="0" w:line="240" w:lineRule="auto"/>
        <w:ind w:left="0" w:firstLine="567"/>
        <w:jc w:val="both"/>
        <w:rPr>
          <w:rFonts w:asciiTheme="majorBidi" w:hAnsiTheme="majorBidi" w:cstheme="majorBidi"/>
        </w:rPr>
      </w:pPr>
      <w:r w:rsidRPr="00D21BF7">
        <w:rPr>
          <w:rFonts w:asciiTheme="majorBidi" w:hAnsiTheme="majorBidi" w:cstheme="majorBidi"/>
        </w:rPr>
        <w:t xml:space="preserve">MA dengan demikian telah melampaui kewenangannya dalam hal pengaturan, </w:t>
      </w:r>
      <w:r w:rsidRPr="00847C0F">
        <w:rPr>
          <w:rFonts w:asciiTheme="majorBidi" w:hAnsiTheme="majorBidi" w:cstheme="majorBidi"/>
          <w:i/>
          <w:iCs/>
        </w:rPr>
        <w:t>pertama</w:t>
      </w:r>
      <w:r w:rsidRPr="00D21BF7">
        <w:rPr>
          <w:rFonts w:asciiTheme="majorBidi" w:hAnsiTheme="majorBidi" w:cstheme="majorBidi"/>
        </w:rPr>
        <w:t xml:space="preserve"> dengan memberikan tafsir terkait tidak sahnya perkawinan beda agama padahal sampai saat ini belum ada aturan yang tegas</w:t>
      </w:r>
      <w:r w:rsidR="00847C0F">
        <w:rPr>
          <w:rFonts w:asciiTheme="majorBidi" w:hAnsiTheme="majorBidi" w:cstheme="majorBidi"/>
        </w:rPr>
        <w:t xml:space="preserve"> terkait dengan larangan perkawinan beda agama</w:t>
      </w:r>
      <w:r w:rsidRPr="00D21BF7">
        <w:rPr>
          <w:rFonts w:asciiTheme="majorBidi" w:hAnsiTheme="majorBidi" w:cstheme="majorBidi"/>
        </w:rPr>
        <w:t xml:space="preserve">, </w:t>
      </w:r>
      <w:r w:rsidRPr="00847C0F">
        <w:rPr>
          <w:rFonts w:asciiTheme="majorBidi" w:hAnsiTheme="majorBidi" w:cstheme="majorBidi"/>
          <w:i/>
          <w:iCs/>
        </w:rPr>
        <w:t>kedua</w:t>
      </w:r>
      <w:r w:rsidRPr="00D21BF7">
        <w:rPr>
          <w:rFonts w:asciiTheme="majorBidi" w:hAnsiTheme="majorBidi" w:cstheme="majorBidi"/>
        </w:rPr>
        <w:t xml:space="preserve"> dengan memerintahkan pengadilan di bawahnya untuk tidak mengabulkan permohonan pencatatan perkawinan antar umat beragama (</w:t>
      </w:r>
      <w:proofErr w:type="spellStart"/>
      <w:r w:rsidRPr="00847C0F">
        <w:rPr>
          <w:rFonts w:asciiTheme="majorBidi" w:hAnsiTheme="majorBidi" w:cstheme="majorBidi"/>
          <w:i/>
          <w:iCs/>
        </w:rPr>
        <w:t>interreligious</w:t>
      </w:r>
      <w:proofErr w:type="spellEnd"/>
      <w:r w:rsidRPr="00847C0F">
        <w:rPr>
          <w:rFonts w:asciiTheme="majorBidi" w:hAnsiTheme="majorBidi" w:cstheme="majorBidi"/>
          <w:i/>
          <w:iCs/>
        </w:rPr>
        <w:t xml:space="preserve"> </w:t>
      </w:r>
      <w:proofErr w:type="spellStart"/>
      <w:r w:rsidRPr="00847C0F">
        <w:rPr>
          <w:rFonts w:asciiTheme="majorBidi" w:hAnsiTheme="majorBidi" w:cstheme="majorBidi"/>
          <w:i/>
          <w:iCs/>
        </w:rPr>
        <w:t>marriage</w:t>
      </w:r>
      <w:proofErr w:type="spellEnd"/>
      <w:r w:rsidRPr="00D21BF7">
        <w:rPr>
          <w:rFonts w:asciiTheme="majorBidi" w:hAnsiTheme="majorBidi" w:cstheme="majorBidi"/>
        </w:rPr>
        <w:t>).</w:t>
      </w:r>
      <w:r w:rsidR="00310864" w:rsidRPr="00D21BF7">
        <w:rPr>
          <w:rFonts w:asciiTheme="majorBidi" w:hAnsiTheme="majorBidi" w:cstheme="majorBidi"/>
        </w:rPr>
        <w:t xml:space="preserve"> Berdasarkan hal ini, maka SEMA di atas tidak memiliki </w:t>
      </w:r>
      <w:proofErr w:type="spellStart"/>
      <w:r w:rsidR="00310864" w:rsidRPr="00D21BF7">
        <w:rPr>
          <w:rFonts w:asciiTheme="majorBidi" w:hAnsiTheme="majorBidi" w:cstheme="majorBidi"/>
          <w:i/>
          <w:iCs/>
        </w:rPr>
        <w:t>legally</w:t>
      </w:r>
      <w:proofErr w:type="spellEnd"/>
      <w:r w:rsidR="00310864" w:rsidRPr="00D21BF7">
        <w:rPr>
          <w:rFonts w:asciiTheme="majorBidi" w:hAnsiTheme="majorBidi" w:cstheme="majorBidi"/>
          <w:i/>
          <w:iCs/>
        </w:rPr>
        <w:t xml:space="preserve"> </w:t>
      </w:r>
      <w:proofErr w:type="spellStart"/>
      <w:r w:rsidR="00310864" w:rsidRPr="00D21BF7">
        <w:rPr>
          <w:rFonts w:asciiTheme="majorBidi" w:hAnsiTheme="majorBidi" w:cstheme="majorBidi"/>
          <w:i/>
          <w:iCs/>
        </w:rPr>
        <w:t>binding</w:t>
      </w:r>
      <w:proofErr w:type="spellEnd"/>
      <w:r w:rsidR="00310864" w:rsidRPr="00D21BF7">
        <w:rPr>
          <w:rFonts w:asciiTheme="majorBidi" w:hAnsiTheme="majorBidi" w:cstheme="majorBidi"/>
        </w:rPr>
        <w:t xml:space="preserve"> maupun </w:t>
      </w:r>
      <w:proofErr w:type="spellStart"/>
      <w:r w:rsidR="00310864" w:rsidRPr="00D21BF7">
        <w:rPr>
          <w:rFonts w:asciiTheme="majorBidi" w:hAnsiTheme="majorBidi" w:cstheme="majorBidi"/>
          <w:i/>
          <w:iCs/>
        </w:rPr>
        <w:t>morally</w:t>
      </w:r>
      <w:proofErr w:type="spellEnd"/>
      <w:r w:rsidR="00310864" w:rsidRPr="00D21BF7">
        <w:rPr>
          <w:rFonts w:asciiTheme="majorBidi" w:hAnsiTheme="majorBidi" w:cstheme="majorBidi"/>
          <w:i/>
          <w:iCs/>
        </w:rPr>
        <w:t xml:space="preserve"> </w:t>
      </w:r>
      <w:proofErr w:type="spellStart"/>
      <w:r w:rsidR="00310864" w:rsidRPr="00D21BF7">
        <w:rPr>
          <w:rFonts w:asciiTheme="majorBidi" w:hAnsiTheme="majorBidi" w:cstheme="majorBidi"/>
          <w:i/>
          <w:iCs/>
        </w:rPr>
        <w:t>binding</w:t>
      </w:r>
      <w:proofErr w:type="spellEnd"/>
      <w:r w:rsidR="00310864" w:rsidRPr="00D21BF7">
        <w:rPr>
          <w:rFonts w:asciiTheme="majorBidi" w:hAnsiTheme="majorBidi" w:cstheme="majorBidi"/>
        </w:rPr>
        <w:t xml:space="preserve"> bagi hakim di bawah MA. Sebab </w:t>
      </w:r>
      <w:r w:rsidRPr="00D21BF7">
        <w:rPr>
          <w:rFonts w:asciiTheme="majorBidi" w:hAnsiTheme="majorBidi" w:cstheme="majorBidi"/>
        </w:rPr>
        <w:t xml:space="preserve">Pasal 5 </w:t>
      </w:r>
      <w:r w:rsidR="00310864" w:rsidRPr="00D21BF7">
        <w:rPr>
          <w:rFonts w:asciiTheme="majorBidi" w:hAnsiTheme="majorBidi" w:cstheme="majorBidi"/>
        </w:rPr>
        <w:t>ayat (</w:t>
      </w:r>
      <w:r w:rsidR="006406EA" w:rsidRPr="00D21BF7">
        <w:rPr>
          <w:rFonts w:asciiTheme="majorBidi" w:hAnsiTheme="majorBidi" w:cstheme="majorBidi"/>
        </w:rPr>
        <w:t xml:space="preserve">1) </w:t>
      </w:r>
      <w:proofErr w:type="spellStart"/>
      <w:r w:rsidRPr="00D21BF7">
        <w:rPr>
          <w:rFonts w:asciiTheme="majorBidi" w:hAnsiTheme="majorBidi" w:cstheme="majorBidi"/>
        </w:rPr>
        <w:t>Undang-Undang</w:t>
      </w:r>
      <w:proofErr w:type="spellEnd"/>
      <w:r w:rsidRPr="00D21BF7">
        <w:rPr>
          <w:rFonts w:asciiTheme="majorBidi" w:hAnsiTheme="majorBidi" w:cstheme="majorBidi"/>
        </w:rPr>
        <w:t xml:space="preserve"> Nomor 48 Tahun 2009 tentang kekuasaan Kehakiman</w:t>
      </w:r>
      <w:r w:rsidR="006406EA" w:rsidRPr="00D21BF7">
        <w:rPr>
          <w:rFonts w:asciiTheme="majorBidi" w:hAnsiTheme="majorBidi" w:cstheme="majorBidi"/>
        </w:rPr>
        <w:t xml:space="preserve">, </w:t>
      </w:r>
      <w:r w:rsidR="00310864" w:rsidRPr="00D21BF7">
        <w:rPr>
          <w:rFonts w:asciiTheme="majorBidi" w:hAnsiTheme="majorBidi" w:cstheme="majorBidi"/>
        </w:rPr>
        <w:t>Hakim dan hakim konstitusi wajib menggali, mengikuti, dan memahami nilai-nilai hukum dan rasa keadilan yang hidup dalam masyarakat.</w:t>
      </w:r>
    </w:p>
    <w:p w14:paraId="2531313F" w14:textId="023305A4" w:rsidR="006406EA" w:rsidRDefault="006406EA" w:rsidP="00D21BF7">
      <w:pPr>
        <w:pStyle w:val="ListParagraph"/>
        <w:spacing w:after="0" w:line="240" w:lineRule="auto"/>
        <w:ind w:left="0" w:firstLine="567"/>
        <w:jc w:val="both"/>
        <w:rPr>
          <w:rFonts w:asciiTheme="majorBidi" w:hAnsiTheme="majorBidi" w:cstheme="majorBidi"/>
          <w:sz w:val="24"/>
          <w:szCs w:val="24"/>
        </w:rPr>
      </w:pPr>
      <w:r w:rsidRPr="00D21BF7">
        <w:rPr>
          <w:rFonts w:asciiTheme="majorBidi" w:hAnsiTheme="majorBidi" w:cstheme="majorBidi"/>
        </w:rPr>
        <w:t xml:space="preserve">Kewajiban untuk menggali nilai-nilai hukum dan keadilan mengisyaratkan bahwa hakim harus mengerahkan kekuatan akal budinya untuk merumuskan keadilan terhadap satu perkara yang ada dasar hukumnya, lebih-lebih terhadap perkara yang tidak ada atau belum jelas dasar hukum. Di sinilah kemampuan ijtihad hakim dipertaruhkan. Sebab dalam sebuah putusan termaktub </w:t>
      </w:r>
      <w:proofErr w:type="spellStart"/>
      <w:r w:rsidRPr="00D21BF7">
        <w:rPr>
          <w:rFonts w:asciiTheme="majorBidi" w:hAnsiTheme="majorBidi" w:cstheme="majorBidi"/>
        </w:rPr>
        <w:t>irah-irah</w:t>
      </w:r>
      <w:proofErr w:type="spellEnd"/>
      <w:r w:rsidRPr="00D21BF7">
        <w:rPr>
          <w:rFonts w:asciiTheme="majorBidi" w:hAnsiTheme="majorBidi" w:cstheme="majorBidi"/>
        </w:rPr>
        <w:t xml:space="preserve"> “ Demi Keadilan Berdasarkan Ketuhanan Yang Maha Esa”</w:t>
      </w:r>
      <w:r w:rsidR="004E2A25" w:rsidRPr="00D21BF7">
        <w:rPr>
          <w:rFonts w:asciiTheme="majorBidi" w:hAnsiTheme="majorBidi" w:cstheme="majorBidi"/>
        </w:rPr>
        <w:t>.</w:t>
      </w:r>
      <w:r w:rsidR="00FB46D7">
        <w:rPr>
          <w:rFonts w:asciiTheme="majorBidi" w:hAnsiTheme="majorBidi" w:cstheme="majorBidi"/>
        </w:rPr>
        <w:t xml:space="preserve"> Dengan </w:t>
      </w:r>
      <w:proofErr w:type="spellStart"/>
      <w:r w:rsidR="00FB46D7">
        <w:rPr>
          <w:rFonts w:asciiTheme="majorBidi" w:hAnsiTheme="majorBidi" w:cstheme="majorBidi"/>
        </w:rPr>
        <w:t>irah-irah</w:t>
      </w:r>
      <w:proofErr w:type="spellEnd"/>
      <w:r w:rsidR="00FB46D7">
        <w:rPr>
          <w:rFonts w:asciiTheme="majorBidi" w:hAnsiTheme="majorBidi" w:cstheme="majorBidi"/>
        </w:rPr>
        <w:t xml:space="preserve"> ini, keadilan merupakan nilai ketuhanan. </w:t>
      </w:r>
      <w:r w:rsidR="00283A23">
        <w:rPr>
          <w:rFonts w:asciiTheme="majorBidi" w:hAnsiTheme="majorBidi" w:cstheme="majorBidi"/>
        </w:rPr>
        <w:t xml:space="preserve">Karena keadilan adalah sukma hukum. Hukum tanpa keadilan identik </w:t>
      </w:r>
      <w:proofErr w:type="spellStart"/>
      <w:r w:rsidR="00283A23">
        <w:rPr>
          <w:rFonts w:asciiTheme="majorBidi" w:hAnsiTheme="majorBidi" w:cstheme="majorBidi"/>
        </w:rPr>
        <w:t>zombie</w:t>
      </w:r>
      <w:proofErr w:type="spellEnd"/>
      <w:r w:rsidR="00283A23">
        <w:rPr>
          <w:rFonts w:asciiTheme="majorBidi" w:hAnsiTheme="majorBidi" w:cstheme="majorBidi"/>
        </w:rPr>
        <w:t>. Mayat hidup, ada jasadnya, gentayangan, tetapi tanpa roh.</w:t>
      </w:r>
    </w:p>
    <w:p w14:paraId="7B3CED44" w14:textId="2AF644BB" w:rsidR="00BB6B12" w:rsidRPr="00F6627D" w:rsidRDefault="00D21BF7" w:rsidP="00D21BF7">
      <w:pPr>
        <w:pStyle w:val="ListParagraph"/>
        <w:numPr>
          <w:ilvl w:val="1"/>
          <w:numId w:val="19"/>
        </w:numPr>
        <w:spacing w:after="0" w:line="240" w:lineRule="auto"/>
        <w:ind w:left="567" w:hanging="567"/>
        <w:jc w:val="both"/>
        <w:rPr>
          <w:rFonts w:asciiTheme="majorBidi" w:hAnsiTheme="majorBidi" w:cstheme="majorBidi"/>
          <w:b/>
          <w:bCs/>
        </w:rPr>
      </w:pPr>
      <w:r w:rsidRPr="00F6627D">
        <w:rPr>
          <w:rFonts w:asciiTheme="majorBidi" w:hAnsiTheme="majorBidi" w:cstheme="majorBidi"/>
          <w:b/>
          <w:bCs/>
        </w:rPr>
        <w:lastRenderedPageBreak/>
        <w:t xml:space="preserve">Dampaknya SEMA Bagi </w:t>
      </w:r>
      <w:r w:rsidR="00BB6B12" w:rsidRPr="00F6627D">
        <w:rPr>
          <w:rFonts w:asciiTheme="majorBidi" w:hAnsiTheme="majorBidi" w:cstheme="majorBidi"/>
          <w:b/>
          <w:bCs/>
        </w:rPr>
        <w:t>Hak Konstitusional</w:t>
      </w:r>
      <w:r w:rsidR="00CC72CA" w:rsidRPr="00F6627D">
        <w:rPr>
          <w:rFonts w:asciiTheme="majorBidi" w:hAnsiTheme="majorBidi" w:cstheme="majorBidi"/>
          <w:b/>
          <w:bCs/>
        </w:rPr>
        <w:t xml:space="preserve"> Bagi Pelaku </w:t>
      </w:r>
      <w:r w:rsidR="00080845" w:rsidRPr="00F6627D">
        <w:rPr>
          <w:rFonts w:asciiTheme="majorBidi" w:hAnsiTheme="majorBidi" w:cstheme="majorBidi"/>
          <w:b/>
          <w:bCs/>
        </w:rPr>
        <w:t>Perkawinan</w:t>
      </w:r>
      <w:r w:rsidR="005C368C" w:rsidRPr="00F6627D">
        <w:rPr>
          <w:rFonts w:asciiTheme="majorBidi" w:hAnsiTheme="majorBidi" w:cstheme="majorBidi"/>
          <w:b/>
          <w:bCs/>
        </w:rPr>
        <w:t xml:space="preserve"> Beda Agama (</w:t>
      </w:r>
      <w:proofErr w:type="spellStart"/>
      <w:r w:rsidR="00CC72CA" w:rsidRPr="00F6627D">
        <w:rPr>
          <w:rFonts w:asciiTheme="majorBidi" w:hAnsiTheme="majorBidi" w:cstheme="majorBidi"/>
          <w:b/>
          <w:bCs/>
          <w:i/>
          <w:iCs/>
        </w:rPr>
        <w:t>Interreligious</w:t>
      </w:r>
      <w:proofErr w:type="spellEnd"/>
      <w:r w:rsidR="00CC72CA" w:rsidRPr="00F6627D">
        <w:rPr>
          <w:rFonts w:asciiTheme="majorBidi" w:hAnsiTheme="majorBidi" w:cstheme="majorBidi"/>
          <w:b/>
          <w:bCs/>
          <w:i/>
          <w:iCs/>
        </w:rPr>
        <w:t xml:space="preserve"> </w:t>
      </w:r>
      <w:proofErr w:type="spellStart"/>
      <w:r w:rsidR="00CC72CA" w:rsidRPr="00F6627D">
        <w:rPr>
          <w:rFonts w:asciiTheme="majorBidi" w:hAnsiTheme="majorBidi" w:cstheme="majorBidi"/>
          <w:b/>
          <w:bCs/>
          <w:i/>
          <w:iCs/>
        </w:rPr>
        <w:t>Marriage</w:t>
      </w:r>
      <w:proofErr w:type="spellEnd"/>
      <w:r w:rsidR="005C368C" w:rsidRPr="00F6627D">
        <w:rPr>
          <w:rFonts w:asciiTheme="majorBidi" w:hAnsiTheme="majorBidi" w:cstheme="majorBidi"/>
          <w:b/>
          <w:bCs/>
        </w:rPr>
        <w:t>)</w:t>
      </w:r>
      <w:r w:rsidR="00F6627D" w:rsidRPr="00F6627D">
        <w:rPr>
          <w:rFonts w:asciiTheme="majorBidi" w:hAnsiTheme="majorBidi" w:cstheme="majorBidi"/>
          <w:b/>
          <w:bCs/>
        </w:rPr>
        <w:t>.</w:t>
      </w:r>
    </w:p>
    <w:p w14:paraId="75EBEE21" w14:textId="517547FE" w:rsidR="00A047C5" w:rsidRPr="00D21BF7" w:rsidRDefault="00A047C5" w:rsidP="00D21BF7">
      <w:pPr>
        <w:spacing w:after="0" w:line="240" w:lineRule="auto"/>
        <w:ind w:firstLine="567"/>
        <w:jc w:val="both"/>
        <w:rPr>
          <w:rFonts w:asciiTheme="majorBidi" w:hAnsiTheme="majorBidi" w:cstheme="majorBidi"/>
        </w:rPr>
      </w:pPr>
      <w:r w:rsidRPr="00D21BF7">
        <w:rPr>
          <w:rFonts w:asciiTheme="majorBidi" w:hAnsiTheme="majorBidi" w:cstheme="majorBidi"/>
        </w:rPr>
        <w:t>Kata “konstitusi”</w:t>
      </w:r>
      <w:r w:rsidRPr="00D21BF7">
        <w:rPr>
          <w:rStyle w:val="FootnoteReference"/>
          <w:rFonts w:asciiTheme="majorBidi" w:hAnsiTheme="majorBidi" w:cstheme="majorBidi"/>
        </w:rPr>
        <w:footnoteReference w:id="14"/>
      </w:r>
      <w:r w:rsidRPr="00D21BF7">
        <w:rPr>
          <w:rFonts w:asciiTheme="majorBidi" w:hAnsiTheme="majorBidi" w:cstheme="majorBidi"/>
        </w:rPr>
        <w:t xml:space="preserve"> telah didefinisikan sebagai hukum fundamental dan organik suatu bangsa atau negara yang menetapkan lembaga dan aparatur pemerintah, mendefinisikan ruang lingkup kekuasaan kedaulatan pemerintah dan menjamin hak-hak sipil individu dan kebebasan sipil.</w:t>
      </w:r>
      <w:r w:rsidRPr="00D21BF7">
        <w:rPr>
          <w:rStyle w:val="FootnoteReference"/>
          <w:rFonts w:asciiTheme="majorBidi" w:hAnsiTheme="majorBidi" w:cstheme="majorBidi"/>
        </w:rPr>
        <w:footnoteReference w:id="15"/>
      </w:r>
      <w:r w:rsidRPr="00D21BF7">
        <w:rPr>
          <w:rFonts w:asciiTheme="majorBidi" w:hAnsiTheme="majorBidi" w:cstheme="majorBidi"/>
        </w:rPr>
        <w:t xml:space="preserve"> Oleh karena itu, hak konstitusional adalah hak-hak yang dijamin oleh Konstitusi. Jaminan hak konstitusional adalah yang tertinggi dan tidak dapat dibatalkan oleh eksekutif atau legislatif kecuali konstitusi diamendemen,</w:t>
      </w:r>
      <w:r w:rsidRPr="00D21BF7">
        <w:rPr>
          <w:rFonts w:asciiTheme="majorBidi" w:hAnsiTheme="majorBidi" w:cstheme="majorBidi"/>
          <w:vertAlign w:val="superscript"/>
        </w:rPr>
        <w:footnoteReference w:id="16"/>
      </w:r>
      <w:r w:rsidRPr="00D21BF7">
        <w:rPr>
          <w:rFonts w:asciiTheme="majorBidi" w:hAnsiTheme="majorBidi" w:cstheme="majorBidi"/>
        </w:rPr>
        <w:t xml:space="preserve"> yang sekali lagi bukanlah tugas yang mudah. </w:t>
      </w:r>
    </w:p>
    <w:p w14:paraId="192C5D73" w14:textId="52CCD9BD" w:rsidR="00FC01E3" w:rsidRPr="00D21BF7" w:rsidRDefault="00FC01E3" w:rsidP="00D21BF7">
      <w:pPr>
        <w:spacing w:after="0" w:line="240" w:lineRule="auto"/>
        <w:ind w:firstLine="567"/>
        <w:jc w:val="both"/>
        <w:rPr>
          <w:rFonts w:asciiTheme="majorBidi" w:hAnsiTheme="majorBidi" w:cstheme="majorBidi"/>
        </w:rPr>
      </w:pPr>
      <w:r w:rsidRPr="00D21BF7">
        <w:rPr>
          <w:rFonts w:asciiTheme="majorBidi" w:hAnsiTheme="majorBidi" w:cstheme="majorBidi"/>
        </w:rPr>
        <w:t>Bagian dari perlindungan hak-hak konstitusional adalah perlindungan terhadap hak-hak fundamental yang dijamin oleh konstitusi. Dalam UUD 1945, hak konstitusional warga negara mencakup hak untuk hidup, berkeluarga, melanjutkan keturunan, memperoleh keadilan, hak kebebasan pribadi, hak atas rasa aman, hak kesejahteraan, hak serta dalam pemerintahan, hak perempuan, dan hak anak, hak atas perlindungan, hak atas kepastian hukum. Sebagai negara hukum, Indonesia harus menjaga dan melindungi hak-hak warga negaranya. UUD 1945 menetapkan hak-hak dasar warga negara, yang dikenal sebagai hak konstitusional.</w:t>
      </w:r>
    </w:p>
    <w:p w14:paraId="26C0D8D8" w14:textId="57993CAE" w:rsidR="000A1A2E" w:rsidRPr="00D21BF7" w:rsidRDefault="00FC01E3" w:rsidP="00D21BF7">
      <w:pPr>
        <w:spacing w:after="0" w:line="240" w:lineRule="auto"/>
        <w:ind w:firstLine="567"/>
        <w:jc w:val="both"/>
        <w:rPr>
          <w:rFonts w:asciiTheme="majorBidi" w:hAnsiTheme="majorBidi" w:cstheme="majorBidi"/>
        </w:rPr>
      </w:pPr>
      <w:r w:rsidRPr="00D21BF7">
        <w:rPr>
          <w:rFonts w:asciiTheme="majorBidi" w:hAnsiTheme="majorBidi" w:cstheme="majorBidi"/>
        </w:rPr>
        <w:t>Walaupun dalam UUD 1945 tidak didefinisikan apa yang dimaksud dengan hak konstitusional, akan tetapi UU No. 24 Tahun 2003 jo. UU No. 8 tahun 2011 tentang Mahkamah Konstitusi mendefinisikan hak konstitusional sebagai hak-hak yang diatur dalam UUD 1945. Berikut adalah beberapa ciri hak-hak konstitusional, yaitu:</w:t>
      </w:r>
      <w:r w:rsidR="000A1A2E" w:rsidRPr="00D21BF7">
        <w:rPr>
          <w:rStyle w:val="FootnoteReference"/>
          <w:rFonts w:asciiTheme="majorBidi" w:hAnsiTheme="majorBidi" w:cstheme="majorBidi"/>
        </w:rPr>
        <w:footnoteReference w:id="17"/>
      </w:r>
      <w:r w:rsidRPr="00D21BF7">
        <w:rPr>
          <w:rFonts w:asciiTheme="majorBidi" w:hAnsiTheme="majorBidi" w:cstheme="majorBidi"/>
        </w:rPr>
        <w:t xml:space="preserve"> (a) Memiliki sifat fundamental karena menjadi bagian dari konstitusi tertulis, yang merupakan hukum fundamental, dan dijamin olehnya</w:t>
      </w:r>
      <w:r w:rsidR="000A1A2E" w:rsidRPr="00D21BF7">
        <w:rPr>
          <w:rFonts w:asciiTheme="majorBidi" w:hAnsiTheme="majorBidi" w:cstheme="majorBidi"/>
        </w:rPr>
        <w:t>, (b) s</w:t>
      </w:r>
      <w:r w:rsidRPr="00D21BF7">
        <w:rPr>
          <w:rFonts w:asciiTheme="majorBidi" w:hAnsiTheme="majorBidi" w:cstheme="majorBidi"/>
        </w:rPr>
        <w:t>eluruh cabang kekuasaan negara, baik legislatif, eksekutif maupun yudikatif, harus menghormati hak konstitusional</w:t>
      </w:r>
      <w:r w:rsidR="000A1A2E" w:rsidRPr="00D21BF7">
        <w:rPr>
          <w:rFonts w:asciiTheme="majorBidi" w:hAnsiTheme="majorBidi" w:cstheme="majorBidi"/>
        </w:rPr>
        <w:t>, (c) p</w:t>
      </w:r>
      <w:r w:rsidRPr="00D21BF7">
        <w:rPr>
          <w:rFonts w:asciiTheme="majorBidi" w:hAnsiTheme="majorBidi" w:cstheme="majorBidi"/>
        </w:rPr>
        <w:t>engadilan harus membatalkan tindakan organ negara yang bertentangan dengan atau melanggar hak konstitusi itu</w:t>
      </w:r>
      <w:r w:rsidR="000A1A2E" w:rsidRPr="00D21BF7">
        <w:rPr>
          <w:rFonts w:asciiTheme="majorBidi" w:hAnsiTheme="majorBidi" w:cstheme="majorBidi"/>
        </w:rPr>
        <w:t>, (d) p</w:t>
      </w:r>
      <w:r w:rsidRPr="00D21BF7">
        <w:rPr>
          <w:rFonts w:asciiTheme="majorBidi" w:hAnsiTheme="majorBidi" w:cstheme="majorBidi"/>
        </w:rPr>
        <w:t>erlindungan hak konstitusional hanya diberikan oleh konstitusi terhadap perbuatan atau pelanggaran oleh negara, bukan terhadap perbuatan atau pelanggaran oleh orang lain.</w:t>
      </w:r>
      <w:r w:rsidR="000A1A2E" w:rsidRPr="00D21BF7">
        <w:rPr>
          <w:rFonts w:asciiTheme="majorBidi" w:hAnsiTheme="majorBidi" w:cstheme="majorBidi"/>
        </w:rPr>
        <w:t xml:space="preserve"> Perlindungan terhadap hak-hak konstitusional adalah salah satu cara untuk menjamin hak-hak fundamental yang dijamin oleh konstitusi. </w:t>
      </w:r>
    </w:p>
    <w:p w14:paraId="08D510A7" w14:textId="0D3D4BFF" w:rsidR="00253ABE" w:rsidRPr="00D21BF7" w:rsidRDefault="00253ABE" w:rsidP="00D21BF7">
      <w:pPr>
        <w:spacing w:after="0" w:line="240" w:lineRule="auto"/>
        <w:ind w:firstLine="567"/>
        <w:jc w:val="both"/>
        <w:rPr>
          <w:rFonts w:asciiTheme="majorBidi" w:hAnsiTheme="majorBidi" w:cstheme="majorBidi"/>
        </w:rPr>
      </w:pPr>
      <w:r w:rsidRPr="00D21BF7">
        <w:rPr>
          <w:rFonts w:asciiTheme="majorBidi" w:hAnsiTheme="majorBidi" w:cstheme="majorBidi"/>
        </w:rPr>
        <w:t xml:space="preserve">Sebagaimana tercantum dalam </w:t>
      </w:r>
      <w:r w:rsidR="00283A23">
        <w:rPr>
          <w:rFonts w:asciiTheme="majorBidi" w:hAnsiTheme="majorBidi" w:cstheme="majorBidi"/>
        </w:rPr>
        <w:t>UUD</w:t>
      </w:r>
      <w:r w:rsidRPr="00D21BF7">
        <w:rPr>
          <w:rFonts w:asciiTheme="majorBidi" w:hAnsiTheme="majorBidi" w:cstheme="majorBidi"/>
        </w:rPr>
        <w:t xml:space="preserve"> 1945, perkawinan merupakan salah satu bentuk hak konstitusional warga negara yang wajib dihormati dan dilindungi oleh setiap orang dalam tertib kehidupan bermasyarakat, berbangsa, dan bernegara. Seperti yang dinyatakan secara tegas dalam Pasal 28B ayat (1) bahwa “Setiap orang berhak membentuk keluarga dan melanjutkan keturunan melalui perkawinan yang sah” dan Pasal 28J ayat (1) bahwa “Setiap orang wajib menghormati hak asasi manusia orang lain dalam tertib kehidupan bermasyarakat, berbangsa, dan bernegara”.</w:t>
      </w:r>
    </w:p>
    <w:p w14:paraId="2A2A665A" w14:textId="068609BA" w:rsidR="0056583A" w:rsidRPr="00D21BF7" w:rsidRDefault="008E0235" w:rsidP="00D21BF7">
      <w:pPr>
        <w:spacing w:after="0" w:line="240" w:lineRule="auto"/>
        <w:ind w:firstLine="567"/>
        <w:jc w:val="both"/>
        <w:rPr>
          <w:rFonts w:asciiTheme="majorBidi" w:hAnsiTheme="majorBidi" w:cstheme="majorBidi"/>
        </w:rPr>
      </w:pPr>
      <w:r w:rsidRPr="00D21BF7">
        <w:rPr>
          <w:rFonts w:asciiTheme="majorBidi" w:hAnsiTheme="majorBidi" w:cstheme="majorBidi"/>
        </w:rPr>
        <w:t>Mengeksplorasi</w:t>
      </w:r>
      <w:r w:rsidR="00A047C5" w:rsidRPr="00D21BF7">
        <w:rPr>
          <w:rFonts w:asciiTheme="majorBidi" w:hAnsiTheme="majorBidi" w:cstheme="majorBidi"/>
        </w:rPr>
        <w:t xml:space="preserve"> dampak SEMA terhadap hak konstitusional pelaku perkawinan beda agama dapat dilihat dari </w:t>
      </w:r>
      <w:r w:rsidR="00283A23">
        <w:rPr>
          <w:rFonts w:asciiTheme="majorBidi" w:hAnsiTheme="majorBidi" w:cstheme="majorBidi"/>
        </w:rPr>
        <w:t>implikasi</w:t>
      </w:r>
      <w:r w:rsidR="00A047C5" w:rsidRPr="00D21BF7">
        <w:rPr>
          <w:rFonts w:asciiTheme="majorBidi" w:hAnsiTheme="majorBidi" w:cstheme="majorBidi"/>
        </w:rPr>
        <w:t xml:space="preserve"> tidak tercatatnya perkawinan tersebut </w:t>
      </w:r>
      <w:r w:rsidRPr="00D21BF7">
        <w:rPr>
          <w:rFonts w:asciiTheme="majorBidi" w:hAnsiTheme="majorBidi" w:cstheme="majorBidi"/>
        </w:rPr>
        <w:t>di catatan</w:t>
      </w:r>
      <w:r w:rsidR="00A047C5" w:rsidRPr="00D21BF7">
        <w:rPr>
          <w:rFonts w:asciiTheme="majorBidi" w:hAnsiTheme="majorBidi" w:cstheme="majorBidi"/>
        </w:rPr>
        <w:t xml:space="preserve"> sipil. </w:t>
      </w:r>
      <w:r w:rsidR="0056583A" w:rsidRPr="00D21BF7">
        <w:rPr>
          <w:rFonts w:asciiTheme="majorBidi" w:hAnsiTheme="majorBidi" w:cstheme="majorBidi"/>
        </w:rPr>
        <w:t>Pencatatan perkawinan pada dasarnya dilakukan untuk melindungi pihak-pihak dalam perkawinan.</w:t>
      </w:r>
      <w:r w:rsidR="005B6B00" w:rsidRPr="00D21BF7">
        <w:rPr>
          <w:rFonts w:asciiTheme="majorBidi" w:hAnsiTheme="majorBidi" w:cstheme="majorBidi"/>
        </w:rPr>
        <w:t xml:space="preserve"> </w:t>
      </w:r>
      <w:r w:rsidR="0056583A" w:rsidRPr="00D21BF7">
        <w:rPr>
          <w:rFonts w:asciiTheme="majorBidi" w:hAnsiTheme="majorBidi" w:cstheme="majorBidi"/>
        </w:rPr>
        <w:t xml:space="preserve">Melindungi wanita dan anak-anak adalah tujuan utama pencatatan perkawinan, selain untuk kelancaran administrasi. Syarat pencatatan perkawinan dapat dikaitkan dengan dua konteks utama: (i) mencegah dan (ii) melindungi wanita dan anak-anak dari perkawinan yang dilakukan dengan cara yang tidak sesuai dengan kebutuhan. </w:t>
      </w:r>
    </w:p>
    <w:p w14:paraId="1302BC4F" w14:textId="30A31629" w:rsidR="009428BD" w:rsidRPr="00D21BF7" w:rsidRDefault="009428BD" w:rsidP="00D21BF7">
      <w:pPr>
        <w:spacing w:after="0" w:line="240" w:lineRule="auto"/>
        <w:ind w:firstLine="567"/>
        <w:jc w:val="both"/>
        <w:rPr>
          <w:rFonts w:asciiTheme="majorBidi" w:hAnsiTheme="majorBidi" w:cstheme="majorBidi"/>
        </w:rPr>
      </w:pPr>
      <w:r w:rsidRPr="00D21BF7">
        <w:rPr>
          <w:rFonts w:asciiTheme="majorBidi" w:hAnsiTheme="majorBidi" w:cstheme="majorBidi"/>
        </w:rPr>
        <w:lastRenderedPageBreak/>
        <w:t xml:space="preserve">Dalam Al-Quran, perkawinan, ikatan lahir batin antara seorang pria dan wanita, disebutkan sebagai </w:t>
      </w:r>
      <w:proofErr w:type="spellStart"/>
      <w:r w:rsidRPr="00D21BF7">
        <w:rPr>
          <w:rFonts w:asciiTheme="majorBidi" w:hAnsiTheme="majorBidi" w:cstheme="majorBidi"/>
          <w:i/>
          <w:iCs/>
        </w:rPr>
        <w:t>mitsaqan</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ghalidzan</w:t>
      </w:r>
      <w:proofErr w:type="spellEnd"/>
      <w:r w:rsidRPr="00D21BF7">
        <w:rPr>
          <w:rFonts w:asciiTheme="majorBidi" w:hAnsiTheme="majorBidi" w:cstheme="majorBidi"/>
        </w:rPr>
        <w:t xml:space="preserve"> dengan tujuan untuk membina keluarga sakinah, </w:t>
      </w:r>
      <w:proofErr w:type="spellStart"/>
      <w:r w:rsidRPr="00D21BF7">
        <w:rPr>
          <w:rFonts w:asciiTheme="majorBidi" w:hAnsiTheme="majorBidi" w:cstheme="majorBidi"/>
        </w:rPr>
        <w:t>mawaddah</w:t>
      </w:r>
      <w:proofErr w:type="spellEnd"/>
      <w:r w:rsidRPr="00D21BF7">
        <w:rPr>
          <w:rFonts w:asciiTheme="majorBidi" w:hAnsiTheme="majorBidi" w:cstheme="majorBidi"/>
        </w:rPr>
        <w:t xml:space="preserve"> </w:t>
      </w:r>
      <w:proofErr w:type="spellStart"/>
      <w:r w:rsidRPr="00D21BF7">
        <w:rPr>
          <w:rFonts w:asciiTheme="majorBidi" w:hAnsiTheme="majorBidi" w:cstheme="majorBidi"/>
        </w:rPr>
        <w:t>wa</w:t>
      </w:r>
      <w:proofErr w:type="spellEnd"/>
      <w:r w:rsidRPr="00D21BF7">
        <w:rPr>
          <w:rFonts w:asciiTheme="majorBidi" w:hAnsiTheme="majorBidi" w:cstheme="majorBidi"/>
        </w:rPr>
        <w:t xml:space="preserve"> </w:t>
      </w:r>
      <w:proofErr w:type="spellStart"/>
      <w:r w:rsidRPr="00D21BF7">
        <w:rPr>
          <w:rFonts w:asciiTheme="majorBidi" w:hAnsiTheme="majorBidi" w:cstheme="majorBidi"/>
        </w:rPr>
        <w:t>rahmah</w:t>
      </w:r>
      <w:proofErr w:type="spellEnd"/>
      <w:r w:rsidR="00283A23">
        <w:rPr>
          <w:rFonts w:asciiTheme="majorBidi" w:hAnsiTheme="majorBidi" w:cstheme="majorBidi"/>
        </w:rPr>
        <w:t xml:space="preserve"> (samara)</w:t>
      </w:r>
      <w:r w:rsidRPr="00D21BF7">
        <w:rPr>
          <w:rFonts w:asciiTheme="majorBidi" w:hAnsiTheme="majorBidi" w:cstheme="majorBidi"/>
        </w:rPr>
        <w:t xml:space="preserve">. Namun, apabila tidak dicatat, perkawinan ini memiliki banyak efek negatif, terutama dalam hal kepastian hukum dan perlindungan bagi istri dan anak yang dilahirkan darinya. Dengan kata lain, perempuan dan anak tidak dilindungi secara hukum dan dirugikan. Ulama tafsir terkenal Indonesia M. </w:t>
      </w:r>
      <w:proofErr w:type="spellStart"/>
      <w:r w:rsidRPr="00D21BF7">
        <w:rPr>
          <w:rFonts w:asciiTheme="majorBidi" w:hAnsiTheme="majorBidi" w:cstheme="majorBidi"/>
        </w:rPr>
        <w:t>Quraish</w:t>
      </w:r>
      <w:proofErr w:type="spellEnd"/>
      <w:r w:rsidRPr="00D21BF7">
        <w:rPr>
          <w:rFonts w:asciiTheme="majorBidi" w:hAnsiTheme="majorBidi" w:cstheme="majorBidi"/>
        </w:rPr>
        <w:t xml:space="preserve"> </w:t>
      </w:r>
      <w:proofErr w:type="spellStart"/>
      <w:r w:rsidRPr="00D21BF7">
        <w:rPr>
          <w:rFonts w:asciiTheme="majorBidi" w:hAnsiTheme="majorBidi" w:cstheme="majorBidi"/>
        </w:rPr>
        <w:t>Shihab</w:t>
      </w:r>
      <w:proofErr w:type="spellEnd"/>
      <w:r w:rsidRPr="00D21BF7">
        <w:rPr>
          <w:rFonts w:asciiTheme="majorBidi" w:hAnsiTheme="majorBidi" w:cstheme="majorBidi"/>
        </w:rPr>
        <w:t xml:space="preserve"> berpendapat bahwa perkawinan yang tidak dicatat merupakan pelecehan terhadap perempuan karena menghilangkan hak-haknya dan bertentangan dengan aspek penghormatan hak asasi manusia, terutama merugikan perempuan.</w:t>
      </w:r>
      <w:r w:rsidR="00E556C9" w:rsidRPr="00D21BF7">
        <w:rPr>
          <w:rStyle w:val="FootnoteReference"/>
          <w:rFonts w:asciiTheme="majorBidi" w:hAnsiTheme="majorBidi" w:cstheme="majorBidi"/>
        </w:rPr>
        <w:footnoteReference w:id="18"/>
      </w:r>
    </w:p>
    <w:p w14:paraId="48F3E138" w14:textId="690F6BAE" w:rsidR="00312A7F" w:rsidRPr="00D21BF7" w:rsidRDefault="00312A7F" w:rsidP="00D21BF7">
      <w:pPr>
        <w:spacing w:after="0" w:line="240" w:lineRule="auto"/>
        <w:ind w:firstLine="567"/>
        <w:jc w:val="both"/>
        <w:rPr>
          <w:rFonts w:asciiTheme="majorBidi" w:hAnsiTheme="majorBidi" w:cstheme="majorBidi"/>
        </w:rPr>
      </w:pPr>
      <w:r w:rsidRPr="00D21BF7">
        <w:rPr>
          <w:rFonts w:asciiTheme="majorBidi" w:hAnsiTheme="majorBidi" w:cstheme="majorBidi"/>
        </w:rPr>
        <w:t xml:space="preserve">Beberapa ahli hukum Islam setuju bahwa pencatatan perkawinan adalah </w:t>
      </w:r>
      <w:proofErr w:type="spellStart"/>
      <w:r w:rsidRPr="00D21BF7">
        <w:rPr>
          <w:rFonts w:asciiTheme="majorBidi" w:hAnsiTheme="majorBidi" w:cstheme="majorBidi"/>
        </w:rPr>
        <w:t>dharuriyyah</w:t>
      </w:r>
      <w:proofErr w:type="spellEnd"/>
      <w:r w:rsidR="00253ABE" w:rsidRPr="00D21BF7">
        <w:rPr>
          <w:rFonts w:asciiTheme="majorBidi" w:hAnsiTheme="majorBidi" w:cstheme="majorBidi"/>
        </w:rPr>
        <w:t xml:space="preserve"> (primer).</w:t>
      </w:r>
      <w:r w:rsidR="00253ABE" w:rsidRPr="00D21BF7">
        <w:rPr>
          <w:rStyle w:val="FootnoteReference"/>
          <w:rFonts w:asciiTheme="majorBidi" w:hAnsiTheme="majorBidi" w:cstheme="majorBidi"/>
        </w:rPr>
        <w:footnoteReference w:id="19"/>
      </w:r>
      <w:r w:rsidRPr="00D21BF7">
        <w:rPr>
          <w:rFonts w:asciiTheme="majorBidi" w:hAnsiTheme="majorBidi" w:cstheme="majorBidi"/>
        </w:rPr>
        <w:t xml:space="preserve"> Pencatatan perkawinan dilakukan untuk melindungi anak (</w:t>
      </w:r>
      <w:proofErr w:type="spellStart"/>
      <w:r w:rsidRPr="00D21BF7">
        <w:rPr>
          <w:rFonts w:asciiTheme="majorBidi" w:hAnsiTheme="majorBidi" w:cstheme="majorBidi"/>
          <w:i/>
          <w:iCs/>
        </w:rPr>
        <w:t>hifzal-nasl</w:t>
      </w:r>
      <w:proofErr w:type="spellEnd"/>
      <w:r w:rsidRPr="00D21BF7">
        <w:rPr>
          <w:rFonts w:asciiTheme="majorBidi" w:hAnsiTheme="majorBidi" w:cstheme="majorBidi"/>
        </w:rPr>
        <w:t>) selain istri karena fakta sosial menunjukkan bahwa banyak anak yang terabaikan karena tidak memiliki hubungan hukum yang jelas dengan orang tua mereka, terutama ayah mereka.</w:t>
      </w:r>
      <w:r w:rsidRPr="00D21BF7">
        <w:rPr>
          <w:rStyle w:val="FootnoteReference"/>
          <w:rFonts w:asciiTheme="majorBidi" w:hAnsiTheme="majorBidi" w:cstheme="majorBidi"/>
        </w:rPr>
        <w:footnoteReference w:id="20"/>
      </w:r>
      <w:r w:rsidRPr="00D21BF7">
        <w:rPr>
          <w:rFonts w:asciiTheme="majorBidi" w:hAnsiTheme="majorBidi" w:cstheme="majorBidi"/>
        </w:rPr>
        <w:t xml:space="preserve"> Pencatatan perkawinan merupakan upaya hukum yang sangat mendesak saat ini. Hal ini</w:t>
      </w:r>
      <w:r w:rsidR="00253ABE" w:rsidRPr="00D21BF7">
        <w:rPr>
          <w:rFonts w:asciiTheme="majorBidi" w:hAnsiTheme="majorBidi" w:cstheme="majorBidi"/>
        </w:rPr>
        <w:t xml:space="preserve"> </w:t>
      </w:r>
      <w:r w:rsidRPr="00D21BF7">
        <w:rPr>
          <w:rFonts w:asciiTheme="majorBidi" w:hAnsiTheme="majorBidi" w:cstheme="majorBidi"/>
        </w:rPr>
        <w:t>dikarenakan banyaknya kasus penelantaran anak dan istri, perceraian, kekerasan dalam</w:t>
      </w:r>
      <w:r w:rsidR="00253ABE" w:rsidRPr="00D21BF7">
        <w:rPr>
          <w:rFonts w:asciiTheme="majorBidi" w:hAnsiTheme="majorBidi" w:cstheme="majorBidi"/>
        </w:rPr>
        <w:t xml:space="preserve"> </w:t>
      </w:r>
      <w:r w:rsidRPr="00D21BF7">
        <w:rPr>
          <w:rFonts w:asciiTheme="majorBidi" w:hAnsiTheme="majorBidi" w:cstheme="majorBidi"/>
        </w:rPr>
        <w:t xml:space="preserve">rumah tangga, kawin kontrak, dan salah satu penyebabnya adalah perkawinan yang </w:t>
      </w:r>
      <w:r w:rsidR="00253ABE" w:rsidRPr="00D21BF7">
        <w:rPr>
          <w:rFonts w:asciiTheme="majorBidi" w:hAnsiTheme="majorBidi" w:cstheme="majorBidi"/>
        </w:rPr>
        <w:t>t</w:t>
      </w:r>
      <w:r w:rsidRPr="00D21BF7">
        <w:rPr>
          <w:rFonts w:asciiTheme="majorBidi" w:hAnsiTheme="majorBidi" w:cstheme="majorBidi"/>
        </w:rPr>
        <w:t>idak</w:t>
      </w:r>
      <w:r w:rsidR="00253ABE" w:rsidRPr="00D21BF7">
        <w:rPr>
          <w:rFonts w:asciiTheme="majorBidi" w:hAnsiTheme="majorBidi" w:cstheme="majorBidi"/>
        </w:rPr>
        <w:t xml:space="preserve"> </w:t>
      </w:r>
      <w:r w:rsidRPr="00D21BF7">
        <w:rPr>
          <w:rFonts w:asciiTheme="majorBidi" w:hAnsiTheme="majorBidi" w:cstheme="majorBidi"/>
        </w:rPr>
        <w:t>dicatatkan</w:t>
      </w:r>
      <w:r w:rsidR="00253ABE" w:rsidRPr="00D21BF7">
        <w:rPr>
          <w:rFonts w:asciiTheme="majorBidi" w:hAnsiTheme="majorBidi" w:cstheme="majorBidi"/>
        </w:rPr>
        <w:t>.</w:t>
      </w:r>
      <w:r w:rsidR="00253ABE" w:rsidRPr="00D21BF7">
        <w:rPr>
          <w:rStyle w:val="FootnoteReference"/>
          <w:rFonts w:asciiTheme="majorBidi" w:hAnsiTheme="majorBidi" w:cstheme="majorBidi"/>
        </w:rPr>
        <w:footnoteReference w:id="21"/>
      </w:r>
    </w:p>
    <w:p w14:paraId="466AFA65" w14:textId="13FF3B43" w:rsidR="00CC72CA" w:rsidRPr="00D21BF7" w:rsidRDefault="00253ABE" w:rsidP="00D21BF7">
      <w:pPr>
        <w:spacing w:after="0" w:line="240" w:lineRule="auto"/>
        <w:ind w:firstLine="567"/>
        <w:jc w:val="both"/>
        <w:rPr>
          <w:rFonts w:asciiTheme="majorBidi" w:hAnsiTheme="majorBidi" w:cstheme="majorBidi"/>
        </w:rPr>
      </w:pPr>
      <w:r w:rsidRPr="00D21BF7">
        <w:rPr>
          <w:rFonts w:asciiTheme="majorBidi" w:hAnsiTheme="majorBidi" w:cstheme="majorBidi"/>
        </w:rPr>
        <w:t xml:space="preserve">Berdasarkan uraian di atas, maka dampak dari SEMA di atas </w:t>
      </w:r>
      <w:r w:rsidR="00283A23">
        <w:rPr>
          <w:rFonts w:asciiTheme="majorBidi" w:hAnsiTheme="majorBidi" w:cstheme="majorBidi"/>
        </w:rPr>
        <w:t>bagi</w:t>
      </w:r>
      <w:r w:rsidRPr="00D21BF7">
        <w:rPr>
          <w:rFonts w:asciiTheme="majorBidi" w:hAnsiTheme="majorBidi" w:cstheme="majorBidi"/>
        </w:rPr>
        <w:t xml:space="preserve"> hak konstitusional pelaku perkawinan beda agama yang tidak dicatatkan adalah</w:t>
      </w:r>
      <w:r w:rsidR="00FA0D8D">
        <w:rPr>
          <w:rFonts w:asciiTheme="majorBidi" w:hAnsiTheme="majorBidi" w:cstheme="majorBidi"/>
        </w:rPr>
        <w:t xml:space="preserve"> tidak terpenuhinya</w:t>
      </w:r>
      <w:r w:rsidRPr="00D21BF7">
        <w:rPr>
          <w:rFonts w:asciiTheme="majorBidi" w:hAnsiTheme="majorBidi" w:cstheme="majorBidi"/>
        </w:rPr>
        <w:t xml:space="preserve"> hak untuk mendapatkan perlindungan hukum</w:t>
      </w:r>
      <w:r w:rsidR="00CC72CA" w:rsidRPr="00D21BF7">
        <w:rPr>
          <w:rFonts w:asciiTheme="majorBidi" w:hAnsiTheme="majorBidi" w:cstheme="majorBidi"/>
        </w:rPr>
        <w:t xml:space="preserve"> sebagaimana dijelaskan dalam Pasal 28D ayat (1) UUD 1945 </w:t>
      </w:r>
      <w:r w:rsidR="00FA0D8D">
        <w:rPr>
          <w:rFonts w:asciiTheme="majorBidi" w:hAnsiTheme="majorBidi" w:cstheme="majorBidi"/>
        </w:rPr>
        <w:t xml:space="preserve">yang </w:t>
      </w:r>
      <w:r w:rsidR="00CC72CA" w:rsidRPr="00D21BF7">
        <w:rPr>
          <w:rFonts w:asciiTheme="majorBidi" w:hAnsiTheme="majorBidi" w:cstheme="majorBidi"/>
        </w:rPr>
        <w:t xml:space="preserve">menentukan bahwa: (1) Setiap orang berhak atas pengakuan, jaminan, perlindungan, dan kepastian hukum yang adil serta perlakuan yang sama di hadapan hukum. Sedangkan anak yang dilahirkan hak atas hidup, tumbuh, berkembang serta hak atas perlindungan dari kekerasan dan diskriminasi sebagaimana dituangkan dalam Pasal 28B ayat (2) UUD 1945, juga tidak terealisasi akibatkan SEMA </w:t>
      </w:r>
      <w:r w:rsidR="00FA0D8D">
        <w:rPr>
          <w:rFonts w:asciiTheme="majorBidi" w:hAnsiTheme="majorBidi" w:cstheme="majorBidi"/>
        </w:rPr>
        <w:t>yang dimaksud</w:t>
      </w:r>
      <w:r w:rsidR="00CC72CA" w:rsidRPr="00D21BF7">
        <w:rPr>
          <w:rFonts w:asciiTheme="majorBidi" w:hAnsiTheme="majorBidi" w:cstheme="majorBidi"/>
        </w:rPr>
        <w:t>.</w:t>
      </w:r>
    </w:p>
    <w:p w14:paraId="0DC93592" w14:textId="1F87C036" w:rsidR="002C7407" w:rsidRPr="00D21BF7" w:rsidRDefault="00125287" w:rsidP="00D21BF7">
      <w:pPr>
        <w:spacing w:after="0" w:line="240" w:lineRule="auto"/>
        <w:ind w:firstLine="567"/>
        <w:jc w:val="both"/>
        <w:rPr>
          <w:rFonts w:asciiTheme="majorBidi" w:hAnsiTheme="majorBidi" w:cstheme="majorBidi"/>
        </w:rPr>
      </w:pPr>
      <w:r w:rsidRPr="00D21BF7">
        <w:rPr>
          <w:rFonts w:asciiTheme="majorBidi" w:hAnsiTheme="majorBidi" w:cstheme="majorBidi"/>
        </w:rPr>
        <w:t xml:space="preserve">Berangkat dari Pasal 28D UUD 1945 di atas, maka SEMA dimaksud dalam tulisan ini berdampak pada tidak terpenuhinya hak konstitusional untuk: </w:t>
      </w:r>
      <w:r w:rsidRPr="00D21BF7">
        <w:rPr>
          <w:rFonts w:asciiTheme="majorBidi" w:hAnsiTheme="majorBidi" w:cstheme="majorBidi"/>
          <w:i/>
          <w:iCs/>
        </w:rPr>
        <w:t>pertama</w:t>
      </w:r>
      <w:r w:rsidRPr="00D21BF7">
        <w:rPr>
          <w:rFonts w:asciiTheme="majorBidi" w:hAnsiTheme="majorBidi" w:cstheme="majorBidi"/>
        </w:rPr>
        <w:t>, mendapatkan perlindungan hukum.</w:t>
      </w:r>
      <w:bookmarkStart w:id="0" w:name="_Hlk128806172"/>
      <w:r w:rsidRPr="00D21BF7">
        <w:rPr>
          <w:rFonts w:asciiTheme="majorBidi" w:hAnsiTheme="majorBidi" w:cstheme="majorBidi"/>
        </w:rPr>
        <w:t xml:space="preserve"> </w:t>
      </w:r>
      <w:r w:rsidR="002C7407" w:rsidRPr="00D21BF7">
        <w:rPr>
          <w:rFonts w:asciiTheme="majorBidi" w:hAnsiTheme="majorBidi" w:cstheme="majorBidi"/>
        </w:rPr>
        <w:t>Perlindungan hukum awal mulanya bersumber dari teori hukum alam.</w:t>
      </w:r>
      <w:r w:rsidR="00EC32D7">
        <w:rPr>
          <w:rStyle w:val="FootnoteReference"/>
          <w:rFonts w:asciiTheme="majorBidi" w:hAnsiTheme="majorBidi" w:cstheme="majorBidi"/>
        </w:rPr>
        <w:footnoteReference w:id="22"/>
      </w:r>
      <w:r w:rsidR="002C7407" w:rsidRPr="00D21BF7">
        <w:rPr>
          <w:rFonts w:asciiTheme="majorBidi" w:hAnsiTheme="majorBidi" w:cstheme="majorBidi"/>
        </w:rPr>
        <w:t xml:space="preserve"> Hukum alam pada prinsipnya bersumber dari Tuhan (</w:t>
      </w:r>
      <w:proofErr w:type="spellStart"/>
      <w:r w:rsidR="002C7407" w:rsidRPr="00D21BF7">
        <w:rPr>
          <w:rFonts w:asciiTheme="majorBidi" w:hAnsiTheme="majorBidi" w:cstheme="majorBidi"/>
          <w:i/>
          <w:iCs/>
        </w:rPr>
        <w:t>irrasional</w:t>
      </w:r>
      <w:proofErr w:type="spellEnd"/>
      <w:r w:rsidR="002C7407" w:rsidRPr="00D21BF7">
        <w:rPr>
          <w:rFonts w:asciiTheme="majorBidi" w:hAnsiTheme="majorBidi" w:cstheme="majorBidi"/>
        </w:rPr>
        <w:t>) dan bersumber dari rasio manusia.</w:t>
      </w:r>
      <w:r w:rsidR="002C7407" w:rsidRPr="00D21BF7">
        <w:rPr>
          <w:rStyle w:val="FootnoteReference"/>
        </w:rPr>
        <w:footnoteReference w:id="23"/>
      </w:r>
      <w:r w:rsidR="002C7407" w:rsidRPr="00D21BF7">
        <w:rPr>
          <w:rFonts w:asciiTheme="majorBidi" w:hAnsiTheme="majorBidi" w:cstheme="majorBidi"/>
        </w:rPr>
        <w:t xml:space="preserve"> Hukum alam sebagai kaidah yang bersifat “universal, abadi, dan berlaku mutlak” </w:t>
      </w:r>
      <w:r w:rsidR="002C7407" w:rsidRPr="00D21BF7">
        <w:rPr>
          <w:rFonts w:asciiTheme="majorBidi" w:hAnsiTheme="majorBidi" w:cstheme="majorBidi"/>
        </w:rPr>
        <w:lastRenderedPageBreak/>
        <w:t xml:space="preserve">dalam kehidupan modern seperti saat ini tetap </w:t>
      </w:r>
      <w:proofErr w:type="spellStart"/>
      <w:r w:rsidR="002C7407" w:rsidRPr="00D21BF7">
        <w:rPr>
          <w:rFonts w:asciiTheme="majorBidi" w:hAnsiTheme="majorBidi" w:cstheme="majorBidi"/>
        </w:rPr>
        <w:t>eksis</w:t>
      </w:r>
      <w:proofErr w:type="spellEnd"/>
      <w:r w:rsidR="002C7407" w:rsidRPr="00D21BF7">
        <w:rPr>
          <w:rFonts w:asciiTheme="majorBidi" w:hAnsiTheme="majorBidi" w:cstheme="majorBidi"/>
        </w:rPr>
        <w:t xml:space="preserve"> dengan bukti semakin banyaknya orang yang membicarakan masalah Hak Asasi Manusia (HAM).</w:t>
      </w:r>
      <w:r w:rsidR="002C7407" w:rsidRPr="00D21BF7">
        <w:rPr>
          <w:rStyle w:val="FootnoteReference"/>
        </w:rPr>
        <w:footnoteReference w:id="24"/>
      </w:r>
      <w:r w:rsidR="002C7407" w:rsidRPr="00D21BF7">
        <w:rPr>
          <w:rFonts w:asciiTheme="majorBidi" w:hAnsiTheme="majorBidi" w:cstheme="majorBidi"/>
        </w:rPr>
        <w:t xml:space="preserve"> HAM merupakan substansi hukum alam yang merupakan suatu asas yang bersifat universal.</w:t>
      </w:r>
      <w:r w:rsidR="002C7407" w:rsidRPr="00D21BF7">
        <w:rPr>
          <w:rStyle w:val="FootnoteReference"/>
        </w:rPr>
        <w:footnoteReference w:id="25"/>
      </w:r>
      <w:r w:rsidR="002C7407" w:rsidRPr="00D21BF7">
        <w:rPr>
          <w:rFonts w:asciiTheme="majorBidi" w:hAnsiTheme="majorBidi" w:cstheme="majorBidi"/>
        </w:rPr>
        <w:t xml:space="preserve"> Manusia yang terlahir sebagai makhluk ciptaan Tuhan Yang Maha Esa, pada dasarnya secara kodrati mendapatkan hak dasar, yaitu kebebasan, hak hidup, dan hak untuk dilindungi, dan hak lainnya. </w:t>
      </w:r>
    </w:p>
    <w:bookmarkEnd w:id="0"/>
    <w:p w14:paraId="7B18CF4B" w14:textId="77777777" w:rsidR="002C7407" w:rsidRPr="00D21BF7" w:rsidRDefault="002C7407"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 xml:space="preserve">Hal di atas sealur dengan prinsip hukum alam pada abad ke-18, yaitu kebebasan individu dan keutamaan rasio, salah satu penganutnya adalah John </w:t>
      </w:r>
      <w:proofErr w:type="spellStart"/>
      <w:r w:rsidRPr="00D21BF7">
        <w:rPr>
          <w:rFonts w:asciiTheme="majorBidi" w:hAnsiTheme="majorBidi" w:cstheme="majorBidi"/>
        </w:rPr>
        <w:t>Locke</w:t>
      </w:r>
      <w:proofErr w:type="spellEnd"/>
      <w:r w:rsidRPr="00D21BF7">
        <w:rPr>
          <w:rFonts w:asciiTheme="majorBidi" w:hAnsiTheme="majorBidi" w:cstheme="majorBidi"/>
        </w:rPr>
        <w:t xml:space="preserve">. Teori John </w:t>
      </w:r>
      <w:proofErr w:type="spellStart"/>
      <w:r w:rsidRPr="00D21BF7">
        <w:rPr>
          <w:rFonts w:asciiTheme="majorBidi" w:hAnsiTheme="majorBidi" w:cstheme="majorBidi"/>
        </w:rPr>
        <w:t>Locke</w:t>
      </w:r>
      <w:proofErr w:type="spellEnd"/>
      <w:r w:rsidRPr="00D21BF7">
        <w:rPr>
          <w:rFonts w:asciiTheme="majorBidi" w:hAnsiTheme="majorBidi" w:cstheme="majorBidi"/>
        </w:rPr>
        <w:t xml:space="preserve">, memandang hukum itu pelindung hak kodrat. Titik sentral pemikiran John </w:t>
      </w:r>
      <w:proofErr w:type="spellStart"/>
      <w:r w:rsidRPr="00D21BF7">
        <w:rPr>
          <w:rFonts w:asciiTheme="majorBidi" w:hAnsiTheme="majorBidi" w:cstheme="majorBidi"/>
        </w:rPr>
        <w:t>Locke</w:t>
      </w:r>
      <w:proofErr w:type="spellEnd"/>
      <w:r w:rsidRPr="00D21BF7">
        <w:rPr>
          <w:rFonts w:asciiTheme="majorBidi" w:hAnsiTheme="majorBidi" w:cstheme="majorBidi"/>
        </w:rPr>
        <w:t xml:space="preserve"> adalah kebebasan individu dan keutamaan rasio. Ia juga mengajarkan tentang kontrak sosial. Hak-hak tersebut tidak ikut diserahkan kepada penguasa ketika kontrak sosial dilakukan, oleh karena itu kekuasaan penguasa yang diberikan lewat kontrak sosial, dengan sendirinya tidak mungkin bersifat mutlak.</w:t>
      </w:r>
      <w:r w:rsidRPr="00D21BF7">
        <w:rPr>
          <w:rStyle w:val="FootnoteReference"/>
        </w:rPr>
        <w:footnoteReference w:id="26"/>
      </w:r>
    </w:p>
    <w:p w14:paraId="01D5655D" w14:textId="77777777" w:rsidR="002C7407" w:rsidRPr="00D21BF7" w:rsidRDefault="002C7407"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Berdasarkan hal di atas, adanya kekuasaan tersebut justru untuk melindungi hak-hak kodrat dari bahaya yang mengancam. Hukum dalam konteks ini dibuat oleh negara bertugas untuk melindungi hak-hak tersebut.</w:t>
      </w:r>
      <w:r w:rsidRPr="00D21BF7">
        <w:rPr>
          <w:rStyle w:val="FootnoteReference"/>
        </w:rPr>
        <w:footnoteReference w:id="27"/>
      </w:r>
      <w:r w:rsidRPr="00D21BF7">
        <w:rPr>
          <w:rFonts w:asciiTheme="majorBidi" w:hAnsiTheme="majorBidi" w:cstheme="majorBidi"/>
        </w:rPr>
        <w:t xml:space="preserve"> Immanuel </w:t>
      </w:r>
      <w:proofErr w:type="spellStart"/>
      <w:r w:rsidRPr="00D21BF7">
        <w:rPr>
          <w:rFonts w:asciiTheme="majorBidi" w:hAnsiTheme="majorBidi" w:cstheme="majorBidi"/>
        </w:rPr>
        <w:t>Kant</w:t>
      </w:r>
      <w:proofErr w:type="spellEnd"/>
      <w:r w:rsidRPr="00D21BF7">
        <w:rPr>
          <w:rFonts w:asciiTheme="majorBidi" w:hAnsiTheme="majorBidi" w:cstheme="majorBidi"/>
        </w:rPr>
        <w:t xml:space="preserve"> mempertegas kedudukan hukum sebagai pelindung hak asasi manusia dan hak kebebasan warganya. Bagi </w:t>
      </w:r>
      <w:proofErr w:type="spellStart"/>
      <w:r w:rsidRPr="00D21BF7">
        <w:rPr>
          <w:rFonts w:asciiTheme="majorBidi" w:hAnsiTheme="majorBidi" w:cstheme="majorBidi"/>
        </w:rPr>
        <w:t>Kant</w:t>
      </w:r>
      <w:proofErr w:type="spellEnd"/>
      <w:r w:rsidRPr="00D21BF7">
        <w:rPr>
          <w:rFonts w:asciiTheme="majorBidi" w:hAnsiTheme="majorBidi" w:cstheme="majorBidi"/>
        </w:rPr>
        <w:t>, manusia merupakan makhluk berakal dan berkehendak bebas, adalah tugas negara menegakkannya. Kemakmuran dan kebahagiaan rakyat merupakan tujuan negara dan hukum, oleh karenanya, hak-hak dasar tersebut tidak boleh dihalangi oleh negara.</w:t>
      </w:r>
      <w:r w:rsidRPr="00D21BF7">
        <w:rPr>
          <w:rStyle w:val="FootnoteReference"/>
        </w:rPr>
        <w:footnoteReference w:id="28"/>
      </w:r>
    </w:p>
    <w:p w14:paraId="34FECAEC" w14:textId="361C5088" w:rsidR="002C7407" w:rsidRPr="00D21BF7" w:rsidRDefault="002C7407"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 xml:space="preserve">Hal di atas </w:t>
      </w:r>
      <w:r w:rsidR="00EA664A" w:rsidRPr="00D21BF7">
        <w:rPr>
          <w:rFonts w:asciiTheme="majorBidi" w:hAnsiTheme="majorBidi" w:cstheme="majorBidi"/>
        </w:rPr>
        <w:t>searus</w:t>
      </w:r>
      <w:r w:rsidRPr="00D21BF7">
        <w:rPr>
          <w:rFonts w:asciiTheme="majorBidi" w:hAnsiTheme="majorBidi" w:cstheme="majorBidi"/>
        </w:rPr>
        <w:t xml:space="preserve"> dengan pembukaan </w:t>
      </w:r>
      <w:proofErr w:type="spellStart"/>
      <w:r w:rsidRPr="00D21BF7">
        <w:rPr>
          <w:rFonts w:asciiTheme="majorBidi" w:hAnsiTheme="majorBidi" w:cstheme="majorBidi"/>
        </w:rPr>
        <w:t>Undang-Undang</w:t>
      </w:r>
      <w:proofErr w:type="spellEnd"/>
      <w:r w:rsidRPr="00D21BF7">
        <w:rPr>
          <w:rFonts w:asciiTheme="majorBidi" w:hAnsiTheme="majorBidi" w:cstheme="majorBidi"/>
        </w:rPr>
        <w:t xml:space="preserve"> Dasar (UUD) Tahun 1945 yang menentukan tujuan negara Indonesia, yaitu melindungi segenap bangsa Indonesia dan seluruh tumpah darah Indonesia dan untuk memajukan kesejahteraan umum, mencerdaskan kehidupan bangsa, dan ikut melaksanakan ketertiban dunia yang berdasarkan kemerdekaan, perdamaian abadi dan keadilan sosial.</w:t>
      </w:r>
    </w:p>
    <w:p w14:paraId="07399A86" w14:textId="15D810D9" w:rsidR="002C7407" w:rsidRPr="00D21BF7" w:rsidRDefault="00EC32D7"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 xml:space="preserve">Uraian </w:t>
      </w:r>
      <w:r w:rsidR="002C7407" w:rsidRPr="00D21BF7">
        <w:rPr>
          <w:rFonts w:asciiTheme="majorBidi" w:hAnsiTheme="majorBidi" w:cstheme="majorBidi"/>
        </w:rPr>
        <w:t>historis dari teori perlindungan hukum di atas, terlihat jelas bahwa SEMA tidak mencerminkan tujuan bernegara sebagaimana disebutkan di atas, selain itu juga tidak mencerminkan perlindungan bagi kehendak bebas warganegara di mana negara seharusnya memberikan perlindungan bagi hak-hak tersebut dan juga harus menegakkannya.</w:t>
      </w:r>
      <w:r>
        <w:rPr>
          <w:rFonts w:asciiTheme="majorBidi" w:hAnsiTheme="majorBidi" w:cstheme="majorBidi"/>
        </w:rPr>
        <w:t xml:space="preserve"> Oleh karena itu SEMA dimaksud tidak mengandung perlindungan kepada para pelaku perkawinan beda agama di Indonesia.</w:t>
      </w:r>
    </w:p>
    <w:p w14:paraId="34DBDD4A" w14:textId="275EAE89" w:rsidR="00EA664A" w:rsidRPr="00D21BF7" w:rsidRDefault="00125287"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i/>
          <w:iCs/>
        </w:rPr>
        <w:t>Kedua</w:t>
      </w:r>
      <w:r w:rsidRPr="00D21BF7">
        <w:rPr>
          <w:rFonts w:asciiTheme="majorBidi" w:hAnsiTheme="majorBidi" w:cstheme="majorBidi"/>
        </w:rPr>
        <w:t xml:space="preserve">, </w:t>
      </w:r>
      <w:r w:rsidR="00DF1098" w:rsidRPr="00D21BF7">
        <w:rPr>
          <w:rFonts w:asciiTheme="majorBidi" w:hAnsiTheme="majorBidi" w:cstheme="majorBidi"/>
        </w:rPr>
        <w:t xml:space="preserve">untuk mendapatkan kepastian hukum. </w:t>
      </w:r>
      <w:r w:rsidR="00EA664A" w:rsidRPr="00D21BF7">
        <w:rPr>
          <w:rFonts w:asciiTheme="majorBidi" w:hAnsiTheme="majorBidi" w:cstheme="majorBidi"/>
        </w:rPr>
        <w:t>Kepastian hukum merupakan hak konstitusional warga negara, dan pada waktu yang bersamaan, juga merupakan kewajiban konstitusional bagi negara dalam memenuhinya. Kepastian hukum di sini tidaknya sekedar kepastian hukum namun yang berkeadilan.</w:t>
      </w:r>
    </w:p>
    <w:p w14:paraId="71C5262A" w14:textId="77777777" w:rsidR="00EA664A" w:rsidRPr="00D21BF7" w:rsidRDefault="00EA664A"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lastRenderedPageBreak/>
        <w:t>Mengetahui makna kepastian hukum, penting untuk mengurai setiap kata. Kepastian secara terminologi adalah perihal (keadaan) yang pasti, ketentuan atau ketetapan.</w:t>
      </w:r>
      <w:r w:rsidRPr="00D21BF7">
        <w:rPr>
          <w:rStyle w:val="FootnoteReference"/>
          <w:rFonts w:asciiTheme="majorBidi" w:hAnsiTheme="majorBidi" w:cstheme="majorBidi"/>
        </w:rPr>
        <w:footnoteReference w:id="29"/>
      </w:r>
      <w:r w:rsidRPr="00D21BF7">
        <w:rPr>
          <w:rFonts w:asciiTheme="majorBidi" w:hAnsiTheme="majorBidi" w:cstheme="majorBidi"/>
        </w:rPr>
        <w:t xml:space="preserve"> Sedangkan yang dimaksud dengan hukum adalah kumpulan peraturan-peraturan atau kaidah-kaidah dalam suatu kehidupan bersama, keseluruhan peraturan tentang tingkah laku yang berlaku dalam suatu kehidupan bersama yang dapat dipaksakan pelaksanaannya dengan suatu sanksi.</w:t>
      </w:r>
      <w:r w:rsidRPr="00D21BF7">
        <w:rPr>
          <w:rStyle w:val="FootnoteReference"/>
          <w:rFonts w:asciiTheme="majorBidi" w:hAnsiTheme="majorBidi" w:cstheme="majorBidi"/>
        </w:rPr>
        <w:footnoteReference w:id="30"/>
      </w:r>
    </w:p>
    <w:p w14:paraId="335601A2" w14:textId="77777777" w:rsidR="00EA664A" w:rsidRPr="00D21BF7" w:rsidRDefault="00EA664A"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 xml:space="preserve">Menurut </w:t>
      </w:r>
      <w:proofErr w:type="spellStart"/>
      <w:r w:rsidRPr="00D21BF7">
        <w:rPr>
          <w:rFonts w:asciiTheme="majorBidi" w:hAnsiTheme="majorBidi" w:cstheme="majorBidi"/>
        </w:rPr>
        <w:t>Humberto</w:t>
      </w:r>
      <w:proofErr w:type="spellEnd"/>
      <w:r w:rsidRPr="00D21BF7">
        <w:rPr>
          <w:rFonts w:asciiTheme="majorBidi" w:hAnsiTheme="majorBidi" w:cstheme="majorBidi"/>
        </w:rPr>
        <w:t xml:space="preserve"> Avila, dengan mengutip beberapa ahli menulis bahwa kata “kepastian” sering digunakan untuk merujuk pada rasa eksternal, fisik atau keamanan objektif, yaitu perasaan aman dan terlindungi dari ancaman eksternal seperti kekerasan, kejahatan, atau rasa sakit. Makna ini dapat diilustrasikan dengan ungkapan “di rumah manusia aman dari kedinginan” (pasti hangat) dan “di bungker warganya aman dari serangan udara” (pasti dilindungi). Dalam definisi ini, “menjadi aman” berarti dilindungi dari atau terhadap sesuatu yang mewakili ancaman eksternal.</w:t>
      </w:r>
      <w:r w:rsidRPr="00D21BF7">
        <w:rPr>
          <w:rStyle w:val="FootnoteReference"/>
          <w:rFonts w:asciiTheme="majorBidi" w:hAnsiTheme="majorBidi" w:cstheme="majorBidi"/>
        </w:rPr>
        <w:footnoteReference w:id="31"/>
      </w:r>
      <w:r w:rsidRPr="00D21BF7">
        <w:rPr>
          <w:rFonts w:asciiTheme="majorBidi" w:hAnsiTheme="majorBidi" w:cstheme="majorBidi"/>
        </w:rPr>
        <w:t xml:space="preserve"> </w:t>
      </w:r>
    </w:p>
    <w:p w14:paraId="05897EBE" w14:textId="77777777" w:rsidR="00EA664A" w:rsidRPr="00D21BF7" w:rsidRDefault="00EA664A"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 xml:space="preserve">Kepastian hukum merupakan ciri dari hukum, terutama untuk norma hukum tertulis. Hukum tanpa kepastian akan kehilangan makna karena tidak lagi dapat dijadikan pedoman perilaku bagi semua orang. </w:t>
      </w:r>
      <w:r w:rsidRPr="00D21BF7">
        <w:rPr>
          <w:rFonts w:asciiTheme="majorBidi" w:hAnsiTheme="majorBidi" w:cstheme="majorBidi"/>
          <w:i/>
          <w:iCs/>
        </w:rPr>
        <w:t xml:space="preserve">Ubi jus </w:t>
      </w:r>
      <w:proofErr w:type="spellStart"/>
      <w:r w:rsidRPr="00D21BF7">
        <w:rPr>
          <w:rFonts w:asciiTheme="majorBidi" w:hAnsiTheme="majorBidi" w:cstheme="majorBidi"/>
          <w:i/>
          <w:iCs/>
        </w:rPr>
        <w:t>incertum</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ibi</w:t>
      </w:r>
      <w:proofErr w:type="spellEnd"/>
      <w:r w:rsidRPr="00D21BF7">
        <w:rPr>
          <w:rFonts w:asciiTheme="majorBidi" w:hAnsiTheme="majorBidi" w:cstheme="majorBidi"/>
          <w:i/>
          <w:iCs/>
        </w:rPr>
        <w:t xml:space="preserve"> jus </w:t>
      </w:r>
      <w:proofErr w:type="spellStart"/>
      <w:r w:rsidRPr="00D21BF7">
        <w:rPr>
          <w:rFonts w:asciiTheme="majorBidi" w:hAnsiTheme="majorBidi" w:cstheme="majorBidi"/>
          <w:i/>
          <w:iCs/>
        </w:rPr>
        <w:t>nullum</w:t>
      </w:r>
      <w:proofErr w:type="spellEnd"/>
      <w:r w:rsidRPr="00D21BF7">
        <w:rPr>
          <w:rStyle w:val="FootnoteReference"/>
          <w:rFonts w:asciiTheme="majorBidi" w:hAnsiTheme="majorBidi" w:cstheme="majorBidi"/>
        </w:rPr>
        <w:footnoteReference w:id="32"/>
      </w:r>
      <w:r w:rsidRPr="00D21BF7">
        <w:rPr>
          <w:rFonts w:asciiTheme="majorBidi" w:hAnsiTheme="majorBidi" w:cstheme="majorBidi"/>
          <w:i/>
          <w:iCs/>
        </w:rPr>
        <w:t xml:space="preserve"> </w:t>
      </w:r>
      <w:r w:rsidRPr="00D21BF7">
        <w:rPr>
          <w:rFonts w:asciiTheme="majorBidi" w:hAnsiTheme="majorBidi" w:cstheme="majorBidi"/>
        </w:rPr>
        <w:t xml:space="preserve">(di mana tiada kepastian, </w:t>
      </w:r>
      <w:proofErr w:type="spellStart"/>
      <w:r w:rsidRPr="00D21BF7">
        <w:rPr>
          <w:rFonts w:asciiTheme="majorBidi" w:hAnsiTheme="majorBidi" w:cstheme="majorBidi"/>
        </w:rPr>
        <w:t>disitu</w:t>
      </w:r>
      <w:proofErr w:type="spellEnd"/>
      <w:r w:rsidRPr="00D21BF7">
        <w:rPr>
          <w:rFonts w:asciiTheme="majorBidi" w:hAnsiTheme="majorBidi" w:cstheme="majorBidi"/>
        </w:rPr>
        <w:t xml:space="preserve"> tidak ada hukum). Menurut Gustav </w:t>
      </w:r>
      <w:proofErr w:type="spellStart"/>
      <w:r w:rsidRPr="00D21BF7">
        <w:rPr>
          <w:rFonts w:asciiTheme="majorBidi" w:hAnsiTheme="majorBidi" w:cstheme="majorBidi"/>
        </w:rPr>
        <w:t>Radbruch</w:t>
      </w:r>
      <w:proofErr w:type="spellEnd"/>
      <w:r w:rsidRPr="00D21BF7">
        <w:rPr>
          <w:rFonts w:asciiTheme="majorBidi" w:hAnsiTheme="majorBidi" w:cstheme="majorBidi"/>
        </w:rPr>
        <w:t>, kepastian hukum membutuhkan kepositifan hukum, ketika tidak mungkin mengatakan apa yang adil, maka itu benar perlu untuk mendefinisikan apa yang seharusnya legal, sehingga apa yang ditentukan oleh hukum dapat ditegakkan.</w:t>
      </w:r>
      <w:r w:rsidRPr="00D21BF7">
        <w:rPr>
          <w:rStyle w:val="FootnoteReference"/>
          <w:rFonts w:asciiTheme="majorBidi" w:hAnsiTheme="majorBidi" w:cstheme="majorBidi"/>
        </w:rPr>
        <w:footnoteReference w:id="33"/>
      </w:r>
      <w:r w:rsidRPr="00D21BF7">
        <w:rPr>
          <w:rFonts w:asciiTheme="majorBidi" w:hAnsiTheme="majorBidi" w:cstheme="majorBidi"/>
        </w:rPr>
        <w:t xml:space="preserve"> L. </w:t>
      </w:r>
      <w:proofErr w:type="spellStart"/>
      <w:r w:rsidRPr="00D21BF7">
        <w:rPr>
          <w:rFonts w:asciiTheme="majorBidi" w:hAnsiTheme="majorBidi" w:cstheme="majorBidi"/>
        </w:rPr>
        <w:t>Recaséns</w:t>
      </w:r>
      <w:proofErr w:type="spellEnd"/>
      <w:r w:rsidRPr="00D21BF7">
        <w:rPr>
          <w:rFonts w:asciiTheme="majorBidi" w:hAnsiTheme="majorBidi" w:cstheme="majorBidi"/>
        </w:rPr>
        <w:t xml:space="preserve"> </w:t>
      </w:r>
      <w:proofErr w:type="spellStart"/>
      <w:r w:rsidRPr="00D21BF7">
        <w:rPr>
          <w:rFonts w:asciiTheme="majorBidi" w:hAnsiTheme="majorBidi" w:cstheme="majorBidi"/>
        </w:rPr>
        <w:t>Siches</w:t>
      </w:r>
      <w:proofErr w:type="spellEnd"/>
      <w:r w:rsidRPr="00D21BF7">
        <w:rPr>
          <w:rFonts w:asciiTheme="majorBidi" w:hAnsiTheme="majorBidi" w:cstheme="majorBidi"/>
        </w:rPr>
        <w:t xml:space="preserve"> juga mengatakan bahwa hukum mungkin tidak adil atau cacat, tetapi tidak boleh tidak pasti, karena kurangnya kepastian meniadakan hakikat hukum itu sendiri.</w:t>
      </w:r>
      <w:r w:rsidRPr="00D21BF7">
        <w:rPr>
          <w:rStyle w:val="FootnoteReference"/>
          <w:rFonts w:asciiTheme="majorBidi" w:hAnsiTheme="majorBidi" w:cstheme="majorBidi"/>
        </w:rPr>
        <w:footnoteReference w:id="34"/>
      </w:r>
      <w:r w:rsidRPr="00D21BF7">
        <w:rPr>
          <w:rFonts w:asciiTheme="majorBidi" w:hAnsiTheme="majorBidi" w:cstheme="majorBidi"/>
        </w:rPr>
        <w:t xml:space="preserve"> </w:t>
      </w:r>
    </w:p>
    <w:p w14:paraId="06CFFF2A" w14:textId="77777777" w:rsidR="00EA664A" w:rsidRPr="00D21BF7" w:rsidRDefault="00EA664A"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 xml:space="preserve">Kepastian hukum mengacu pada suatu unsur dalam pengertian hukum yang menjadi syarat struktural dari setiap tatanan hukum. Tatanan hukum yang tidak ada kepastiannya tidak dapat dianggap “legal” menurut definisi. Konsepsi ini telah dianjurkan oleh banyak penulis, beberapa di antaranya </w:t>
      </w:r>
      <w:proofErr w:type="spellStart"/>
      <w:r w:rsidRPr="00D21BF7">
        <w:rPr>
          <w:rFonts w:asciiTheme="majorBidi" w:hAnsiTheme="majorBidi" w:cstheme="majorBidi"/>
        </w:rPr>
        <w:t>Radbruch</w:t>
      </w:r>
      <w:proofErr w:type="spellEnd"/>
      <w:r w:rsidRPr="00D21BF7">
        <w:rPr>
          <w:rFonts w:asciiTheme="majorBidi" w:hAnsiTheme="majorBidi" w:cstheme="majorBidi"/>
        </w:rPr>
        <w:t xml:space="preserve"> menyatakan bahwa kepastian hukum, di samping keadilan dan kesesuaian dengan tujuan, merupakan elemen kunci dari hukum, yang tanpanya hukum tidak akan ada. Menurut </w:t>
      </w:r>
      <w:proofErr w:type="spellStart"/>
      <w:r w:rsidRPr="00D21BF7">
        <w:rPr>
          <w:rFonts w:asciiTheme="majorBidi" w:hAnsiTheme="majorBidi" w:cstheme="majorBidi"/>
        </w:rPr>
        <w:t>Bobbio</w:t>
      </w:r>
      <w:proofErr w:type="spellEnd"/>
      <w:r w:rsidRPr="00D21BF7">
        <w:rPr>
          <w:rFonts w:asciiTheme="majorBidi" w:hAnsiTheme="majorBidi" w:cstheme="majorBidi"/>
        </w:rPr>
        <w:t>, kepastian hukum bukan hanya persyaratan untuk hidup  berdampingan secara teratur di antara manusia, tetapi juga merupakan “elemen intrinsik hukum” yang berfungsi untuk menghalangi kesewenang-wenangan dan menjamin kesetaraan, sehingga tatanan hukum tanpa kepastian minimal tidak dapat dibayangkan</w:t>
      </w:r>
      <w:r w:rsidRPr="00D21BF7">
        <w:rPr>
          <w:rFonts w:asciiTheme="majorBidi" w:hAnsiTheme="majorBidi" w:cstheme="majorBidi"/>
          <w:lang w:val="en-ID"/>
        </w:rPr>
        <w:t>.</w:t>
      </w:r>
      <w:r w:rsidRPr="00D21BF7">
        <w:rPr>
          <w:rFonts w:asciiTheme="majorBidi" w:hAnsiTheme="majorBidi" w:cstheme="majorBidi"/>
        </w:rPr>
        <w:t xml:space="preserve"> </w:t>
      </w:r>
      <w:proofErr w:type="spellStart"/>
      <w:r w:rsidRPr="00D21BF7">
        <w:rPr>
          <w:rFonts w:asciiTheme="majorBidi" w:hAnsiTheme="majorBidi" w:cstheme="majorBidi"/>
        </w:rPr>
        <w:t>Fuller</w:t>
      </w:r>
      <w:proofErr w:type="spellEnd"/>
      <w:r w:rsidRPr="00D21BF7">
        <w:rPr>
          <w:rFonts w:asciiTheme="majorBidi" w:hAnsiTheme="majorBidi" w:cstheme="majorBidi"/>
        </w:rPr>
        <w:t xml:space="preserve"> berpendapat bahwa tanpa kepastian hukum, hukum itu sendiri tidak bisa ada dan mencantumkan beberapa elemen yang menjadi bagian dari apa yang disebut moralitas hukum.</w:t>
      </w:r>
      <w:r w:rsidRPr="00D21BF7">
        <w:rPr>
          <w:rStyle w:val="FootnoteReference"/>
          <w:rFonts w:asciiTheme="majorBidi" w:hAnsiTheme="majorBidi" w:cstheme="majorBidi"/>
        </w:rPr>
        <w:footnoteReference w:id="35"/>
      </w:r>
    </w:p>
    <w:p w14:paraId="66CBE854" w14:textId="72E7FE87" w:rsidR="00DF1098" w:rsidRPr="00D21BF7" w:rsidRDefault="00DF1098"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 xml:space="preserve">Berdasarkan hal di atas, maka pelaku perkawinan beda agama yang tidak dicatatkan mengakibatkan tidak jelasnya status hukum perkawinannya serta akibat-akibat yang lahir dari perkawinan tersebut, termasuk anak dan harta bersama. Padahal jika didekati menggunakan </w:t>
      </w:r>
      <w:proofErr w:type="spellStart"/>
      <w:r w:rsidRPr="00D21BF7">
        <w:rPr>
          <w:rFonts w:asciiTheme="majorBidi" w:hAnsiTheme="majorBidi" w:cstheme="majorBidi"/>
        </w:rPr>
        <w:t>maqashid</w:t>
      </w:r>
      <w:proofErr w:type="spellEnd"/>
      <w:r w:rsidRPr="00D21BF7">
        <w:rPr>
          <w:rFonts w:asciiTheme="majorBidi" w:hAnsiTheme="majorBidi" w:cstheme="majorBidi"/>
        </w:rPr>
        <w:t xml:space="preserve"> syariah, perlindungan anak dan harta adalah tujuan tertinggi dari hukum Islam yang ada pada level primer.</w:t>
      </w:r>
      <w:r w:rsidR="005C368C" w:rsidRPr="00D21BF7">
        <w:rPr>
          <w:rFonts w:asciiTheme="majorBidi" w:hAnsiTheme="majorBidi" w:cstheme="majorBidi"/>
        </w:rPr>
        <w:t xml:space="preserve"> Tentunya dengan memaksakan untuk tidak dikabulkan permohonan pencatatan perkawinan beda agama, bertentangan dengan tujuan primer hukum Islam itu sendiri</w:t>
      </w:r>
      <w:r w:rsidR="00EC32D7">
        <w:rPr>
          <w:rFonts w:asciiTheme="majorBidi" w:hAnsiTheme="majorBidi" w:cstheme="majorBidi"/>
        </w:rPr>
        <w:t xml:space="preserve"> dan juga berlawan dengan hak konstitusional warganegara untuk mendapatkan kepastian hukum</w:t>
      </w:r>
      <w:r w:rsidR="005C368C" w:rsidRPr="00D21BF7">
        <w:rPr>
          <w:rFonts w:asciiTheme="majorBidi" w:hAnsiTheme="majorBidi" w:cstheme="majorBidi"/>
        </w:rPr>
        <w:t>.</w:t>
      </w:r>
    </w:p>
    <w:p w14:paraId="06371712" w14:textId="701A96F0" w:rsidR="003B743E" w:rsidRPr="00D21BF7" w:rsidRDefault="003B743E"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i/>
          <w:iCs/>
        </w:rPr>
        <w:lastRenderedPageBreak/>
        <w:t>Ketiga</w:t>
      </w:r>
      <w:r w:rsidRPr="00D21BF7">
        <w:rPr>
          <w:rFonts w:asciiTheme="majorBidi" w:hAnsiTheme="majorBidi" w:cstheme="majorBidi"/>
        </w:rPr>
        <w:t>, untuk mendapatkan kesamaan di depan hukum. Sederhananya, kesetaraan di hadapan hukum berarti bahwa semua orang sama dan setara di hadapan hukum.</w:t>
      </w:r>
      <w:r w:rsidR="006B172F" w:rsidRPr="00D21BF7">
        <w:rPr>
          <w:rFonts w:asciiTheme="majorBidi" w:hAnsiTheme="majorBidi" w:cstheme="majorBidi"/>
        </w:rPr>
        <w:t xml:space="preserve"> </w:t>
      </w:r>
      <w:r w:rsidRPr="00D21BF7">
        <w:rPr>
          <w:rFonts w:asciiTheme="majorBidi" w:hAnsiTheme="majorBidi" w:cstheme="majorBidi"/>
        </w:rPr>
        <w:t>Hampir semua konstitusi negara memiliki dasar</w:t>
      </w:r>
      <w:r w:rsidR="006B172F" w:rsidRPr="00D21BF7">
        <w:rPr>
          <w:rFonts w:asciiTheme="majorBidi" w:hAnsiTheme="majorBidi" w:cstheme="majorBidi"/>
        </w:rPr>
        <w:t xml:space="preserve"> ini</w:t>
      </w:r>
      <w:r w:rsidRPr="00D21BF7">
        <w:rPr>
          <w:rFonts w:asciiTheme="majorBidi" w:hAnsiTheme="majorBidi" w:cstheme="majorBidi"/>
        </w:rPr>
        <w:t xml:space="preserve"> </w:t>
      </w:r>
      <w:r w:rsidR="006B172F" w:rsidRPr="00D21BF7">
        <w:rPr>
          <w:rFonts w:asciiTheme="majorBidi" w:hAnsiTheme="majorBidi" w:cstheme="majorBidi"/>
        </w:rPr>
        <w:t>untuk memberikan perlindungan</w:t>
      </w:r>
      <w:r w:rsidRPr="00D21BF7">
        <w:rPr>
          <w:rFonts w:asciiTheme="majorBidi" w:hAnsiTheme="majorBidi" w:cstheme="majorBidi"/>
        </w:rPr>
        <w:t xml:space="preserve"> hak asasi rakyat. </w:t>
      </w:r>
      <w:r w:rsidR="006B172F" w:rsidRPr="00D21BF7">
        <w:rPr>
          <w:rFonts w:asciiTheme="majorBidi" w:hAnsiTheme="majorBidi" w:cstheme="majorBidi"/>
        </w:rPr>
        <w:t xml:space="preserve">Jika </w:t>
      </w:r>
      <w:r w:rsidRPr="00D21BF7">
        <w:rPr>
          <w:rFonts w:asciiTheme="majorBidi" w:hAnsiTheme="majorBidi" w:cstheme="majorBidi"/>
        </w:rPr>
        <w:t>asas ini tercantum dalam konstitusi, maka secara logis penguasa dan penegak hukum harus menerapkannya dalam kehidupan nasional.</w:t>
      </w:r>
    </w:p>
    <w:p w14:paraId="740C3023" w14:textId="28C924CB" w:rsidR="006B172F" w:rsidRPr="00D21BF7" w:rsidRDefault="006B172F"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Asas kesamaan di hadapan hukum, juga dikenal sebagai “kesamaan di hadapan hukum”, mengatakan bahwa setiap warga negara harus diperlakukan dengan adil oleh lembaga penegak hukum dan pemerintah. Hal ini paradoks dengan SEMA yang dikeluarkan oleh MA sebagai penegak hukum dan keadilan Berdasarkan Ketuhanan Yang Maha Esa, yang justru mengeluarkan edaran yang berlawan dengan asas yang seharusnya dipegang teguh olehnya.</w:t>
      </w:r>
    </w:p>
    <w:p w14:paraId="277B490C" w14:textId="6B19586C" w:rsidR="00857F96" w:rsidRPr="00D21BF7" w:rsidRDefault="00857F96"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 xml:space="preserve">Asas kesamaan di hadapan hukum banyak dimuat dalam peraturan perundang-undangan, hal ini menandakan urgensi dari asas itu sendiri. Adapun peraturan perundang-undangan yang memuas asas dimaksud seperti Pasal 4 ayat (1) UU kekuasaan Kehakiman, pengadilan mengadili menurut hukum dengan tidak membeda-bedakan orang. Pasal 3 ayat (2) UU HAM: </w:t>
      </w:r>
      <w:r w:rsidRPr="00D21BF7">
        <w:rPr>
          <w:rFonts w:asciiTheme="majorBidi" w:hAnsiTheme="majorBidi" w:cstheme="majorBidi"/>
          <w:i/>
          <w:iCs/>
        </w:rPr>
        <w:t xml:space="preserve">Setiap orang berhak atas pengakuan, jaminan, perlindungan dan perlakuan hukum yang adil </w:t>
      </w:r>
      <w:proofErr w:type="spellStart"/>
      <w:r w:rsidRPr="00D21BF7">
        <w:rPr>
          <w:rFonts w:asciiTheme="majorBidi" w:hAnsiTheme="majorBidi" w:cstheme="majorBidi"/>
          <w:i/>
          <w:iCs/>
        </w:rPr>
        <w:t>sertamendapat</w:t>
      </w:r>
      <w:proofErr w:type="spellEnd"/>
      <w:r w:rsidRPr="00D21BF7">
        <w:rPr>
          <w:rFonts w:asciiTheme="majorBidi" w:hAnsiTheme="majorBidi" w:cstheme="majorBidi"/>
          <w:i/>
          <w:iCs/>
        </w:rPr>
        <w:t xml:space="preserve"> kepastian hukum dan </w:t>
      </w:r>
      <w:r w:rsidRPr="00D21BF7">
        <w:rPr>
          <w:rFonts w:asciiTheme="majorBidi" w:hAnsiTheme="majorBidi" w:cstheme="majorBidi"/>
        </w:rPr>
        <w:t>perlakuan yang sama di depan hukum</w:t>
      </w:r>
      <w:r w:rsidRPr="00D21BF7">
        <w:rPr>
          <w:rFonts w:asciiTheme="majorBidi" w:hAnsiTheme="majorBidi" w:cstheme="majorBidi"/>
          <w:i/>
          <w:iCs/>
        </w:rPr>
        <w:t xml:space="preserve">. </w:t>
      </w:r>
      <w:r w:rsidRPr="00D21BF7">
        <w:rPr>
          <w:rFonts w:asciiTheme="majorBidi" w:hAnsiTheme="majorBidi" w:cstheme="majorBidi"/>
        </w:rPr>
        <w:t xml:space="preserve">Pasal 5 ayat (1) UU HAM: </w:t>
      </w:r>
      <w:r w:rsidRPr="00D21BF7">
        <w:rPr>
          <w:rFonts w:asciiTheme="majorBidi" w:hAnsiTheme="majorBidi" w:cstheme="majorBidi"/>
          <w:i/>
          <w:iCs/>
        </w:rPr>
        <w:t>Setiap orang diakui sebagai manusia pribadi yang berhak menuntut dan memperoleh </w:t>
      </w:r>
      <w:r w:rsidRPr="00D21BF7">
        <w:rPr>
          <w:rFonts w:asciiTheme="majorBidi" w:hAnsiTheme="majorBidi" w:cstheme="majorBidi"/>
        </w:rPr>
        <w:t>perlakuan serta </w:t>
      </w:r>
      <w:r w:rsidRPr="00D21BF7">
        <w:rPr>
          <w:rFonts w:asciiTheme="majorBidi" w:hAnsiTheme="majorBidi" w:cstheme="majorBidi"/>
          <w:i/>
          <w:iCs/>
        </w:rPr>
        <w:t>perlindungan yang sama sesuai dengan martabat kemanusiaannya di depan hukum.</w:t>
      </w:r>
    </w:p>
    <w:p w14:paraId="38D2530F" w14:textId="317068A3" w:rsidR="00857F96" w:rsidRPr="00D21BF7" w:rsidRDefault="00857F96"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Kemudian dalam </w:t>
      </w:r>
      <w:r w:rsidRPr="00D21BF7">
        <w:rPr>
          <w:rStyle w:val="Emphasis"/>
          <w:rFonts w:asciiTheme="majorBidi" w:hAnsiTheme="majorBidi" w:cstheme="majorBidi"/>
        </w:rPr>
        <w:t xml:space="preserve">International </w:t>
      </w:r>
      <w:proofErr w:type="spellStart"/>
      <w:r w:rsidRPr="00D21BF7">
        <w:rPr>
          <w:rStyle w:val="Emphasis"/>
          <w:rFonts w:asciiTheme="majorBidi" w:hAnsiTheme="majorBidi" w:cstheme="majorBidi"/>
        </w:rPr>
        <w:t>Covenant</w:t>
      </w:r>
      <w:proofErr w:type="spellEnd"/>
      <w:r w:rsidRPr="00D21BF7">
        <w:rPr>
          <w:rStyle w:val="Emphasis"/>
          <w:rFonts w:asciiTheme="majorBidi" w:hAnsiTheme="majorBidi" w:cstheme="majorBidi"/>
        </w:rPr>
        <w:t xml:space="preserve"> </w:t>
      </w:r>
      <w:proofErr w:type="spellStart"/>
      <w:r w:rsidRPr="00D21BF7">
        <w:rPr>
          <w:rStyle w:val="Emphasis"/>
          <w:rFonts w:asciiTheme="majorBidi" w:hAnsiTheme="majorBidi" w:cstheme="majorBidi"/>
        </w:rPr>
        <w:t>on</w:t>
      </w:r>
      <w:proofErr w:type="spellEnd"/>
      <w:r w:rsidRPr="00D21BF7">
        <w:rPr>
          <w:rStyle w:val="Emphasis"/>
          <w:rFonts w:asciiTheme="majorBidi" w:hAnsiTheme="majorBidi" w:cstheme="majorBidi"/>
        </w:rPr>
        <w:t xml:space="preserve"> </w:t>
      </w:r>
      <w:proofErr w:type="spellStart"/>
      <w:r w:rsidRPr="00D21BF7">
        <w:rPr>
          <w:rStyle w:val="Emphasis"/>
          <w:rFonts w:asciiTheme="majorBidi" w:hAnsiTheme="majorBidi" w:cstheme="majorBidi"/>
        </w:rPr>
        <w:t>Civil</w:t>
      </w:r>
      <w:proofErr w:type="spellEnd"/>
      <w:r w:rsidRPr="00D21BF7">
        <w:rPr>
          <w:rStyle w:val="Emphasis"/>
          <w:rFonts w:asciiTheme="majorBidi" w:hAnsiTheme="majorBidi" w:cstheme="majorBidi"/>
        </w:rPr>
        <w:t xml:space="preserve"> </w:t>
      </w:r>
      <w:proofErr w:type="spellStart"/>
      <w:r w:rsidRPr="00D21BF7">
        <w:rPr>
          <w:rStyle w:val="Emphasis"/>
          <w:rFonts w:asciiTheme="majorBidi" w:hAnsiTheme="majorBidi" w:cstheme="majorBidi"/>
        </w:rPr>
        <w:t>and</w:t>
      </w:r>
      <w:proofErr w:type="spellEnd"/>
      <w:r w:rsidRPr="00D21BF7">
        <w:rPr>
          <w:rStyle w:val="Emphasis"/>
          <w:rFonts w:asciiTheme="majorBidi" w:hAnsiTheme="majorBidi" w:cstheme="majorBidi"/>
        </w:rPr>
        <w:t xml:space="preserve"> </w:t>
      </w:r>
      <w:proofErr w:type="spellStart"/>
      <w:r w:rsidRPr="00D21BF7">
        <w:rPr>
          <w:rStyle w:val="Emphasis"/>
          <w:rFonts w:asciiTheme="majorBidi" w:hAnsiTheme="majorBidi" w:cstheme="majorBidi"/>
        </w:rPr>
        <w:t>Political</w:t>
      </w:r>
      <w:proofErr w:type="spellEnd"/>
      <w:r w:rsidRPr="00D21BF7">
        <w:rPr>
          <w:rStyle w:val="Emphasis"/>
          <w:rFonts w:asciiTheme="majorBidi" w:hAnsiTheme="majorBidi" w:cstheme="majorBidi"/>
        </w:rPr>
        <w:t xml:space="preserve"> </w:t>
      </w:r>
      <w:proofErr w:type="spellStart"/>
      <w:r w:rsidRPr="00D21BF7">
        <w:rPr>
          <w:rStyle w:val="Emphasis"/>
          <w:rFonts w:asciiTheme="majorBidi" w:hAnsiTheme="majorBidi" w:cstheme="majorBidi"/>
        </w:rPr>
        <w:t>Rights</w:t>
      </w:r>
      <w:proofErr w:type="spellEnd"/>
      <w:r w:rsidRPr="00D21BF7">
        <w:rPr>
          <w:rStyle w:val="Emphasis"/>
          <w:rFonts w:asciiTheme="majorBidi" w:hAnsiTheme="majorBidi" w:cstheme="majorBidi"/>
        </w:rPr>
        <w:t> </w:t>
      </w:r>
      <w:r w:rsidRPr="00D21BF7">
        <w:rPr>
          <w:rFonts w:asciiTheme="majorBidi" w:hAnsiTheme="majorBidi" w:cstheme="majorBidi"/>
        </w:rPr>
        <w:t>(ICCPR) juga dinyatakan</w:t>
      </w:r>
      <w:r w:rsidR="00FA28BF" w:rsidRPr="00D21BF7">
        <w:rPr>
          <w:rFonts w:asciiTheme="majorBidi" w:hAnsiTheme="majorBidi" w:cstheme="majorBidi"/>
        </w:rPr>
        <w:t xml:space="preserve"> dalam </w:t>
      </w:r>
      <w:r w:rsidRPr="00D21BF7">
        <w:rPr>
          <w:rStyle w:val="Strong"/>
          <w:rFonts w:asciiTheme="majorBidi" w:hAnsiTheme="majorBidi" w:cstheme="majorBidi"/>
        </w:rPr>
        <w:t>Pasal 16</w:t>
      </w:r>
      <w:r w:rsidR="00FA28BF" w:rsidRPr="00D21BF7">
        <w:rPr>
          <w:rStyle w:val="Strong"/>
          <w:rFonts w:asciiTheme="majorBidi" w:hAnsiTheme="majorBidi" w:cstheme="majorBidi"/>
        </w:rPr>
        <w:t xml:space="preserve"> bahwa</w:t>
      </w:r>
      <w:r w:rsidRPr="00D21BF7">
        <w:rPr>
          <w:rFonts w:asciiTheme="majorBidi" w:hAnsiTheme="majorBidi" w:cstheme="majorBidi"/>
        </w:rPr>
        <w:t xml:space="preserve"> </w:t>
      </w:r>
      <w:r w:rsidRPr="00D21BF7">
        <w:rPr>
          <w:rStyle w:val="Emphasis"/>
          <w:rFonts w:asciiTheme="majorBidi" w:hAnsiTheme="majorBidi" w:cstheme="majorBidi"/>
        </w:rPr>
        <w:t>Setiap orang berhak untuk diakui sebagai pribadi </w:t>
      </w:r>
      <w:r w:rsidRPr="00D21BF7">
        <w:rPr>
          <w:rStyle w:val="Strong"/>
          <w:rFonts w:asciiTheme="majorBidi" w:hAnsiTheme="majorBidi" w:cstheme="majorBidi"/>
          <w:i/>
          <w:iCs/>
        </w:rPr>
        <w:t>di hadapan hukum di mana pun</w:t>
      </w:r>
      <w:r w:rsidRPr="00D21BF7">
        <w:rPr>
          <w:rStyle w:val="Emphasis"/>
          <w:rFonts w:asciiTheme="majorBidi" w:hAnsiTheme="majorBidi" w:cstheme="majorBidi"/>
        </w:rPr>
        <w:t xml:space="preserve">. ia berada. </w:t>
      </w:r>
      <w:r w:rsidR="00FA28BF" w:rsidRPr="00D21BF7">
        <w:rPr>
          <w:rStyle w:val="Emphasis"/>
          <w:rFonts w:asciiTheme="majorBidi" w:hAnsiTheme="majorBidi" w:cstheme="majorBidi"/>
          <w:i w:val="0"/>
          <w:iCs w:val="0"/>
        </w:rPr>
        <w:t xml:space="preserve">Selanjutnya dalam </w:t>
      </w:r>
      <w:r w:rsidRPr="00D21BF7">
        <w:rPr>
          <w:rStyle w:val="Strong"/>
          <w:rFonts w:asciiTheme="majorBidi" w:hAnsiTheme="majorBidi" w:cstheme="majorBidi"/>
        </w:rPr>
        <w:t>Pasal 26 ICCPR</w:t>
      </w:r>
      <w:r w:rsidR="00FA28BF" w:rsidRPr="00D21BF7">
        <w:rPr>
          <w:rFonts w:asciiTheme="majorBidi" w:hAnsiTheme="majorBidi" w:cstheme="majorBidi"/>
        </w:rPr>
        <w:t xml:space="preserve"> juga dijelaskan bahwa</w:t>
      </w:r>
      <w:r w:rsidRPr="00D21BF7">
        <w:rPr>
          <w:rFonts w:asciiTheme="majorBidi" w:hAnsiTheme="majorBidi" w:cstheme="majorBidi"/>
        </w:rPr>
        <w:t xml:space="preserve"> </w:t>
      </w:r>
      <w:r w:rsidRPr="00D21BF7">
        <w:rPr>
          <w:rStyle w:val="Emphasis"/>
          <w:rFonts w:asciiTheme="majorBidi" w:hAnsiTheme="majorBidi" w:cstheme="majorBidi"/>
        </w:rPr>
        <w:t>Semua orang </w:t>
      </w:r>
      <w:r w:rsidRPr="00D21BF7">
        <w:rPr>
          <w:rStyle w:val="Strong"/>
          <w:rFonts w:asciiTheme="majorBidi" w:hAnsiTheme="majorBidi" w:cstheme="majorBidi"/>
          <w:i/>
          <w:iCs/>
        </w:rPr>
        <w:t>berkedudukan sama di hadapan hukum </w:t>
      </w:r>
      <w:r w:rsidRPr="00D21BF7">
        <w:rPr>
          <w:rStyle w:val="Emphasis"/>
          <w:rFonts w:asciiTheme="majorBidi" w:hAnsiTheme="majorBidi" w:cstheme="majorBidi"/>
        </w:rPr>
        <w:t>dan berhak atas perlindungan hukum yang sama tanpa diskriminasi apa pun. Dalam hal ini </w:t>
      </w:r>
      <w:r w:rsidRPr="00D21BF7">
        <w:rPr>
          <w:rStyle w:val="Strong"/>
          <w:rFonts w:asciiTheme="majorBidi" w:hAnsiTheme="majorBidi" w:cstheme="majorBidi"/>
          <w:i/>
          <w:iCs/>
        </w:rPr>
        <w:t>hukum harus melarang diskriminasi</w:t>
      </w:r>
      <w:r w:rsidRPr="00D21BF7">
        <w:rPr>
          <w:rStyle w:val="Emphasis"/>
          <w:rFonts w:asciiTheme="majorBidi" w:hAnsiTheme="majorBidi" w:cstheme="majorBidi"/>
        </w:rPr>
        <w:t> apa pun, dan </w:t>
      </w:r>
      <w:r w:rsidRPr="00D21BF7">
        <w:rPr>
          <w:rStyle w:val="Strong"/>
          <w:rFonts w:asciiTheme="majorBidi" w:hAnsiTheme="majorBidi" w:cstheme="majorBidi"/>
          <w:i/>
          <w:iCs/>
        </w:rPr>
        <w:t>menjamin perlindungan yang sama dan efektif</w:t>
      </w:r>
      <w:r w:rsidRPr="00D21BF7">
        <w:rPr>
          <w:rStyle w:val="Emphasis"/>
          <w:rFonts w:asciiTheme="majorBidi" w:hAnsiTheme="majorBidi" w:cstheme="majorBidi"/>
        </w:rPr>
        <w:t xml:space="preserve"> bagi semua orang terhadap diskriminasi atas dasar apa pun seperti ras, warna, jenis kelamin, bahasa, agama, politik atau pendapat lain, asal-usul Kebangsaan atau sosial, kekayaan, kelahiran atau status.</w:t>
      </w:r>
      <w:r w:rsidR="009F76BE" w:rsidRPr="00D21BF7">
        <w:rPr>
          <w:rStyle w:val="FootnoteReference"/>
          <w:rFonts w:asciiTheme="majorBidi" w:hAnsiTheme="majorBidi" w:cstheme="majorBidi"/>
          <w:i/>
          <w:iCs/>
        </w:rPr>
        <w:footnoteReference w:id="36"/>
      </w:r>
    </w:p>
    <w:p w14:paraId="57E40B06" w14:textId="15172E41" w:rsidR="005D2E1B" w:rsidRPr="00D21BF7" w:rsidRDefault="005433BF"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Asas</w:t>
      </w:r>
      <w:r w:rsidR="005D2E1B" w:rsidRPr="00D21BF7">
        <w:rPr>
          <w:rFonts w:asciiTheme="majorBidi" w:hAnsiTheme="majorBidi" w:cstheme="majorBidi"/>
        </w:rPr>
        <w:t xml:space="preserve"> kesetaraan </w:t>
      </w:r>
      <w:r w:rsidR="006E0136" w:rsidRPr="00D21BF7">
        <w:rPr>
          <w:rFonts w:asciiTheme="majorBidi" w:hAnsiTheme="majorBidi" w:cstheme="majorBidi"/>
        </w:rPr>
        <w:t>di hadapan</w:t>
      </w:r>
      <w:r w:rsidR="005D2E1B" w:rsidRPr="00D21BF7">
        <w:rPr>
          <w:rFonts w:asciiTheme="majorBidi" w:hAnsiTheme="majorBidi" w:cstheme="majorBidi"/>
        </w:rPr>
        <w:t xml:space="preserve"> hukum sudah ada dalam kitab-kitab keagamaan sejak awal. Menurut Perjanjian Lama, tepatnya di Kitab Bilangan Bab 15, ayat 15 dan 16, manusia memiliki kedudukan yang sama di hadapan Tuhan.</w:t>
      </w:r>
      <w:r w:rsidRPr="00D21BF7">
        <w:rPr>
          <w:rFonts w:asciiTheme="majorBidi" w:hAnsiTheme="majorBidi" w:cstheme="majorBidi"/>
        </w:rPr>
        <w:t xml:space="preserve"> </w:t>
      </w:r>
      <w:r w:rsidR="005D2E1B" w:rsidRPr="00D21BF7">
        <w:rPr>
          <w:rFonts w:asciiTheme="majorBidi" w:hAnsiTheme="majorBidi" w:cstheme="majorBidi"/>
        </w:rPr>
        <w:t xml:space="preserve">Kemudian, dalam Al </w:t>
      </w:r>
      <w:r w:rsidR="009F76BE" w:rsidRPr="00D21BF7">
        <w:rPr>
          <w:rFonts w:asciiTheme="majorBidi" w:hAnsiTheme="majorBidi" w:cstheme="majorBidi"/>
        </w:rPr>
        <w:t>Quran</w:t>
      </w:r>
      <w:r w:rsidR="005D2E1B" w:rsidRPr="00D21BF7">
        <w:rPr>
          <w:rFonts w:asciiTheme="majorBidi" w:hAnsiTheme="majorBidi" w:cstheme="majorBidi"/>
        </w:rPr>
        <w:t xml:space="preserve"> surah Al-</w:t>
      </w:r>
      <w:proofErr w:type="spellStart"/>
      <w:r w:rsidR="005D2E1B" w:rsidRPr="00D21BF7">
        <w:rPr>
          <w:rFonts w:asciiTheme="majorBidi" w:hAnsiTheme="majorBidi" w:cstheme="majorBidi"/>
        </w:rPr>
        <w:t>Hujurat</w:t>
      </w:r>
      <w:proofErr w:type="spellEnd"/>
      <w:r w:rsidR="005D2E1B" w:rsidRPr="00D21BF7">
        <w:rPr>
          <w:rFonts w:asciiTheme="majorBidi" w:hAnsiTheme="majorBidi" w:cstheme="majorBidi"/>
        </w:rPr>
        <w:t xml:space="preserve"> ayat 13, konsep egalitarian</w:t>
      </w:r>
      <w:r w:rsidRPr="00D21BF7">
        <w:rPr>
          <w:rFonts w:asciiTheme="majorBidi" w:hAnsiTheme="majorBidi" w:cstheme="majorBidi"/>
        </w:rPr>
        <w:t xml:space="preserve">, </w:t>
      </w:r>
      <w:r w:rsidR="005D2E1B" w:rsidRPr="00D21BF7">
        <w:rPr>
          <w:rFonts w:asciiTheme="majorBidi" w:hAnsiTheme="majorBidi" w:cstheme="majorBidi"/>
        </w:rPr>
        <w:t>persamaan antara setiap orang tanpa memandang jenis kelamin, bangsa, suku, atau keturunannya</w:t>
      </w:r>
      <w:r w:rsidRPr="00D21BF7">
        <w:rPr>
          <w:rFonts w:asciiTheme="majorBidi" w:hAnsiTheme="majorBidi" w:cstheme="majorBidi"/>
        </w:rPr>
        <w:t xml:space="preserve">, </w:t>
      </w:r>
      <w:r w:rsidR="005D2E1B" w:rsidRPr="00D21BF7">
        <w:rPr>
          <w:rFonts w:asciiTheme="majorBidi" w:hAnsiTheme="majorBidi" w:cstheme="majorBidi"/>
        </w:rPr>
        <w:t>dibahas.</w:t>
      </w:r>
      <w:r w:rsidR="006E0136" w:rsidRPr="00D21BF7">
        <w:rPr>
          <w:rStyle w:val="FootnoteReference"/>
          <w:rFonts w:asciiTheme="majorBidi" w:hAnsiTheme="majorBidi" w:cstheme="majorBidi"/>
        </w:rPr>
        <w:footnoteReference w:id="37"/>
      </w:r>
    </w:p>
    <w:p w14:paraId="515F207F" w14:textId="0EA3424E" w:rsidR="009428BD" w:rsidRPr="00D21BF7" w:rsidRDefault="005433BF"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Asas</w:t>
      </w:r>
      <w:r w:rsidR="005D2E1B" w:rsidRPr="00D21BF7">
        <w:rPr>
          <w:rFonts w:asciiTheme="majorBidi" w:hAnsiTheme="majorBidi" w:cstheme="majorBidi"/>
        </w:rPr>
        <w:t xml:space="preserve"> kesetaraan ditemukan di masa Dinasti </w:t>
      </w:r>
      <w:proofErr w:type="spellStart"/>
      <w:r w:rsidR="005D2E1B" w:rsidRPr="00D21BF7">
        <w:rPr>
          <w:rFonts w:asciiTheme="majorBidi" w:hAnsiTheme="majorBidi" w:cstheme="majorBidi"/>
        </w:rPr>
        <w:t>Zhou</w:t>
      </w:r>
      <w:proofErr w:type="spellEnd"/>
      <w:r w:rsidR="005D2E1B" w:rsidRPr="00D21BF7">
        <w:rPr>
          <w:rFonts w:asciiTheme="majorBidi" w:hAnsiTheme="majorBidi" w:cstheme="majorBidi"/>
        </w:rPr>
        <w:t xml:space="preserve">, yang berlangsung dari 1045 SM hingga 256 SM. </w:t>
      </w:r>
      <w:proofErr w:type="spellStart"/>
      <w:r w:rsidR="005D2E1B" w:rsidRPr="00D21BF7">
        <w:rPr>
          <w:rFonts w:asciiTheme="majorBidi" w:hAnsiTheme="majorBidi" w:cstheme="majorBidi"/>
        </w:rPr>
        <w:t>Xia</w:t>
      </w:r>
      <w:proofErr w:type="spellEnd"/>
      <w:r w:rsidR="005D2E1B" w:rsidRPr="00D21BF7">
        <w:rPr>
          <w:rFonts w:asciiTheme="majorBidi" w:hAnsiTheme="majorBidi" w:cstheme="majorBidi"/>
        </w:rPr>
        <w:t xml:space="preserve"> </w:t>
      </w:r>
      <w:proofErr w:type="spellStart"/>
      <w:r w:rsidR="005D2E1B" w:rsidRPr="00D21BF7">
        <w:rPr>
          <w:rFonts w:asciiTheme="majorBidi" w:hAnsiTheme="majorBidi" w:cstheme="majorBidi"/>
        </w:rPr>
        <w:t>Zhang</w:t>
      </w:r>
      <w:proofErr w:type="spellEnd"/>
      <w:r w:rsidR="005D2E1B" w:rsidRPr="00D21BF7">
        <w:rPr>
          <w:rFonts w:asciiTheme="majorBidi" w:hAnsiTheme="majorBidi" w:cstheme="majorBidi"/>
        </w:rPr>
        <w:t xml:space="preserve"> menjelaskan bahwa </w:t>
      </w:r>
      <w:proofErr w:type="spellStart"/>
      <w:r w:rsidR="005D2E1B" w:rsidRPr="00D21BF7">
        <w:rPr>
          <w:rFonts w:asciiTheme="majorBidi" w:hAnsiTheme="majorBidi" w:cstheme="majorBidi"/>
        </w:rPr>
        <w:t>Guang</w:t>
      </w:r>
      <w:proofErr w:type="spellEnd"/>
      <w:r w:rsidR="005D2E1B" w:rsidRPr="00D21BF7">
        <w:rPr>
          <w:rFonts w:asciiTheme="majorBidi" w:hAnsiTheme="majorBidi" w:cstheme="majorBidi"/>
        </w:rPr>
        <w:t xml:space="preserve"> </w:t>
      </w:r>
      <w:proofErr w:type="spellStart"/>
      <w:r w:rsidR="005D2E1B" w:rsidRPr="00D21BF7">
        <w:rPr>
          <w:rFonts w:asciiTheme="majorBidi" w:hAnsiTheme="majorBidi" w:cstheme="majorBidi"/>
        </w:rPr>
        <w:t>Zhong</w:t>
      </w:r>
      <w:proofErr w:type="spellEnd"/>
      <w:r w:rsidR="005D2E1B" w:rsidRPr="00D21BF7">
        <w:rPr>
          <w:rFonts w:asciiTheme="majorBidi" w:hAnsiTheme="majorBidi" w:cstheme="majorBidi"/>
        </w:rPr>
        <w:t xml:space="preserve">, seorang filsuf di masa Dinasti </w:t>
      </w:r>
      <w:proofErr w:type="spellStart"/>
      <w:r w:rsidR="005D2E1B" w:rsidRPr="00D21BF7">
        <w:rPr>
          <w:rFonts w:asciiTheme="majorBidi" w:hAnsiTheme="majorBidi" w:cstheme="majorBidi"/>
        </w:rPr>
        <w:t>Zhou</w:t>
      </w:r>
      <w:proofErr w:type="spellEnd"/>
      <w:r w:rsidR="005D2E1B" w:rsidRPr="00D21BF7">
        <w:rPr>
          <w:rFonts w:asciiTheme="majorBidi" w:hAnsiTheme="majorBidi" w:cstheme="majorBidi"/>
        </w:rPr>
        <w:t>, mengatakan bahwa jika raja dan rakyat mematuhi hukum, negara akan menjadi tatanan yang besar.</w:t>
      </w:r>
      <w:r w:rsidRPr="00D21BF7">
        <w:rPr>
          <w:rFonts w:asciiTheme="majorBidi" w:hAnsiTheme="majorBidi" w:cstheme="majorBidi"/>
        </w:rPr>
        <w:t xml:space="preserve"> </w:t>
      </w:r>
      <w:proofErr w:type="spellStart"/>
      <w:r w:rsidRPr="00D21BF7">
        <w:rPr>
          <w:rFonts w:asciiTheme="majorBidi" w:hAnsiTheme="majorBidi" w:cstheme="majorBidi"/>
        </w:rPr>
        <w:t>Guang</w:t>
      </w:r>
      <w:proofErr w:type="spellEnd"/>
      <w:r w:rsidRPr="00D21BF7">
        <w:rPr>
          <w:rFonts w:asciiTheme="majorBidi" w:hAnsiTheme="majorBidi" w:cstheme="majorBidi"/>
        </w:rPr>
        <w:t xml:space="preserve"> </w:t>
      </w:r>
      <w:proofErr w:type="spellStart"/>
      <w:r w:rsidRPr="00D21BF7">
        <w:rPr>
          <w:rFonts w:asciiTheme="majorBidi" w:hAnsiTheme="majorBidi" w:cstheme="majorBidi"/>
        </w:rPr>
        <w:t>Zhong</w:t>
      </w:r>
      <w:proofErr w:type="spellEnd"/>
      <w:r w:rsidRPr="00D21BF7">
        <w:rPr>
          <w:rFonts w:asciiTheme="majorBidi" w:hAnsiTheme="majorBidi" w:cstheme="majorBidi"/>
        </w:rPr>
        <w:t xml:space="preserve"> mengatakan bahwa jatuh bangkitnya negara tidak bergantung pada raja; sebaliknya, itu bergantung pada ide atau sistem hukum yang ketat mengatur raja.</w:t>
      </w:r>
    </w:p>
    <w:p w14:paraId="29C06B86" w14:textId="1E23AE06" w:rsidR="005433BF" w:rsidRPr="00D21BF7" w:rsidRDefault="005433BF"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 xml:space="preserve">Asas kesetaraan pertama kali muncul di Yunani pada tahun 431 SM, tepatnya dalam pidato pemakaman </w:t>
      </w:r>
      <w:proofErr w:type="spellStart"/>
      <w:r w:rsidRPr="00D21BF7">
        <w:rPr>
          <w:rFonts w:asciiTheme="majorBidi" w:hAnsiTheme="majorBidi" w:cstheme="majorBidi"/>
        </w:rPr>
        <w:t>Pericles</w:t>
      </w:r>
      <w:proofErr w:type="spellEnd"/>
      <w:r w:rsidRPr="00D21BF7">
        <w:rPr>
          <w:rFonts w:asciiTheme="majorBidi" w:hAnsiTheme="majorBidi" w:cstheme="majorBidi"/>
        </w:rPr>
        <w:t xml:space="preserve">. Dalam Sejarah Peperangan </w:t>
      </w:r>
      <w:proofErr w:type="spellStart"/>
      <w:r w:rsidRPr="00D21BF7">
        <w:rPr>
          <w:rFonts w:asciiTheme="majorBidi" w:hAnsiTheme="majorBidi" w:cstheme="majorBidi"/>
        </w:rPr>
        <w:t>Peloponnesia</w:t>
      </w:r>
      <w:proofErr w:type="spellEnd"/>
      <w:r w:rsidRPr="00D21BF7">
        <w:rPr>
          <w:rFonts w:asciiTheme="majorBidi" w:hAnsiTheme="majorBidi" w:cstheme="majorBidi"/>
        </w:rPr>
        <w:t>,</w:t>
      </w:r>
      <w:r w:rsidR="00FD32F2" w:rsidRPr="00D21BF7">
        <w:rPr>
          <w:rStyle w:val="FootnoteReference"/>
          <w:rFonts w:asciiTheme="majorBidi" w:hAnsiTheme="majorBidi" w:cstheme="majorBidi"/>
        </w:rPr>
        <w:footnoteReference w:id="38"/>
      </w:r>
      <w:r w:rsidRPr="00D21BF7">
        <w:rPr>
          <w:rFonts w:asciiTheme="majorBidi" w:hAnsiTheme="majorBidi" w:cstheme="majorBidi"/>
        </w:rPr>
        <w:t xml:space="preserve"> </w:t>
      </w:r>
      <w:proofErr w:type="spellStart"/>
      <w:r w:rsidRPr="00D21BF7">
        <w:rPr>
          <w:rFonts w:asciiTheme="majorBidi" w:hAnsiTheme="majorBidi" w:cstheme="majorBidi"/>
        </w:rPr>
        <w:t>Thucydides</w:t>
      </w:r>
      <w:proofErr w:type="spellEnd"/>
      <w:r w:rsidRPr="00D21BF7">
        <w:rPr>
          <w:rFonts w:asciiTheme="majorBidi" w:hAnsiTheme="majorBidi" w:cstheme="majorBidi"/>
        </w:rPr>
        <w:t xml:space="preserve"> mengatakan bahwa hukum memberikan keadilan yang sama bagi semua orang.</w:t>
      </w:r>
      <w:r w:rsidR="007302EA" w:rsidRPr="00D21BF7">
        <w:rPr>
          <w:rFonts w:asciiTheme="majorBidi" w:hAnsiTheme="majorBidi" w:cstheme="majorBidi"/>
        </w:rPr>
        <w:t xml:space="preserve"> Asas kesamaan di depan hukum di Amerika berkembang dan mulai diadopsi negara bagian </w:t>
      </w:r>
      <w:proofErr w:type="spellStart"/>
      <w:r w:rsidR="007302EA" w:rsidRPr="00D21BF7">
        <w:rPr>
          <w:rFonts w:asciiTheme="majorBidi" w:hAnsiTheme="majorBidi" w:cstheme="majorBidi"/>
        </w:rPr>
        <w:t>Nebraska</w:t>
      </w:r>
      <w:proofErr w:type="spellEnd"/>
      <w:r w:rsidR="007302EA" w:rsidRPr="00D21BF7">
        <w:rPr>
          <w:rFonts w:asciiTheme="majorBidi" w:hAnsiTheme="majorBidi" w:cstheme="majorBidi"/>
        </w:rPr>
        <w:t xml:space="preserve"> sejak tahun 1867. Asas ini kemudian diterapkan di bendera dan stempel </w:t>
      </w:r>
      <w:proofErr w:type="spellStart"/>
      <w:r w:rsidR="007302EA" w:rsidRPr="00D21BF7">
        <w:rPr>
          <w:rFonts w:asciiTheme="majorBidi" w:hAnsiTheme="majorBidi" w:cstheme="majorBidi"/>
        </w:rPr>
        <w:t>Nebraska</w:t>
      </w:r>
      <w:proofErr w:type="spellEnd"/>
      <w:r w:rsidR="007302EA" w:rsidRPr="00D21BF7">
        <w:rPr>
          <w:rFonts w:asciiTheme="majorBidi" w:hAnsiTheme="majorBidi" w:cstheme="majorBidi"/>
        </w:rPr>
        <w:t xml:space="preserve">. Menurut James E. </w:t>
      </w:r>
      <w:proofErr w:type="spellStart"/>
      <w:r w:rsidR="007302EA" w:rsidRPr="00D21BF7">
        <w:rPr>
          <w:rFonts w:asciiTheme="majorBidi" w:hAnsiTheme="majorBidi" w:cstheme="majorBidi"/>
        </w:rPr>
        <w:t>Potter</w:t>
      </w:r>
      <w:proofErr w:type="spellEnd"/>
      <w:r w:rsidR="007302EA" w:rsidRPr="00D21BF7">
        <w:rPr>
          <w:rFonts w:asciiTheme="majorBidi" w:hAnsiTheme="majorBidi" w:cstheme="majorBidi"/>
        </w:rPr>
        <w:t xml:space="preserve">, dijadikannya </w:t>
      </w:r>
      <w:r w:rsidR="007302EA" w:rsidRPr="00D21BF7">
        <w:rPr>
          <w:rFonts w:asciiTheme="majorBidi" w:hAnsiTheme="majorBidi" w:cstheme="majorBidi"/>
        </w:rPr>
        <w:lastRenderedPageBreak/>
        <w:t xml:space="preserve">asas persamaan di depan hukum sebagai lambang dibendera dan stempel </w:t>
      </w:r>
      <w:proofErr w:type="spellStart"/>
      <w:r w:rsidR="007302EA" w:rsidRPr="00D21BF7">
        <w:rPr>
          <w:rFonts w:asciiTheme="majorBidi" w:hAnsiTheme="majorBidi" w:cstheme="majorBidi"/>
        </w:rPr>
        <w:t>Nebraska</w:t>
      </w:r>
      <w:proofErr w:type="spellEnd"/>
      <w:r w:rsidR="007302EA" w:rsidRPr="00D21BF7">
        <w:rPr>
          <w:rFonts w:asciiTheme="majorBidi" w:hAnsiTheme="majorBidi" w:cstheme="majorBidi"/>
        </w:rPr>
        <w:t xml:space="preserve"> sebagai simbol </w:t>
      </w:r>
      <w:proofErr w:type="spellStart"/>
      <w:r w:rsidR="007302EA" w:rsidRPr="00D21BF7">
        <w:rPr>
          <w:rFonts w:asciiTheme="majorBidi" w:hAnsiTheme="majorBidi" w:cstheme="majorBidi"/>
        </w:rPr>
        <w:t>reperesentasi</w:t>
      </w:r>
      <w:proofErr w:type="spellEnd"/>
      <w:r w:rsidR="007302EA" w:rsidRPr="00D21BF7">
        <w:rPr>
          <w:rFonts w:asciiTheme="majorBidi" w:hAnsiTheme="majorBidi" w:cstheme="majorBidi"/>
        </w:rPr>
        <w:t xml:space="preserve"> hak-hak politik dan sipil bagi warga kulit hitam </w:t>
      </w:r>
      <w:proofErr w:type="spellStart"/>
      <w:r w:rsidR="007302EA" w:rsidRPr="00D21BF7">
        <w:rPr>
          <w:rFonts w:asciiTheme="majorBidi" w:hAnsiTheme="majorBidi" w:cstheme="majorBidi"/>
        </w:rPr>
        <w:t>Nebraska</w:t>
      </w:r>
      <w:proofErr w:type="spellEnd"/>
      <w:r w:rsidR="007302EA" w:rsidRPr="00D21BF7">
        <w:rPr>
          <w:rFonts w:asciiTheme="majorBidi" w:hAnsiTheme="majorBidi" w:cstheme="majorBidi"/>
        </w:rPr>
        <w:t>.</w:t>
      </w:r>
      <w:r w:rsidR="00FA28BF" w:rsidRPr="00D21BF7">
        <w:rPr>
          <w:rStyle w:val="FootnoteReference"/>
          <w:rFonts w:asciiTheme="majorBidi" w:hAnsiTheme="majorBidi" w:cstheme="majorBidi"/>
        </w:rPr>
        <w:footnoteReference w:id="39"/>
      </w:r>
    </w:p>
    <w:p w14:paraId="04D54B4B" w14:textId="6370165A" w:rsidR="00FD32F2" w:rsidRPr="00D21BF7" w:rsidRDefault="00FD32F2" w:rsidP="00D21BF7">
      <w:pPr>
        <w:pStyle w:val="ListParagraph"/>
        <w:spacing w:line="240" w:lineRule="auto"/>
        <w:ind w:left="0" w:firstLine="567"/>
        <w:jc w:val="both"/>
        <w:rPr>
          <w:rFonts w:asciiTheme="majorBidi" w:hAnsiTheme="majorBidi" w:cstheme="majorBidi"/>
        </w:rPr>
      </w:pPr>
      <w:r w:rsidRPr="00D21BF7">
        <w:rPr>
          <w:rFonts w:asciiTheme="majorBidi" w:hAnsiTheme="majorBidi" w:cstheme="majorBidi"/>
        </w:rPr>
        <w:t xml:space="preserve">Kemudian, pada 1948, Majelis Umum Perserikatan </w:t>
      </w:r>
      <w:proofErr w:type="spellStart"/>
      <w:r w:rsidRPr="00D21BF7">
        <w:rPr>
          <w:rFonts w:asciiTheme="majorBidi" w:hAnsiTheme="majorBidi" w:cstheme="majorBidi"/>
        </w:rPr>
        <w:t>Bangsa-Bangsa</w:t>
      </w:r>
      <w:proofErr w:type="spellEnd"/>
      <w:r w:rsidRPr="00D21BF7">
        <w:rPr>
          <w:rFonts w:asciiTheme="majorBidi" w:hAnsiTheme="majorBidi" w:cstheme="majorBidi"/>
        </w:rPr>
        <w:t xml:space="preserve"> di Paris mendeklarasikan The Universal </w:t>
      </w:r>
      <w:proofErr w:type="spellStart"/>
      <w:r w:rsidRPr="00D21BF7">
        <w:rPr>
          <w:rFonts w:asciiTheme="majorBidi" w:hAnsiTheme="majorBidi" w:cstheme="majorBidi"/>
        </w:rPr>
        <w:t>Declaration</w:t>
      </w:r>
      <w:proofErr w:type="spellEnd"/>
      <w:r w:rsidRPr="00D21BF7">
        <w:rPr>
          <w:rFonts w:asciiTheme="majorBidi" w:hAnsiTheme="majorBidi" w:cstheme="majorBidi"/>
        </w:rPr>
        <w:t xml:space="preserve"> </w:t>
      </w:r>
      <w:proofErr w:type="spellStart"/>
      <w:r w:rsidRPr="00D21BF7">
        <w:rPr>
          <w:rFonts w:asciiTheme="majorBidi" w:hAnsiTheme="majorBidi" w:cstheme="majorBidi"/>
        </w:rPr>
        <w:t>of</w:t>
      </w:r>
      <w:proofErr w:type="spellEnd"/>
      <w:r w:rsidRPr="00D21BF7">
        <w:rPr>
          <w:rFonts w:asciiTheme="majorBidi" w:hAnsiTheme="majorBidi" w:cstheme="majorBidi"/>
        </w:rPr>
        <w:t xml:space="preserve"> Human </w:t>
      </w:r>
      <w:proofErr w:type="spellStart"/>
      <w:r w:rsidRPr="00D21BF7">
        <w:rPr>
          <w:rFonts w:asciiTheme="majorBidi" w:hAnsiTheme="majorBidi" w:cstheme="majorBidi"/>
        </w:rPr>
        <w:t>Rights</w:t>
      </w:r>
      <w:proofErr w:type="spellEnd"/>
      <w:r w:rsidRPr="00D21BF7">
        <w:rPr>
          <w:rFonts w:asciiTheme="majorBidi" w:hAnsiTheme="majorBidi" w:cstheme="majorBidi"/>
        </w:rPr>
        <w:t xml:space="preserve"> (UDHR). Dokumen ini membahas ketentuan hak-hak asasi manusia, termasuk asas </w:t>
      </w:r>
      <w:proofErr w:type="spellStart"/>
      <w:r w:rsidRPr="00D21BF7">
        <w:rPr>
          <w:rFonts w:asciiTheme="majorBidi" w:hAnsiTheme="majorBidi" w:cstheme="majorBidi"/>
          <w:i/>
          <w:iCs/>
        </w:rPr>
        <w:t>equality</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before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the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law</w:t>
      </w:r>
      <w:proofErr w:type="spellEnd"/>
      <w:r w:rsidRPr="00D21BF7">
        <w:rPr>
          <w:rFonts w:asciiTheme="majorBidi" w:hAnsiTheme="majorBidi" w:cstheme="majorBidi"/>
          <w:i/>
          <w:iCs/>
        </w:rPr>
        <w:t>. </w:t>
      </w:r>
      <w:r w:rsidRPr="00D21BF7">
        <w:rPr>
          <w:rFonts w:asciiTheme="majorBidi" w:hAnsiTheme="majorBidi" w:cstheme="majorBidi"/>
        </w:rPr>
        <w:t>Pasal 7 UDHR mendeklarasikan bahwa semua orang sama di depan hukum dan berhak atas perlindungan hukum yang sama tanpa diskriminasi.</w:t>
      </w:r>
      <w:r w:rsidR="009F3BF0" w:rsidRPr="00D21BF7">
        <w:rPr>
          <w:rStyle w:val="FootnoteReference"/>
          <w:rFonts w:asciiTheme="majorBidi" w:hAnsiTheme="majorBidi" w:cstheme="majorBidi"/>
        </w:rPr>
        <w:footnoteReference w:id="40"/>
      </w:r>
      <w:r w:rsidRPr="00D21BF7">
        <w:rPr>
          <w:rFonts w:asciiTheme="majorBidi" w:hAnsiTheme="majorBidi" w:cstheme="majorBidi"/>
        </w:rPr>
        <w:t>Pada 1955, asas </w:t>
      </w:r>
      <w:proofErr w:type="spellStart"/>
      <w:r w:rsidRPr="00D21BF7">
        <w:rPr>
          <w:rFonts w:asciiTheme="majorBidi" w:hAnsiTheme="majorBidi" w:cstheme="majorBidi"/>
          <w:i/>
          <w:iCs/>
        </w:rPr>
        <w:t>equality</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before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the</w:t>
      </w:r>
      <w:proofErr w:type="spellEnd"/>
      <w:r w:rsidRPr="00D21BF7">
        <w:rPr>
          <w:rFonts w:asciiTheme="majorBidi" w:hAnsiTheme="majorBidi" w:cstheme="majorBidi"/>
          <w:i/>
          <w:iCs/>
        </w:rPr>
        <w:t xml:space="preserve"> </w:t>
      </w:r>
      <w:proofErr w:type="spellStart"/>
      <w:r w:rsidRPr="00D21BF7">
        <w:rPr>
          <w:rFonts w:asciiTheme="majorBidi" w:hAnsiTheme="majorBidi" w:cstheme="majorBidi"/>
          <w:i/>
          <w:iCs/>
        </w:rPr>
        <w:t>law</w:t>
      </w:r>
      <w:proofErr w:type="spellEnd"/>
      <w:r w:rsidRPr="00D21BF7">
        <w:rPr>
          <w:rFonts w:asciiTheme="majorBidi" w:hAnsiTheme="majorBidi" w:cstheme="majorBidi"/>
          <w:i/>
          <w:iCs/>
        </w:rPr>
        <w:t> </w:t>
      </w:r>
      <w:r w:rsidRPr="00D21BF7">
        <w:rPr>
          <w:rFonts w:asciiTheme="majorBidi" w:hAnsiTheme="majorBidi" w:cstheme="majorBidi"/>
        </w:rPr>
        <w:t xml:space="preserve">kembali </w:t>
      </w:r>
      <w:proofErr w:type="spellStart"/>
      <w:r w:rsidRPr="00D21BF7">
        <w:rPr>
          <w:rFonts w:asciiTheme="majorBidi" w:hAnsiTheme="majorBidi" w:cstheme="majorBidi"/>
        </w:rPr>
        <w:t>digaungkan</w:t>
      </w:r>
      <w:proofErr w:type="spellEnd"/>
      <w:r w:rsidRPr="00D21BF7">
        <w:rPr>
          <w:rFonts w:asciiTheme="majorBidi" w:hAnsiTheme="majorBidi" w:cstheme="majorBidi"/>
        </w:rPr>
        <w:t>, dalam tuntutan kelima Piagam Kebebasan Afrika Selatan yang meminta adanya kesetaraan di mata hukum.</w:t>
      </w:r>
      <w:r w:rsidR="00B01B27" w:rsidRPr="00D21BF7">
        <w:rPr>
          <w:rStyle w:val="FootnoteReference"/>
          <w:rFonts w:asciiTheme="majorBidi" w:hAnsiTheme="majorBidi" w:cstheme="majorBidi"/>
        </w:rPr>
        <w:footnoteReference w:id="41"/>
      </w:r>
    </w:p>
    <w:p w14:paraId="0373EB06" w14:textId="77777777" w:rsidR="00BB6B12" w:rsidRPr="00BB6B12" w:rsidRDefault="00BB6B12" w:rsidP="00BB6B12">
      <w:pPr>
        <w:pStyle w:val="ListParagraph"/>
        <w:spacing w:after="0" w:line="240" w:lineRule="auto"/>
        <w:ind w:left="1287"/>
        <w:jc w:val="both"/>
        <w:rPr>
          <w:rFonts w:asciiTheme="majorBidi" w:hAnsiTheme="majorBidi" w:cstheme="majorBidi"/>
          <w:sz w:val="24"/>
          <w:szCs w:val="24"/>
        </w:rPr>
      </w:pPr>
    </w:p>
    <w:p w14:paraId="1F16F42C" w14:textId="4BDAE1AE" w:rsidR="00BB6B12" w:rsidRPr="00F6627D" w:rsidRDefault="002F18EF" w:rsidP="002F18EF">
      <w:pPr>
        <w:pStyle w:val="ListParagraph"/>
        <w:numPr>
          <w:ilvl w:val="1"/>
          <w:numId w:val="19"/>
        </w:numPr>
        <w:spacing w:after="0" w:line="240" w:lineRule="auto"/>
        <w:ind w:left="567" w:hanging="567"/>
        <w:jc w:val="both"/>
        <w:rPr>
          <w:rFonts w:asciiTheme="majorBidi" w:hAnsiTheme="majorBidi" w:cstheme="majorBidi"/>
          <w:b/>
          <w:bCs/>
          <w:sz w:val="24"/>
          <w:szCs w:val="24"/>
        </w:rPr>
      </w:pPr>
      <w:r w:rsidRPr="00F6627D">
        <w:rPr>
          <w:rFonts w:asciiTheme="majorBidi" w:hAnsiTheme="majorBidi" w:cstheme="majorBidi"/>
          <w:b/>
          <w:bCs/>
          <w:sz w:val="24"/>
          <w:szCs w:val="24"/>
        </w:rPr>
        <w:t xml:space="preserve">SEMA </w:t>
      </w:r>
      <w:proofErr w:type="spellStart"/>
      <w:r w:rsidRPr="00F6627D">
        <w:rPr>
          <w:rFonts w:asciiTheme="majorBidi" w:hAnsiTheme="majorBidi" w:cstheme="majorBidi"/>
          <w:b/>
          <w:bCs/>
          <w:sz w:val="24"/>
          <w:szCs w:val="24"/>
        </w:rPr>
        <w:t>Vis</w:t>
      </w:r>
      <w:proofErr w:type="spellEnd"/>
      <w:r w:rsidRPr="00F6627D">
        <w:rPr>
          <w:rFonts w:asciiTheme="majorBidi" w:hAnsiTheme="majorBidi" w:cstheme="majorBidi"/>
          <w:b/>
          <w:bCs/>
          <w:sz w:val="24"/>
          <w:szCs w:val="24"/>
        </w:rPr>
        <w:t xml:space="preserve"> a </w:t>
      </w:r>
      <w:proofErr w:type="spellStart"/>
      <w:r w:rsidRPr="00F6627D">
        <w:rPr>
          <w:rFonts w:asciiTheme="majorBidi" w:hAnsiTheme="majorBidi" w:cstheme="majorBidi"/>
          <w:b/>
          <w:bCs/>
          <w:sz w:val="24"/>
          <w:szCs w:val="24"/>
        </w:rPr>
        <w:t>Vis</w:t>
      </w:r>
      <w:proofErr w:type="spellEnd"/>
      <w:r w:rsidRPr="00F6627D">
        <w:rPr>
          <w:rFonts w:asciiTheme="majorBidi" w:hAnsiTheme="majorBidi" w:cstheme="majorBidi"/>
          <w:b/>
          <w:bCs/>
          <w:sz w:val="24"/>
          <w:szCs w:val="24"/>
        </w:rPr>
        <w:t xml:space="preserve">  </w:t>
      </w:r>
      <w:proofErr w:type="spellStart"/>
      <w:r w:rsidR="001337C4" w:rsidRPr="00F6627D">
        <w:rPr>
          <w:rFonts w:asciiTheme="majorBidi" w:hAnsiTheme="majorBidi" w:cstheme="majorBidi"/>
          <w:b/>
          <w:bCs/>
          <w:i/>
          <w:iCs/>
          <w:sz w:val="24"/>
          <w:szCs w:val="24"/>
        </w:rPr>
        <w:t>Interreligious</w:t>
      </w:r>
      <w:proofErr w:type="spellEnd"/>
      <w:r w:rsidR="001337C4" w:rsidRPr="00F6627D">
        <w:rPr>
          <w:rFonts w:asciiTheme="majorBidi" w:hAnsiTheme="majorBidi" w:cstheme="majorBidi"/>
          <w:b/>
          <w:bCs/>
          <w:i/>
          <w:iCs/>
          <w:sz w:val="24"/>
          <w:szCs w:val="24"/>
        </w:rPr>
        <w:t xml:space="preserve"> </w:t>
      </w:r>
      <w:proofErr w:type="spellStart"/>
      <w:r w:rsidR="004353A7" w:rsidRPr="00F6627D">
        <w:rPr>
          <w:rFonts w:asciiTheme="majorBidi" w:hAnsiTheme="majorBidi" w:cstheme="majorBidi"/>
          <w:b/>
          <w:bCs/>
          <w:i/>
          <w:iCs/>
          <w:sz w:val="24"/>
          <w:szCs w:val="24"/>
        </w:rPr>
        <w:t>Marriage</w:t>
      </w:r>
      <w:proofErr w:type="spellEnd"/>
      <w:r w:rsidR="004353A7" w:rsidRPr="00F6627D">
        <w:rPr>
          <w:rFonts w:asciiTheme="majorBidi" w:hAnsiTheme="majorBidi" w:cstheme="majorBidi"/>
          <w:b/>
          <w:bCs/>
          <w:sz w:val="24"/>
          <w:szCs w:val="24"/>
        </w:rPr>
        <w:t xml:space="preserve"> </w:t>
      </w:r>
      <w:r w:rsidRPr="00F6627D">
        <w:rPr>
          <w:rFonts w:asciiTheme="majorBidi" w:hAnsiTheme="majorBidi" w:cstheme="majorBidi"/>
          <w:b/>
          <w:bCs/>
          <w:sz w:val="24"/>
          <w:szCs w:val="24"/>
        </w:rPr>
        <w:t>Transnasional Perspektif Internasional Privat Law</w:t>
      </w:r>
    </w:p>
    <w:p w14:paraId="36057AE1" w14:textId="6A9CE379" w:rsidR="001C0496" w:rsidRPr="002F18EF" w:rsidRDefault="001C0496"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Terlepas tidak adanya </w:t>
      </w:r>
      <w:proofErr w:type="spellStart"/>
      <w:r w:rsidRPr="002F18EF">
        <w:rPr>
          <w:rFonts w:asciiTheme="majorBidi" w:hAnsiTheme="majorBidi" w:cstheme="majorBidi"/>
          <w:i/>
          <w:iCs/>
        </w:rPr>
        <w:t>legally</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binding</w:t>
      </w:r>
      <w:proofErr w:type="spellEnd"/>
      <w:r w:rsidRPr="002F18EF">
        <w:rPr>
          <w:rFonts w:asciiTheme="majorBidi" w:hAnsiTheme="majorBidi" w:cstheme="majorBidi"/>
        </w:rPr>
        <w:t xml:space="preserve"> dan </w:t>
      </w:r>
      <w:proofErr w:type="spellStart"/>
      <w:r w:rsidRPr="002F18EF">
        <w:rPr>
          <w:rFonts w:asciiTheme="majorBidi" w:hAnsiTheme="majorBidi" w:cstheme="majorBidi"/>
          <w:i/>
          <w:iCs/>
        </w:rPr>
        <w:t>morally</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binding</w:t>
      </w:r>
      <w:proofErr w:type="spellEnd"/>
      <w:r w:rsidRPr="002F18EF">
        <w:rPr>
          <w:rFonts w:asciiTheme="majorBidi" w:hAnsiTheme="majorBidi" w:cstheme="majorBidi"/>
        </w:rPr>
        <w:t xml:space="preserve"> SEMA yang telah diperbincangkan di atas </w:t>
      </w:r>
      <w:r w:rsidR="006458B8" w:rsidRPr="002F18EF">
        <w:rPr>
          <w:rFonts w:asciiTheme="majorBidi" w:hAnsiTheme="majorBidi" w:cstheme="majorBidi"/>
        </w:rPr>
        <w:t xml:space="preserve">bagi hakim-hakim di </w:t>
      </w:r>
      <w:r w:rsidR="00080845">
        <w:rPr>
          <w:rFonts w:asciiTheme="majorBidi" w:hAnsiTheme="majorBidi" w:cstheme="majorBidi"/>
        </w:rPr>
        <w:t>Indonesia, namun tidak bagi kalangan masyarakat awam</w:t>
      </w:r>
      <w:r w:rsidR="001337C4" w:rsidRPr="002F18EF">
        <w:rPr>
          <w:rFonts w:asciiTheme="majorBidi" w:hAnsiTheme="majorBidi" w:cstheme="majorBidi"/>
        </w:rPr>
        <w:t xml:space="preserve">. </w:t>
      </w:r>
      <w:r w:rsidR="00080845" w:rsidRPr="002F18EF">
        <w:rPr>
          <w:rFonts w:asciiTheme="majorBidi" w:hAnsiTheme="majorBidi" w:cstheme="majorBidi"/>
        </w:rPr>
        <w:t xml:space="preserve">Hal </w:t>
      </w:r>
      <w:r w:rsidR="001337C4" w:rsidRPr="002F18EF">
        <w:rPr>
          <w:rFonts w:asciiTheme="majorBidi" w:hAnsiTheme="majorBidi" w:cstheme="majorBidi"/>
        </w:rPr>
        <w:t xml:space="preserve">tersebut dapat memantik pihak yang akan kawin beda agama </w:t>
      </w:r>
      <w:r w:rsidR="00BF3AA1" w:rsidRPr="002F18EF">
        <w:rPr>
          <w:rFonts w:asciiTheme="majorBidi" w:hAnsiTheme="majorBidi" w:cstheme="majorBidi"/>
        </w:rPr>
        <w:t xml:space="preserve">untuk </w:t>
      </w:r>
      <w:r w:rsidR="001337C4" w:rsidRPr="002F18EF">
        <w:rPr>
          <w:rFonts w:asciiTheme="majorBidi" w:hAnsiTheme="majorBidi" w:cstheme="majorBidi"/>
        </w:rPr>
        <w:t>melakukan penyelundupan hukum</w:t>
      </w:r>
      <w:r w:rsidR="00BF3AA1" w:rsidRPr="002F18EF">
        <w:rPr>
          <w:rFonts w:asciiTheme="majorBidi" w:hAnsiTheme="majorBidi" w:cstheme="majorBidi"/>
        </w:rPr>
        <w:t xml:space="preserve"> di bidang perkawinan</w:t>
      </w:r>
      <w:r w:rsidR="001337C4" w:rsidRPr="002F18EF">
        <w:rPr>
          <w:rFonts w:asciiTheme="majorBidi" w:hAnsiTheme="majorBidi" w:cstheme="majorBidi"/>
        </w:rPr>
        <w:t>. Penyelundupan hukum</w:t>
      </w:r>
      <w:r w:rsidR="00F36337">
        <w:rPr>
          <w:rStyle w:val="FootnoteReference"/>
          <w:rFonts w:asciiTheme="majorBidi" w:hAnsiTheme="majorBidi" w:cstheme="majorBidi"/>
        </w:rPr>
        <w:footnoteReference w:id="42"/>
      </w:r>
      <w:r w:rsidR="001337C4" w:rsidRPr="002F18EF">
        <w:rPr>
          <w:rFonts w:asciiTheme="majorBidi" w:hAnsiTheme="majorBidi" w:cstheme="majorBidi"/>
        </w:rPr>
        <w:t xml:space="preserve"> adalah menghindari hukum yang seharusnya berlaku yang merupakan kajian dalam Hukum Perdata Internasional.</w:t>
      </w:r>
      <w:r w:rsidR="00F36337">
        <w:rPr>
          <w:rStyle w:val="FootnoteReference"/>
          <w:rFonts w:asciiTheme="majorBidi" w:hAnsiTheme="majorBidi" w:cstheme="majorBidi"/>
        </w:rPr>
        <w:footnoteReference w:id="43"/>
      </w:r>
      <w:r w:rsidR="00BF3AA1" w:rsidRPr="002F18EF">
        <w:rPr>
          <w:rFonts w:asciiTheme="majorBidi" w:hAnsiTheme="majorBidi" w:cstheme="majorBidi"/>
        </w:rPr>
        <w:t xml:space="preserve"> Tujuan dari penyelundupan hukum adalah menghindari akibat hukum tertentu yang tidak dikehendaki atau untuk mewujudkan suatu akibat hukum tertentu.</w:t>
      </w:r>
      <w:r w:rsidR="00463DFA">
        <w:rPr>
          <w:rStyle w:val="FootnoteReference"/>
          <w:rFonts w:asciiTheme="majorBidi" w:hAnsiTheme="majorBidi" w:cstheme="majorBidi"/>
        </w:rPr>
        <w:footnoteReference w:id="44"/>
      </w:r>
    </w:p>
    <w:p w14:paraId="4989CF92" w14:textId="0EC4FE1C" w:rsidR="00B330FB" w:rsidRPr="002F18EF" w:rsidRDefault="00BF3AA1"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Perkawinan beda agama dapat dilakukan di negara-negara yang memperbolehkan. Seperti </w:t>
      </w:r>
      <w:r w:rsidR="001337C4" w:rsidRPr="002F18EF">
        <w:rPr>
          <w:rFonts w:asciiTheme="majorBidi" w:hAnsiTheme="majorBidi" w:cstheme="majorBidi"/>
        </w:rPr>
        <w:t>Kanda, Tunisia, Singapura</w:t>
      </w:r>
      <w:r w:rsidR="004B4428" w:rsidRPr="002F18EF">
        <w:rPr>
          <w:rFonts w:asciiTheme="majorBidi" w:hAnsiTheme="majorBidi" w:cstheme="majorBidi"/>
        </w:rPr>
        <w:t>, Inggris, dan Belanda.</w:t>
      </w:r>
      <w:r w:rsidR="004B4428" w:rsidRPr="002F18EF">
        <w:rPr>
          <w:rStyle w:val="FootnoteReference"/>
          <w:rFonts w:asciiTheme="majorBidi" w:hAnsiTheme="majorBidi" w:cstheme="majorBidi"/>
        </w:rPr>
        <w:footnoteReference w:id="45"/>
      </w:r>
      <w:r w:rsidRPr="002F18EF">
        <w:rPr>
          <w:rFonts w:asciiTheme="majorBidi" w:hAnsiTheme="majorBidi" w:cstheme="majorBidi"/>
        </w:rPr>
        <w:t xml:space="preserve"> Dengan melakukan perkawinan </w:t>
      </w:r>
      <w:r w:rsidR="00463DFA">
        <w:rPr>
          <w:rFonts w:asciiTheme="majorBidi" w:hAnsiTheme="majorBidi" w:cstheme="majorBidi"/>
        </w:rPr>
        <w:t xml:space="preserve">beda </w:t>
      </w:r>
      <w:r w:rsidR="00080845">
        <w:rPr>
          <w:rFonts w:asciiTheme="majorBidi" w:hAnsiTheme="majorBidi" w:cstheme="majorBidi"/>
        </w:rPr>
        <w:t>agama</w:t>
      </w:r>
      <w:r w:rsidR="00080845" w:rsidRPr="002F18EF">
        <w:rPr>
          <w:rFonts w:asciiTheme="majorBidi" w:hAnsiTheme="majorBidi" w:cstheme="majorBidi"/>
        </w:rPr>
        <w:t xml:space="preserve"> di</w:t>
      </w:r>
      <w:r w:rsidRPr="002F18EF">
        <w:rPr>
          <w:rFonts w:asciiTheme="majorBidi" w:hAnsiTheme="majorBidi" w:cstheme="majorBidi"/>
        </w:rPr>
        <w:t xml:space="preserve"> negara-negara di atas, </w:t>
      </w:r>
      <w:r w:rsidR="00080845">
        <w:rPr>
          <w:rFonts w:asciiTheme="majorBidi" w:hAnsiTheme="majorBidi" w:cstheme="majorBidi"/>
        </w:rPr>
        <w:t>warganegara</w:t>
      </w:r>
      <w:r w:rsidRPr="002F18EF">
        <w:rPr>
          <w:rFonts w:asciiTheme="majorBidi" w:hAnsiTheme="majorBidi" w:cstheme="majorBidi"/>
        </w:rPr>
        <w:t xml:space="preserve"> Indonesia </w:t>
      </w:r>
      <w:r w:rsidR="00080845">
        <w:rPr>
          <w:rFonts w:asciiTheme="majorBidi" w:hAnsiTheme="majorBidi" w:cstheme="majorBidi"/>
        </w:rPr>
        <w:t xml:space="preserve">tersebut </w:t>
      </w:r>
      <w:r w:rsidRPr="002F18EF">
        <w:rPr>
          <w:rFonts w:asciiTheme="majorBidi" w:hAnsiTheme="majorBidi" w:cstheme="majorBidi"/>
        </w:rPr>
        <w:t>menghindari keberlakuan SEMA dan UU Perkawinan sekaligus. Perkawinan beda agama yang dilakukan di negara-negara di atas sah dan akibat hukumnya</w:t>
      </w:r>
      <w:r w:rsidR="00080845">
        <w:rPr>
          <w:rFonts w:asciiTheme="majorBidi" w:hAnsiTheme="majorBidi" w:cstheme="majorBidi"/>
        </w:rPr>
        <w:t>, dan</w:t>
      </w:r>
      <w:r w:rsidRPr="002F18EF">
        <w:rPr>
          <w:rFonts w:asciiTheme="majorBidi" w:hAnsiTheme="majorBidi" w:cstheme="majorBidi"/>
        </w:rPr>
        <w:t xml:space="preserve"> ketika </w:t>
      </w:r>
      <w:r w:rsidR="00080845">
        <w:rPr>
          <w:rFonts w:asciiTheme="majorBidi" w:hAnsiTheme="majorBidi" w:cstheme="majorBidi"/>
        </w:rPr>
        <w:t xml:space="preserve">dibawa </w:t>
      </w:r>
      <w:r w:rsidRPr="002F18EF">
        <w:rPr>
          <w:rFonts w:asciiTheme="majorBidi" w:hAnsiTheme="majorBidi" w:cstheme="majorBidi"/>
        </w:rPr>
        <w:t xml:space="preserve">kembali ke Indonesia </w:t>
      </w:r>
      <w:r w:rsidR="00080845">
        <w:rPr>
          <w:rFonts w:asciiTheme="majorBidi" w:hAnsiTheme="majorBidi" w:cstheme="majorBidi"/>
        </w:rPr>
        <w:t xml:space="preserve">juga </w:t>
      </w:r>
      <w:r w:rsidRPr="002F18EF">
        <w:rPr>
          <w:rFonts w:asciiTheme="majorBidi" w:hAnsiTheme="majorBidi" w:cstheme="majorBidi"/>
        </w:rPr>
        <w:t xml:space="preserve">harus dianggap sah oleh hakim berdasarkan beberapa </w:t>
      </w:r>
      <w:r w:rsidR="007950E4">
        <w:rPr>
          <w:rFonts w:asciiTheme="majorBidi" w:hAnsiTheme="majorBidi" w:cstheme="majorBidi"/>
        </w:rPr>
        <w:t>doktrin</w:t>
      </w:r>
      <w:r w:rsidR="00E92C41">
        <w:rPr>
          <w:rFonts w:asciiTheme="majorBidi" w:hAnsiTheme="majorBidi" w:cstheme="majorBidi"/>
        </w:rPr>
        <w:t xml:space="preserve"> </w:t>
      </w:r>
      <w:r w:rsidR="00080845">
        <w:rPr>
          <w:rFonts w:asciiTheme="majorBidi" w:hAnsiTheme="majorBidi" w:cstheme="majorBidi"/>
        </w:rPr>
        <w:t xml:space="preserve">yang berlaku </w:t>
      </w:r>
      <w:r w:rsidR="00E92C41">
        <w:rPr>
          <w:rFonts w:asciiTheme="majorBidi" w:hAnsiTheme="majorBidi" w:cstheme="majorBidi"/>
        </w:rPr>
        <w:t>dalam hukum perdata internasional</w:t>
      </w:r>
      <w:r w:rsidRPr="002F18EF">
        <w:rPr>
          <w:rFonts w:asciiTheme="majorBidi" w:hAnsiTheme="majorBidi" w:cstheme="majorBidi"/>
        </w:rPr>
        <w:t>, yait</w:t>
      </w:r>
      <w:r w:rsidR="00DE620D" w:rsidRPr="002F18EF">
        <w:rPr>
          <w:rFonts w:asciiTheme="majorBidi" w:hAnsiTheme="majorBidi" w:cstheme="majorBidi"/>
        </w:rPr>
        <w:t>u</w:t>
      </w:r>
      <w:r w:rsidR="00B330FB" w:rsidRPr="002F18EF">
        <w:rPr>
          <w:rFonts w:asciiTheme="majorBidi" w:hAnsiTheme="majorBidi" w:cstheme="majorBidi"/>
        </w:rPr>
        <w:t>:</w:t>
      </w:r>
    </w:p>
    <w:p w14:paraId="715F1299" w14:textId="7F9C1C3F" w:rsidR="00B330FB" w:rsidRPr="002F18EF" w:rsidRDefault="00B330FB" w:rsidP="007950E4">
      <w:pPr>
        <w:pStyle w:val="ListParagraph"/>
        <w:numPr>
          <w:ilvl w:val="2"/>
          <w:numId w:val="19"/>
        </w:numPr>
        <w:spacing w:after="0" w:line="240" w:lineRule="auto"/>
        <w:ind w:left="567" w:hanging="567"/>
        <w:jc w:val="both"/>
        <w:rPr>
          <w:rFonts w:asciiTheme="majorBidi" w:hAnsiTheme="majorBidi" w:cstheme="majorBidi"/>
        </w:rPr>
      </w:pPr>
      <w:r w:rsidRPr="002F18EF">
        <w:rPr>
          <w:rFonts w:asciiTheme="majorBidi" w:hAnsiTheme="majorBidi" w:cstheme="majorBidi"/>
        </w:rPr>
        <w:t>Hak</w:t>
      </w:r>
      <w:r w:rsidR="00DE620D" w:rsidRPr="002F18EF">
        <w:rPr>
          <w:rFonts w:asciiTheme="majorBidi" w:hAnsiTheme="majorBidi" w:cstheme="majorBidi"/>
        </w:rPr>
        <w:t xml:space="preserve">-hak yang diperoleh hukum asing. </w:t>
      </w:r>
    </w:p>
    <w:p w14:paraId="125394EE" w14:textId="223251B7" w:rsidR="00B330FB" w:rsidRPr="002F18EF" w:rsidRDefault="00DE620D" w:rsidP="007950E4">
      <w:pPr>
        <w:pStyle w:val="ListParagraph"/>
        <w:spacing w:after="0" w:line="240" w:lineRule="auto"/>
        <w:ind w:left="0" w:firstLine="567"/>
        <w:jc w:val="both"/>
        <w:rPr>
          <w:rFonts w:asciiTheme="majorBidi" w:hAnsiTheme="majorBidi" w:cstheme="majorBidi"/>
          <w:i/>
          <w:iCs/>
        </w:rPr>
      </w:pPr>
      <w:r w:rsidRPr="002F18EF">
        <w:rPr>
          <w:rFonts w:asciiTheme="majorBidi" w:hAnsiTheme="majorBidi" w:cstheme="majorBidi"/>
        </w:rPr>
        <w:t>Terdapat istilah asing yang berkaitan dengan ini, yaitu:</w:t>
      </w:r>
      <w:r w:rsidR="00B330FB" w:rsidRPr="002F18EF">
        <w:rPr>
          <w:rFonts w:asciiTheme="majorBidi" w:hAnsiTheme="majorBidi" w:cstheme="majorBidi"/>
        </w:rPr>
        <w:t xml:space="preserve"> Belanda menyebutnya dengan </w:t>
      </w:r>
      <w:proofErr w:type="spellStart"/>
      <w:r w:rsidR="00B330FB" w:rsidRPr="002F18EF">
        <w:rPr>
          <w:rFonts w:asciiTheme="majorBidi" w:hAnsiTheme="majorBidi" w:cstheme="majorBidi"/>
          <w:i/>
          <w:iCs/>
        </w:rPr>
        <w:t>vrekregen</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rechten</w:t>
      </w:r>
      <w:proofErr w:type="spellEnd"/>
      <w:r w:rsidR="00B330FB" w:rsidRPr="002F18EF">
        <w:rPr>
          <w:rFonts w:asciiTheme="majorBidi" w:hAnsiTheme="majorBidi" w:cstheme="majorBidi"/>
        </w:rPr>
        <w:t xml:space="preserve">. Di Prancis disebut dengan </w:t>
      </w:r>
      <w:proofErr w:type="spellStart"/>
      <w:r w:rsidR="00B330FB" w:rsidRPr="002F18EF">
        <w:rPr>
          <w:rFonts w:asciiTheme="majorBidi" w:hAnsiTheme="majorBidi" w:cstheme="majorBidi"/>
          <w:i/>
          <w:iCs/>
        </w:rPr>
        <w:t>droit</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acquis</w:t>
      </w:r>
      <w:proofErr w:type="spellEnd"/>
      <w:r w:rsidR="00B330FB" w:rsidRPr="002F18EF">
        <w:rPr>
          <w:rFonts w:asciiTheme="majorBidi" w:hAnsiTheme="majorBidi" w:cstheme="majorBidi"/>
        </w:rPr>
        <w:t>.</w:t>
      </w:r>
      <w:r w:rsidR="00EB60B8">
        <w:rPr>
          <w:rStyle w:val="FootnoteReference"/>
          <w:rFonts w:asciiTheme="majorBidi" w:hAnsiTheme="majorBidi" w:cstheme="majorBidi"/>
        </w:rPr>
        <w:footnoteReference w:id="46"/>
      </w:r>
      <w:r w:rsidR="00B330FB" w:rsidRPr="002F18EF">
        <w:rPr>
          <w:rFonts w:asciiTheme="majorBidi" w:hAnsiTheme="majorBidi" w:cstheme="majorBidi"/>
        </w:rPr>
        <w:t xml:space="preserve"> Latin menamakan dengan </w:t>
      </w:r>
      <w:proofErr w:type="spellStart"/>
      <w:r w:rsidR="00B330FB" w:rsidRPr="002F18EF">
        <w:rPr>
          <w:rFonts w:asciiTheme="majorBidi" w:hAnsiTheme="majorBidi" w:cstheme="majorBidi"/>
          <w:i/>
          <w:iCs/>
        </w:rPr>
        <w:t>ius</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quesitum</w:t>
      </w:r>
      <w:proofErr w:type="spellEnd"/>
      <w:r w:rsidR="00B330FB" w:rsidRPr="002F18EF">
        <w:rPr>
          <w:rFonts w:asciiTheme="majorBidi" w:hAnsiTheme="majorBidi" w:cstheme="majorBidi"/>
        </w:rPr>
        <w:t xml:space="preserve">, </w:t>
      </w:r>
      <w:proofErr w:type="spellStart"/>
      <w:r w:rsidR="00B330FB" w:rsidRPr="002F18EF">
        <w:rPr>
          <w:rFonts w:asciiTheme="majorBidi" w:hAnsiTheme="majorBidi" w:cstheme="majorBidi"/>
          <w:i/>
          <w:iCs/>
        </w:rPr>
        <w:t>iura</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quesita</w:t>
      </w:r>
      <w:proofErr w:type="spellEnd"/>
      <w:r w:rsidR="00B330FB" w:rsidRPr="002F18EF">
        <w:rPr>
          <w:rFonts w:asciiTheme="majorBidi" w:hAnsiTheme="majorBidi" w:cstheme="majorBidi"/>
        </w:rPr>
        <w:t xml:space="preserve">. Jerman menamakannya dengan </w:t>
      </w:r>
      <w:proofErr w:type="spellStart"/>
      <w:r w:rsidR="00B330FB" w:rsidRPr="002F18EF">
        <w:rPr>
          <w:rFonts w:asciiTheme="majorBidi" w:hAnsiTheme="majorBidi" w:cstheme="majorBidi"/>
          <w:i/>
          <w:iCs/>
        </w:rPr>
        <w:t>wohlerworbenen</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rechte</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erworbene</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rechts</w:t>
      </w:r>
      <w:proofErr w:type="spellEnd"/>
      <w:r w:rsidR="00B330FB" w:rsidRPr="002F18EF">
        <w:rPr>
          <w:rFonts w:asciiTheme="majorBidi" w:hAnsiTheme="majorBidi" w:cstheme="majorBidi"/>
        </w:rPr>
        <w:t xml:space="preserve">. </w:t>
      </w:r>
      <w:r w:rsidR="00B330FB" w:rsidRPr="002F18EF">
        <w:rPr>
          <w:rFonts w:asciiTheme="majorBidi" w:hAnsiTheme="majorBidi" w:cstheme="majorBidi"/>
        </w:rPr>
        <w:lastRenderedPageBreak/>
        <w:t xml:space="preserve">Sedangkan di Inggris diperkenalkan dengan </w:t>
      </w:r>
      <w:proofErr w:type="spellStart"/>
      <w:r w:rsidR="00B330FB" w:rsidRPr="002F18EF">
        <w:rPr>
          <w:rFonts w:asciiTheme="majorBidi" w:hAnsiTheme="majorBidi" w:cstheme="majorBidi"/>
          <w:i/>
          <w:iCs/>
        </w:rPr>
        <w:t>vested</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rights</w:t>
      </w:r>
      <w:proofErr w:type="spellEnd"/>
      <w:r w:rsidR="00B330FB" w:rsidRPr="002F18EF">
        <w:rPr>
          <w:rFonts w:asciiTheme="majorBidi" w:hAnsiTheme="majorBidi" w:cstheme="majorBidi"/>
          <w:i/>
          <w:iCs/>
        </w:rPr>
        <w:t>,</w:t>
      </w:r>
      <w:r w:rsidR="00EB60B8">
        <w:rPr>
          <w:rStyle w:val="FootnoteReference"/>
          <w:rFonts w:asciiTheme="majorBidi" w:hAnsiTheme="majorBidi" w:cstheme="majorBidi"/>
          <w:i/>
          <w:iCs/>
        </w:rPr>
        <w:footnoteReference w:id="47"/>
      </w:r>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acquired</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rights</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rights</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and</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obligations</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created</w:t>
      </w:r>
      <w:proofErr w:type="spellEnd"/>
      <w:r w:rsidR="00B330FB" w:rsidRPr="002F18EF">
        <w:rPr>
          <w:rFonts w:asciiTheme="majorBidi" w:hAnsiTheme="majorBidi" w:cstheme="majorBidi"/>
          <w:i/>
          <w:iCs/>
        </w:rPr>
        <w:t xml:space="preserve"> </w:t>
      </w:r>
      <w:proofErr w:type="spellStart"/>
      <w:r w:rsidR="00B330FB" w:rsidRPr="002F18EF">
        <w:rPr>
          <w:rFonts w:asciiTheme="majorBidi" w:hAnsiTheme="majorBidi" w:cstheme="majorBidi"/>
          <w:i/>
          <w:iCs/>
        </w:rPr>
        <w:t>abroad</w:t>
      </w:r>
      <w:proofErr w:type="spellEnd"/>
      <w:r w:rsidR="00B330FB" w:rsidRPr="002F18EF">
        <w:rPr>
          <w:rFonts w:asciiTheme="majorBidi" w:hAnsiTheme="majorBidi" w:cstheme="majorBidi"/>
          <w:i/>
          <w:iCs/>
        </w:rPr>
        <w:t>.</w:t>
      </w:r>
      <w:r w:rsidR="004140FC" w:rsidRPr="004140FC">
        <w:rPr>
          <w:rStyle w:val="FootnoteReference"/>
          <w:rFonts w:asciiTheme="majorBidi" w:hAnsiTheme="majorBidi" w:cstheme="majorBidi"/>
        </w:rPr>
        <w:footnoteReference w:id="48"/>
      </w:r>
    </w:p>
    <w:p w14:paraId="2615B97F" w14:textId="4BB28BFD" w:rsidR="00586CAF" w:rsidRPr="002F18EF" w:rsidRDefault="00B330FB"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Dalam hukum perdata internasional, istilah </w:t>
      </w:r>
      <w:r w:rsidR="00B22340" w:rsidRPr="002F18EF">
        <w:rPr>
          <w:rFonts w:asciiTheme="majorBidi" w:hAnsiTheme="majorBidi" w:cstheme="majorBidi"/>
        </w:rPr>
        <w:t>“</w:t>
      </w:r>
      <w:r w:rsidRPr="002F18EF">
        <w:rPr>
          <w:rFonts w:asciiTheme="majorBidi" w:hAnsiTheme="majorBidi" w:cstheme="majorBidi"/>
        </w:rPr>
        <w:t>hak</w:t>
      </w:r>
      <w:r w:rsidR="00B22340" w:rsidRPr="002F18EF">
        <w:rPr>
          <w:rFonts w:asciiTheme="majorBidi" w:hAnsiTheme="majorBidi" w:cstheme="majorBidi"/>
        </w:rPr>
        <w:t>”</w:t>
      </w:r>
      <w:r w:rsidRPr="002F18EF">
        <w:rPr>
          <w:rFonts w:asciiTheme="majorBidi" w:hAnsiTheme="majorBidi" w:cstheme="majorBidi"/>
        </w:rPr>
        <w:t xml:space="preserve"> atau </w:t>
      </w:r>
      <w:r w:rsidR="00B22340" w:rsidRPr="002F18EF">
        <w:rPr>
          <w:rFonts w:asciiTheme="majorBidi" w:hAnsiTheme="majorBidi" w:cstheme="majorBidi"/>
        </w:rPr>
        <w:t>“</w:t>
      </w:r>
      <w:proofErr w:type="spellStart"/>
      <w:r w:rsidRPr="002F18EF">
        <w:rPr>
          <w:rFonts w:asciiTheme="majorBidi" w:hAnsiTheme="majorBidi" w:cstheme="majorBidi"/>
          <w:i/>
          <w:iCs/>
        </w:rPr>
        <w:t>rech</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right</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droit</w:t>
      </w:r>
      <w:proofErr w:type="spellEnd"/>
      <w:r w:rsidR="00B22340" w:rsidRPr="002F18EF">
        <w:rPr>
          <w:rFonts w:asciiTheme="majorBidi" w:hAnsiTheme="majorBidi" w:cstheme="majorBidi"/>
        </w:rPr>
        <w:t xml:space="preserve">” </w:t>
      </w:r>
      <w:r w:rsidRPr="002F18EF">
        <w:rPr>
          <w:rFonts w:asciiTheme="majorBidi" w:hAnsiTheme="majorBidi" w:cstheme="majorBidi"/>
        </w:rPr>
        <w:t xml:space="preserve">biasanya berarti hak hukum, hak subjektif, dan biasanya dikaitkan dengan hak-hak kebendaan seseorang. Namun, dalam Hukum Perdata Internasional, </w:t>
      </w:r>
      <w:r w:rsidR="00E85F76" w:rsidRPr="002F18EF">
        <w:rPr>
          <w:rFonts w:asciiTheme="majorBidi" w:hAnsiTheme="majorBidi" w:cstheme="majorBidi"/>
        </w:rPr>
        <w:t>“</w:t>
      </w:r>
      <w:proofErr w:type="spellStart"/>
      <w:r w:rsidRPr="002F18EF">
        <w:rPr>
          <w:rFonts w:asciiTheme="majorBidi" w:hAnsiTheme="majorBidi" w:cstheme="majorBidi"/>
          <w:i/>
          <w:iCs/>
        </w:rPr>
        <w:t>verkregen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rechten</w:t>
      </w:r>
      <w:proofErr w:type="spellEnd"/>
      <w:r w:rsidR="00E85F76" w:rsidRPr="002F18EF">
        <w:rPr>
          <w:rFonts w:asciiTheme="majorBidi" w:hAnsiTheme="majorBidi" w:cstheme="majorBidi"/>
        </w:rPr>
        <w:t>”</w:t>
      </w:r>
      <w:r w:rsidRPr="002F18EF">
        <w:rPr>
          <w:rFonts w:asciiTheme="majorBidi" w:hAnsiTheme="majorBidi" w:cstheme="majorBidi"/>
        </w:rPr>
        <w:t xml:space="preserve"> berarti bukan saja hak-hak kebendaan, tetapi juga hak-hak keluarga dan status pribadi.</w:t>
      </w:r>
      <w:r w:rsidR="004140FC">
        <w:rPr>
          <w:rStyle w:val="FootnoteReference"/>
          <w:rFonts w:asciiTheme="majorBidi" w:hAnsiTheme="majorBidi" w:cstheme="majorBidi"/>
        </w:rPr>
        <w:footnoteReference w:id="49"/>
      </w:r>
      <w:r w:rsidR="00DE620D" w:rsidRPr="002F18EF">
        <w:rPr>
          <w:rFonts w:asciiTheme="majorBidi" w:hAnsiTheme="majorBidi" w:cstheme="majorBidi"/>
        </w:rPr>
        <w:t xml:space="preserve"> </w:t>
      </w:r>
      <w:r w:rsidR="00586CAF" w:rsidRPr="002F18EF">
        <w:rPr>
          <w:rFonts w:asciiTheme="majorBidi" w:hAnsiTheme="majorBidi" w:cstheme="majorBidi"/>
        </w:rPr>
        <w:t>Hak-hak yang diperoleh digunakan untuk menunjukkan bahwa perubahan fakta tidak akan mempengaruhi berlakunya undang-undang yang semula diberlakukan, digunakan, atau digunakan.</w:t>
      </w:r>
      <w:r w:rsidR="004140FC">
        <w:rPr>
          <w:rStyle w:val="FootnoteReference"/>
          <w:rFonts w:asciiTheme="majorBidi" w:hAnsiTheme="majorBidi" w:cstheme="majorBidi"/>
        </w:rPr>
        <w:footnoteReference w:id="50"/>
      </w:r>
      <w:r w:rsidR="004140FC" w:rsidRPr="002F18EF">
        <w:rPr>
          <w:rFonts w:asciiTheme="majorBidi" w:hAnsiTheme="majorBidi" w:cstheme="majorBidi"/>
        </w:rPr>
        <w:t xml:space="preserve"> </w:t>
      </w:r>
      <w:r w:rsidR="00586CAF" w:rsidRPr="002F18EF">
        <w:rPr>
          <w:rFonts w:asciiTheme="majorBidi" w:hAnsiTheme="majorBidi" w:cstheme="majorBidi"/>
        </w:rPr>
        <w:t xml:space="preserve">Jika diteliti lebih dalam, doktrin mengenai hak-hak yang diperoleh ini terkait dengan pengakuan apa yang telah dimiliki atau ditetapkan secara hukum pada suatu subjek hukum. Hak dan kewajiban yang diperoleh seseorang berdasarkan suatu kaidah hukum harus dihargai dan dihormati oleh siapa saja, termasuk oleh </w:t>
      </w:r>
      <w:proofErr w:type="spellStart"/>
      <w:r w:rsidR="00586CAF" w:rsidRPr="002F18EF">
        <w:rPr>
          <w:rFonts w:asciiTheme="majorBidi" w:hAnsiTheme="majorBidi" w:cstheme="majorBidi"/>
          <w:i/>
          <w:iCs/>
        </w:rPr>
        <w:t>lex</w:t>
      </w:r>
      <w:proofErr w:type="spellEnd"/>
      <w:r w:rsidR="00586CAF" w:rsidRPr="002F18EF">
        <w:rPr>
          <w:rFonts w:asciiTheme="majorBidi" w:hAnsiTheme="majorBidi" w:cstheme="majorBidi"/>
          <w:i/>
          <w:iCs/>
        </w:rPr>
        <w:t xml:space="preserve"> </w:t>
      </w:r>
      <w:proofErr w:type="spellStart"/>
      <w:r w:rsidR="00586CAF" w:rsidRPr="002F18EF">
        <w:rPr>
          <w:rFonts w:asciiTheme="majorBidi" w:hAnsiTheme="majorBidi" w:cstheme="majorBidi"/>
          <w:i/>
          <w:iCs/>
        </w:rPr>
        <w:t>fori</w:t>
      </w:r>
      <w:proofErr w:type="spellEnd"/>
      <w:r w:rsidR="00586CAF" w:rsidRPr="002F18EF">
        <w:rPr>
          <w:rFonts w:asciiTheme="majorBidi" w:hAnsiTheme="majorBidi" w:cstheme="majorBidi"/>
        </w:rPr>
        <w:t>, kecuali jika pengakuan terhadap hak-hak ini akan mengakibatkan konsekuensi yang berlawanan dengan ketertiban umum.</w:t>
      </w:r>
      <w:r w:rsidR="004140FC">
        <w:rPr>
          <w:rStyle w:val="FootnoteReference"/>
          <w:rFonts w:asciiTheme="majorBidi" w:hAnsiTheme="majorBidi" w:cstheme="majorBidi"/>
        </w:rPr>
        <w:footnoteReference w:id="51"/>
      </w:r>
    </w:p>
    <w:p w14:paraId="2A7A116F" w14:textId="4018DB50" w:rsidR="00586CAF" w:rsidRPr="002F18EF" w:rsidRDefault="00586CAF"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Banyak penulis mengibaratkan masalah hak-hak yang diperoleh ini sebagai salah satu pilar utama dari seluruh sistem HPI, tetapi ada juga penulis yang hanya menganggap masalah “hak-hak yang diperoleh” sebagai ornamen. Van </w:t>
      </w:r>
      <w:proofErr w:type="spellStart"/>
      <w:r w:rsidRPr="002F18EF">
        <w:rPr>
          <w:rFonts w:asciiTheme="majorBidi" w:hAnsiTheme="majorBidi" w:cstheme="majorBidi"/>
        </w:rPr>
        <w:t>Brakel</w:t>
      </w:r>
      <w:proofErr w:type="spellEnd"/>
      <w:r w:rsidRPr="002F18EF">
        <w:rPr>
          <w:rFonts w:asciiTheme="majorBidi" w:hAnsiTheme="majorBidi" w:cstheme="majorBidi"/>
        </w:rPr>
        <w:t xml:space="preserve"> menganggap bahwa hak-hak yang diperoleh di luar negeri sedapat mungkin harus dihormati dan diakui, yang merupakan dasar utama sistem HPI. Lalu lintas internasional tidak mungkin terjadi tanpa pengakuan asas ini.</w:t>
      </w:r>
      <w:r w:rsidR="00C47F19">
        <w:rPr>
          <w:rStyle w:val="FootnoteReference"/>
          <w:rFonts w:asciiTheme="majorBidi" w:hAnsiTheme="majorBidi" w:cstheme="majorBidi"/>
        </w:rPr>
        <w:footnoteReference w:id="52"/>
      </w:r>
    </w:p>
    <w:p w14:paraId="5D8103E5" w14:textId="7AB0E040" w:rsidR="00B22340" w:rsidRPr="002F18EF" w:rsidRDefault="00B22340"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Seseorang dapat menganggap hak-hak yang diperoleh di atas sebagai kebalikan dari ketertiban umum, karena dalam hak-hak yang diperoleh, hukum asing diutamakan dan hukum nasional dikesampingkan. Namun, dalam ketertiban umum, hukum nasional diutamakan dan hukum asing dikesampingkan. Beberapa contoh hak-hak yang diperoleh tersebut adalah sebagai berikut: </w:t>
      </w:r>
      <w:r w:rsidR="007950E4">
        <w:rPr>
          <w:rFonts w:asciiTheme="majorBidi" w:hAnsiTheme="majorBidi" w:cstheme="majorBidi"/>
        </w:rPr>
        <w:t xml:space="preserve">(a) </w:t>
      </w:r>
      <w:r w:rsidR="007950E4" w:rsidRPr="002F18EF">
        <w:rPr>
          <w:rFonts w:asciiTheme="majorBidi" w:hAnsiTheme="majorBidi" w:cstheme="majorBidi"/>
        </w:rPr>
        <w:t>Pengaruh perubahan kewarganegaraan terhadap kedewasaan</w:t>
      </w:r>
      <w:r w:rsidR="007950E4">
        <w:rPr>
          <w:rFonts w:asciiTheme="majorBidi" w:hAnsiTheme="majorBidi" w:cstheme="majorBidi"/>
        </w:rPr>
        <w:t>, (b)</w:t>
      </w:r>
      <w:r w:rsidR="007950E4" w:rsidRPr="002F18EF">
        <w:rPr>
          <w:rStyle w:val="FootnoteReference"/>
          <w:rFonts w:asciiTheme="majorBidi" w:hAnsiTheme="majorBidi" w:cstheme="majorBidi"/>
        </w:rPr>
        <w:t xml:space="preserve"> </w:t>
      </w:r>
      <w:r w:rsidR="007950E4" w:rsidRPr="002F18EF">
        <w:rPr>
          <w:rFonts w:asciiTheme="majorBidi" w:hAnsiTheme="majorBidi" w:cstheme="majorBidi"/>
        </w:rPr>
        <w:t>Perkawinan di luar negeri</w:t>
      </w:r>
      <w:r w:rsidR="007950E4">
        <w:rPr>
          <w:rFonts w:asciiTheme="majorBidi" w:hAnsiTheme="majorBidi" w:cstheme="majorBidi"/>
        </w:rPr>
        <w:t xml:space="preserve">, (c) </w:t>
      </w:r>
      <w:r w:rsidR="007950E4" w:rsidRPr="002F18EF">
        <w:rPr>
          <w:rStyle w:val="FootnoteReference"/>
          <w:rFonts w:asciiTheme="majorBidi" w:hAnsiTheme="majorBidi" w:cstheme="majorBidi"/>
        </w:rPr>
        <w:t xml:space="preserve"> </w:t>
      </w:r>
      <w:r w:rsidR="007950E4" w:rsidRPr="002F18EF">
        <w:rPr>
          <w:rFonts w:asciiTheme="majorBidi" w:hAnsiTheme="majorBidi" w:cstheme="majorBidi"/>
        </w:rPr>
        <w:t>Badan hukum yang tidak dikenal</w:t>
      </w:r>
      <w:r w:rsidR="007950E4">
        <w:rPr>
          <w:rFonts w:asciiTheme="majorBidi" w:hAnsiTheme="majorBidi" w:cstheme="majorBidi"/>
        </w:rPr>
        <w:t xml:space="preserve">, (d) </w:t>
      </w:r>
      <w:r w:rsidR="007950E4" w:rsidRPr="002F18EF">
        <w:rPr>
          <w:rStyle w:val="FootnoteReference"/>
          <w:rFonts w:asciiTheme="majorBidi" w:hAnsiTheme="majorBidi" w:cstheme="majorBidi"/>
        </w:rPr>
        <w:t xml:space="preserve"> </w:t>
      </w:r>
      <w:r w:rsidR="007950E4" w:rsidRPr="002F18EF">
        <w:rPr>
          <w:rFonts w:asciiTheme="majorBidi" w:hAnsiTheme="majorBidi" w:cstheme="majorBidi"/>
        </w:rPr>
        <w:t>Wasiat baru</w:t>
      </w:r>
      <w:r w:rsidR="007950E4">
        <w:rPr>
          <w:rFonts w:asciiTheme="majorBidi" w:hAnsiTheme="majorBidi" w:cstheme="majorBidi"/>
        </w:rPr>
        <w:t xml:space="preserve">, (e) </w:t>
      </w:r>
      <w:r w:rsidR="007950E4" w:rsidRPr="002F18EF">
        <w:rPr>
          <w:rFonts w:asciiTheme="majorBidi" w:hAnsiTheme="majorBidi" w:cstheme="majorBidi"/>
        </w:rPr>
        <w:t xml:space="preserve"> Perubahan lokasi benda bergerak</w:t>
      </w:r>
      <w:r w:rsidR="007950E4">
        <w:rPr>
          <w:rFonts w:asciiTheme="majorBidi" w:hAnsiTheme="majorBidi" w:cstheme="majorBidi"/>
        </w:rPr>
        <w:t xml:space="preserve">, (f) </w:t>
      </w:r>
      <w:r w:rsidR="007950E4" w:rsidRPr="002F18EF">
        <w:rPr>
          <w:rStyle w:val="FootnoteReference"/>
          <w:rFonts w:asciiTheme="majorBidi" w:hAnsiTheme="majorBidi" w:cstheme="majorBidi"/>
        </w:rPr>
        <w:t xml:space="preserve"> </w:t>
      </w:r>
      <w:r w:rsidR="007950E4" w:rsidRPr="002F18EF">
        <w:rPr>
          <w:rFonts w:asciiTheme="majorBidi" w:hAnsiTheme="majorBidi" w:cstheme="majorBidi"/>
        </w:rPr>
        <w:t>Penggantian bendera kapal</w:t>
      </w:r>
      <w:r w:rsidR="007950E4">
        <w:rPr>
          <w:rFonts w:asciiTheme="majorBidi" w:hAnsiTheme="majorBidi" w:cstheme="majorBidi"/>
        </w:rPr>
        <w:t xml:space="preserve">, (g) </w:t>
      </w:r>
      <w:r w:rsidR="007950E4" w:rsidRPr="002F18EF">
        <w:rPr>
          <w:rStyle w:val="FootnoteReference"/>
          <w:rFonts w:asciiTheme="majorBidi" w:hAnsiTheme="majorBidi" w:cstheme="majorBidi"/>
        </w:rPr>
        <w:t xml:space="preserve"> </w:t>
      </w:r>
      <w:r w:rsidR="007950E4" w:rsidRPr="002F18EF">
        <w:rPr>
          <w:rFonts w:asciiTheme="majorBidi" w:hAnsiTheme="majorBidi" w:cstheme="majorBidi"/>
        </w:rPr>
        <w:t>Perceraian atas dasar bersama</w:t>
      </w:r>
      <w:r w:rsidR="007950E4">
        <w:rPr>
          <w:rFonts w:asciiTheme="majorBidi" w:hAnsiTheme="majorBidi" w:cstheme="majorBidi"/>
        </w:rPr>
        <w:t xml:space="preserve">, dan (h) </w:t>
      </w:r>
      <w:r w:rsidR="007950E4" w:rsidRPr="002F18EF">
        <w:rPr>
          <w:rStyle w:val="FootnoteReference"/>
          <w:rFonts w:asciiTheme="majorBidi" w:hAnsiTheme="majorBidi" w:cstheme="majorBidi"/>
        </w:rPr>
        <w:t xml:space="preserve"> </w:t>
      </w:r>
      <w:r w:rsidR="007950E4" w:rsidRPr="002F18EF">
        <w:rPr>
          <w:rFonts w:asciiTheme="majorBidi" w:hAnsiTheme="majorBidi" w:cstheme="majorBidi"/>
        </w:rPr>
        <w:t>Perkawinan poligami</w:t>
      </w:r>
      <w:r w:rsidR="007950E4">
        <w:rPr>
          <w:rFonts w:asciiTheme="majorBidi" w:hAnsiTheme="majorBidi" w:cstheme="majorBidi"/>
        </w:rPr>
        <w:t>.</w:t>
      </w:r>
      <w:r w:rsidR="007950E4" w:rsidRPr="002F18EF">
        <w:rPr>
          <w:rStyle w:val="FootnoteReference"/>
          <w:rFonts w:asciiTheme="majorBidi" w:hAnsiTheme="majorBidi" w:cstheme="majorBidi"/>
        </w:rPr>
        <w:t xml:space="preserve"> </w:t>
      </w:r>
      <w:r w:rsidR="00C47F19">
        <w:rPr>
          <w:rStyle w:val="FootnoteReference"/>
          <w:rFonts w:asciiTheme="majorBidi" w:hAnsiTheme="majorBidi" w:cstheme="majorBidi"/>
        </w:rPr>
        <w:footnoteReference w:id="53"/>
      </w:r>
    </w:p>
    <w:p w14:paraId="7FFFFBB5" w14:textId="3C6130D8" w:rsidR="001E2AAC" w:rsidRPr="002F18EF" w:rsidRDefault="00B22340"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Berdasarkan varian lingkup dari hak-hak yang diperoleh di atas, </w:t>
      </w:r>
      <w:r w:rsidR="00DD0EBF">
        <w:rPr>
          <w:rFonts w:asciiTheme="majorBidi" w:hAnsiTheme="majorBidi" w:cstheme="majorBidi"/>
        </w:rPr>
        <w:t xml:space="preserve">maka perkawinan juga masuk di dalamnya, sehingga </w:t>
      </w:r>
      <w:r w:rsidR="00C47F19">
        <w:rPr>
          <w:rFonts w:asciiTheme="majorBidi" w:hAnsiTheme="majorBidi" w:cstheme="majorBidi"/>
        </w:rPr>
        <w:t xml:space="preserve">berdasarkan doktrin ini </w:t>
      </w:r>
      <w:r w:rsidRPr="002F18EF">
        <w:rPr>
          <w:rFonts w:asciiTheme="majorBidi" w:hAnsiTheme="majorBidi" w:cstheme="majorBidi"/>
        </w:rPr>
        <w:t xml:space="preserve">terdapat adagium </w:t>
      </w:r>
      <w:r w:rsidR="00C47F19">
        <w:rPr>
          <w:rFonts w:asciiTheme="majorBidi" w:hAnsiTheme="majorBidi" w:cstheme="majorBidi"/>
        </w:rPr>
        <w:t xml:space="preserve">yang menyatakan </w:t>
      </w:r>
      <w:r w:rsidRPr="002F18EF">
        <w:rPr>
          <w:rFonts w:asciiTheme="majorBidi" w:hAnsiTheme="majorBidi" w:cstheme="majorBidi"/>
        </w:rPr>
        <w:t>bahwa sekali kawin</w:t>
      </w:r>
      <w:r w:rsidR="001E2AAC" w:rsidRPr="002F18EF">
        <w:rPr>
          <w:rFonts w:asciiTheme="majorBidi" w:hAnsiTheme="majorBidi" w:cstheme="majorBidi"/>
        </w:rPr>
        <w:t xml:space="preserve"> maka selamanya sudah dianggap kawin sampai perceraian memisahkannya, sekali dewasa, maka selama tetap dewasa di bawah sistem hukum mana pun.</w:t>
      </w:r>
      <w:r w:rsidR="007950E4">
        <w:rPr>
          <w:rFonts w:asciiTheme="majorBidi" w:hAnsiTheme="majorBidi" w:cstheme="majorBidi"/>
        </w:rPr>
        <w:t xml:space="preserve"> </w:t>
      </w:r>
      <w:r w:rsidR="001E2AAC" w:rsidRPr="002F18EF">
        <w:rPr>
          <w:rFonts w:asciiTheme="majorBidi" w:hAnsiTheme="majorBidi" w:cstheme="majorBidi"/>
        </w:rPr>
        <w:t xml:space="preserve">Pasal 56 </w:t>
      </w:r>
      <w:proofErr w:type="spellStart"/>
      <w:r w:rsidR="001E2AAC" w:rsidRPr="002F18EF">
        <w:rPr>
          <w:rFonts w:asciiTheme="majorBidi" w:hAnsiTheme="majorBidi" w:cstheme="majorBidi"/>
        </w:rPr>
        <w:t>Undang-Undang</w:t>
      </w:r>
      <w:proofErr w:type="spellEnd"/>
      <w:r w:rsidR="001E2AAC" w:rsidRPr="002F18EF">
        <w:rPr>
          <w:rFonts w:asciiTheme="majorBidi" w:hAnsiTheme="majorBidi" w:cstheme="majorBidi"/>
        </w:rPr>
        <w:t xml:space="preserve"> Nomor 1 Tahun 1974 mengatur perkawinan W</w:t>
      </w:r>
      <w:r w:rsidR="00EC6576">
        <w:rPr>
          <w:rFonts w:asciiTheme="majorBidi" w:hAnsiTheme="majorBidi" w:cstheme="majorBidi"/>
        </w:rPr>
        <w:t xml:space="preserve">arga </w:t>
      </w:r>
      <w:r w:rsidR="001E2AAC" w:rsidRPr="002F18EF">
        <w:rPr>
          <w:rFonts w:asciiTheme="majorBidi" w:hAnsiTheme="majorBidi" w:cstheme="majorBidi"/>
        </w:rPr>
        <w:t>N</w:t>
      </w:r>
      <w:r w:rsidR="00EC6576">
        <w:rPr>
          <w:rFonts w:asciiTheme="majorBidi" w:hAnsiTheme="majorBidi" w:cstheme="majorBidi"/>
        </w:rPr>
        <w:t xml:space="preserve">egara </w:t>
      </w:r>
      <w:r w:rsidR="001E2AAC" w:rsidRPr="002F18EF">
        <w:rPr>
          <w:rFonts w:asciiTheme="majorBidi" w:hAnsiTheme="majorBidi" w:cstheme="majorBidi"/>
        </w:rPr>
        <w:t>I</w:t>
      </w:r>
      <w:r w:rsidR="00EC6576">
        <w:rPr>
          <w:rFonts w:asciiTheme="majorBidi" w:hAnsiTheme="majorBidi" w:cstheme="majorBidi"/>
        </w:rPr>
        <w:t>ndonesia</w:t>
      </w:r>
      <w:r w:rsidR="001E2AAC" w:rsidRPr="002F18EF">
        <w:rPr>
          <w:rFonts w:asciiTheme="majorBidi" w:hAnsiTheme="majorBidi" w:cstheme="majorBidi"/>
        </w:rPr>
        <w:t xml:space="preserve"> di luar negeri, dengan kata-kata: “</w:t>
      </w:r>
      <w:r w:rsidR="001E2AAC" w:rsidRPr="00EC6576">
        <w:rPr>
          <w:rFonts w:asciiTheme="majorBidi" w:hAnsiTheme="majorBidi" w:cstheme="majorBidi"/>
          <w:i/>
          <w:iCs/>
        </w:rPr>
        <w:t>Perkawinan yang dilangsungkan di luar Indonesia antara dua orang warga negara Indonesia atau seorang warga negara Indonesia dengan warga negara asing adalah sah bilamana dilakukan menurut hukum yang berlaku di negara di mana perkawinan itu dilangsungkan dan bagi warga negara Indonesia tidak melanggar ketentuan Undang-undang ini</w:t>
      </w:r>
      <w:r w:rsidR="001E2AAC" w:rsidRPr="002F18EF">
        <w:rPr>
          <w:rFonts w:asciiTheme="majorBidi" w:hAnsiTheme="majorBidi" w:cstheme="majorBidi"/>
        </w:rPr>
        <w:t>”. Menurut Ayat (2), “Surat bukti perkawinan suami istri itu harus didaftarkan di kantor Pencatatan Perkawinan tempat tinggal mereka dalam waktu 1 (satu) tahun setelah suami istri itu kembali di wilayah Indonesia”.</w:t>
      </w:r>
    </w:p>
    <w:p w14:paraId="6E13DF5A" w14:textId="0BE04809" w:rsidR="00133303" w:rsidRPr="002F18EF" w:rsidRDefault="00133303"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lastRenderedPageBreak/>
        <w:t xml:space="preserve">Perkawinan campuran di atas merupakan </w:t>
      </w:r>
      <w:r w:rsidR="004D60BE" w:rsidRPr="002F18EF">
        <w:rPr>
          <w:rFonts w:asciiTheme="majorBidi" w:hAnsiTheme="majorBidi" w:cstheme="majorBidi"/>
        </w:rPr>
        <w:t>salah satu kajian dalam</w:t>
      </w:r>
      <w:r w:rsidRPr="002F18EF">
        <w:rPr>
          <w:rFonts w:asciiTheme="majorBidi" w:hAnsiTheme="majorBidi" w:cstheme="majorBidi"/>
        </w:rPr>
        <w:t xml:space="preserve"> hukum perdata internasional, di mana untuk saat ini, </w:t>
      </w:r>
      <w:r w:rsidR="004D60BE" w:rsidRPr="002F18EF">
        <w:rPr>
          <w:rFonts w:asciiTheme="majorBidi" w:hAnsiTheme="majorBidi" w:cstheme="majorBidi"/>
        </w:rPr>
        <w:t>di Indonesia</w:t>
      </w:r>
      <w:r w:rsidRPr="002F18EF">
        <w:rPr>
          <w:rFonts w:asciiTheme="majorBidi" w:hAnsiTheme="majorBidi" w:cstheme="majorBidi"/>
        </w:rPr>
        <w:t xml:space="preserve"> masih menggunakan produk-produk yang berasal dari era Hindia Belanda, yaitu Pasal 16,17, dan 18 </w:t>
      </w:r>
      <w:proofErr w:type="spellStart"/>
      <w:r w:rsidR="004D60BE" w:rsidRPr="002F18EF">
        <w:rPr>
          <w:rFonts w:asciiTheme="majorBidi" w:hAnsiTheme="majorBidi" w:cstheme="majorBidi"/>
          <w:i/>
          <w:iCs/>
        </w:rPr>
        <w:t>Algemeene</w:t>
      </w:r>
      <w:proofErr w:type="spellEnd"/>
      <w:r w:rsidR="004D60BE" w:rsidRPr="002F18EF">
        <w:rPr>
          <w:rFonts w:asciiTheme="majorBidi" w:hAnsiTheme="majorBidi" w:cstheme="majorBidi"/>
          <w:i/>
          <w:iCs/>
        </w:rPr>
        <w:t xml:space="preserve"> </w:t>
      </w:r>
      <w:proofErr w:type="spellStart"/>
      <w:r w:rsidR="004D60BE" w:rsidRPr="002F18EF">
        <w:rPr>
          <w:rFonts w:asciiTheme="majorBidi" w:hAnsiTheme="majorBidi" w:cstheme="majorBidi"/>
          <w:i/>
          <w:iCs/>
        </w:rPr>
        <w:t>Bepalingen</w:t>
      </w:r>
      <w:proofErr w:type="spellEnd"/>
      <w:r w:rsidR="004D60BE" w:rsidRPr="002F18EF">
        <w:rPr>
          <w:rFonts w:asciiTheme="majorBidi" w:hAnsiTheme="majorBidi" w:cstheme="majorBidi"/>
          <w:i/>
          <w:iCs/>
        </w:rPr>
        <w:t xml:space="preserve"> </w:t>
      </w:r>
      <w:proofErr w:type="spellStart"/>
      <w:r w:rsidR="004D60BE" w:rsidRPr="002F18EF">
        <w:rPr>
          <w:rFonts w:asciiTheme="majorBidi" w:hAnsiTheme="majorBidi" w:cstheme="majorBidi"/>
          <w:i/>
          <w:iCs/>
        </w:rPr>
        <w:t>van</w:t>
      </w:r>
      <w:proofErr w:type="spellEnd"/>
      <w:r w:rsidR="004D60BE" w:rsidRPr="002F18EF">
        <w:rPr>
          <w:rFonts w:asciiTheme="majorBidi" w:hAnsiTheme="majorBidi" w:cstheme="majorBidi"/>
          <w:i/>
          <w:iCs/>
        </w:rPr>
        <w:t xml:space="preserve"> </w:t>
      </w:r>
      <w:proofErr w:type="spellStart"/>
      <w:r w:rsidR="004D60BE" w:rsidRPr="002F18EF">
        <w:rPr>
          <w:rFonts w:asciiTheme="majorBidi" w:hAnsiTheme="majorBidi" w:cstheme="majorBidi"/>
          <w:i/>
          <w:iCs/>
        </w:rPr>
        <w:t>Wetgeving</w:t>
      </w:r>
      <w:proofErr w:type="spellEnd"/>
      <w:r w:rsidR="004D60BE" w:rsidRPr="002F18EF">
        <w:rPr>
          <w:rFonts w:asciiTheme="majorBidi" w:hAnsiTheme="majorBidi" w:cstheme="majorBidi"/>
          <w:i/>
          <w:iCs/>
        </w:rPr>
        <w:t xml:space="preserve"> </w:t>
      </w:r>
      <w:proofErr w:type="spellStart"/>
      <w:r w:rsidR="004D60BE" w:rsidRPr="002F18EF">
        <w:rPr>
          <w:rFonts w:asciiTheme="majorBidi" w:hAnsiTheme="majorBidi" w:cstheme="majorBidi"/>
          <w:i/>
          <w:iCs/>
        </w:rPr>
        <w:t>voor</w:t>
      </w:r>
      <w:proofErr w:type="spellEnd"/>
      <w:r w:rsidR="004D60BE" w:rsidRPr="002F18EF">
        <w:rPr>
          <w:rFonts w:asciiTheme="majorBidi" w:hAnsiTheme="majorBidi" w:cstheme="majorBidi"/>
          <w:i/>
          <w:iCs/>
        </w:rPr>
        <w:t xml:space="preserve"> </w:t>
      </w:r>
      <w:proofErr w:type="spellStart"/>
      <w:r w:rsidR="004D60BE" w:rsidRPr="002F18EF">
        <w:rPr>
          <w:rFonts w:asciiTheme="majorBidi" w:hAnsiTheme="majorBidi" w:cstheme="majorBidi"/>
          <w:i/>
          <w:iCs/>
        </w:rPr>
        <w:t>Nederlands</w:t>
      </w:r>
      <w:proofErr w:type="spellEnd"/>
      <w:r w:rsidR="004D60BE" w:rsidRPr="002F18EF">
        <w:rPr>
          <w:rFonts w:asciiTheme="majorBidi" w:hAnsiTheme="majorBidi" w:cstheme="majorBidi"/>
          <w:i/>
          <w:iCs/>
        </w:rPr>
        <w:t xml:space="preserve"> </w:t>
      </w:r>
      <w:proofErr w:type="spellStart"/>
      <w:r w:rsidR="004D60BE" w:rsidRPr="002F18EF">
        <w:rPr>
          <w:rFonts w:asciiTheme="majorBidi" w:hAnsiTheme="majorBidi" w:cstheme="majorBidi"/>
          <w:i/>
          <w:iCs/>
        </w:rPr>
        <w:t>Indie</w:t>
      </w:r>
      <w:proofErr w:type="spellEnd"/>
      <w:r w:rsidR="004D60BE" w:rsidRPr="002F18EF">
        <w:rPr>
          <w:rFonts w:asciiTheme="majorBidi" w:hAnsiTheme="majorBidi" w:cstheme="majorBidi"/>
        </w:rPr>
        <w:t xml:space="preserve"> (AB) </w:t>
      </w:r>
      <w:proofErr w:type="spellStart"/>
      <w:r w:rsidR="004D60BE" w:rsidRPr="002F18EF">
        <w:rPr>
          <w:rFonts w:asciiTheme="majorBidi" w:hAnsiTheme="majorBidi" w:cstheme="majorBidi"/>
        </w:rPr>
        <w:t>Staatsblad</w:t>
      </w:r>
      <w:proofErr w:type="spellEnd"/>
      <w:r w:rsidR="004D60BE" w:rsidRPr="002F18EF">
        <w:rPr>
          <w:rFonts w:asciiTheme="majorBidi" w:hAnsiTheme="majorBidi" w:cstheme="majorBidi"/>
        </w:rPr>
        <w:t xml:space="preserve"> 1847 No. 23 </w:t>
      </w:r>
      <w:proofErr w:type="spellStart"/>
      <w:r w:rsidR="004D60BE" w:rsidRPr="002F18EF">
        <w:rPr>
          <w:rFonts w:asciiTheme="majorBidi" w:hAnsiTheme="majorBidi" w:cstheme="majorBidi"/>
        </w:rPr>
        <w:t>of</w:t>
      </w:r>
      <w:proofErr w:type="spellEnd"/>
      <w:r w:rsidR="004D60BE" w:rsidRPr="002F18EF">
        <w:rPr>
          <w:rFonts w:asciiTheme="majorBidi" w:hAnsiTheme="majorBidi" w:cstheme="majorBidi"/>
        </w:rPr>
        <w:t xml:space="preserve"> 1847.</w:t>
      </w:r>
      <w:r w:rsidRPr="002F18EF">
        <w:rPr>
          <w:rFonts w:asciiTheme="majorBidi" w:hAnsiTheme="majorBidi" w:cstheme="majorBidi"/>
        </w:rPr>
        <w:t xml:space="preserve"> Teori HPI menyatakan bahwa perkawinan campuran internasional harus memenuhi dua syarat</w:t>
      </w:r>
      <w:r w:rsidR="001023E2" w:rsidRPr="002F18EF">
        <w:rPr>
          <w:rFonts w:asciiTheme="majorBidi" w:hAnsiTheme="majorBidi" w:cstheme="majorBidi"/>
        </w:rPr>
        <w:t>, yaitu: (a)</w:t>
      </w:r>
      <w:r w:rsidRPr="002F18EF">
        <w:rPr>
          <w:rFonts w:asciiTheme="majorBidi" w:hAnsiTheme="majorBidi" w:cstheme="majorBidi"/>
        </w:rPr>
        <w:t xml:space="preserve"> syarat material yang diatur oleh hukum nasional para calon mempelai</w:t>
      </w:r>
      <w:r w:rsidR="004D60BE" w:rsidRPr="002F18EF">
        <w:rPr>
          <w:rFonts w:asciiTheme="majorBidi" w:hAnsiTheme="majorBidi" w:cstheme="majorBidi"/>
        </w:rPr>
        <w:t xml:space="preserve"> </w:t>
      </w:r>
      <w:r w:rsidRPr="002F18EF">
        <w:rPr>
          <w:rFonts w:asciiTheme="majorBidi" w:hAnsiTheme="majorBidi" w:cstheme="majorBidi"/>
        </w:rPr>
        <w:t>(Pasal 16 AB) dan</w:t>
      </w:r>
      <w:r w:rsidR="001023E2" w:rsidRPr="002F18EF">
        <w:rPr>
          <w:rFonts w:asciiTheme="majorBidi" w:hAnsiTheme="majorBidi" w:cstheme="majorBidi"/>
        </w:rPr>
        <w:t>, (b)</w:t>
      </w:r>
      <w:r w:rsidRPr="002F18EF">
        <w:rPr>
          <w:rFonts w:asciiTheme="majorBidi" w:hAnsiTheme="majorBidi" w:cstheme="majorBidi"/>
        </w:rPr>
        <w:t xml:space="preserve"> syarat </w:t>
      </w:r>
      <w:proofErr w:type="spellStart"/>
      <w:r w:rsidRPr="002F18EF">
        <w:rPr>
          <w:rFonts w:asciiTheme="majorBidi" w:hAnsiTheme="majorBidi" w:cstheme="majorBidi"/>
        </w:rPr>
        <w:t>formil</w:t>
      </w:r>
      <w:proofErr w:type="spellEnd"/>
      <w:r w:rsidRPr="002F18EF">
        <w:rPr>
          <w:rFonts w:asciiTheme="majorBidi" w:hAnsiTheme="majorBidi" w:cstheme="majorBidi"/>
        </w:rPr>
        <w:t xml:space="preserve"> yang diatur oleh hukum tempat perkawinan dilangsungkan</w:t>
      </w:r>
      <w:r w:rsidR="004D60BE" w:rsidRPr="002F18EF">
        <w:rPr>
          <w:rFonts w:asciiTheme="majorBidi" w:hAnsiTheme="majorBidi" w:cstheme="majorBidi"/>
        </w:rPr>
        <w:t xml:space="preserve"> (</w:t>
      </w:r>
      <w:proofErr w:type="spellStart"/>
      <w:r w:rsidR="004D60BE" w:rsidRPr="002F18EF">
        <w:rPr>
          <w:rFonts w:asciiTheme="majorBidi" w:hAnsiTheme="majorBidi" w:cstheme="majorBidi"/>
          <w:i/>
          <w:iCs/>
        </w:rPr>
        <w:t>lex</w:t>
      </w:r>
      <w:proofErr w:type="spellEnd"/>
      <w:r w:rsidR="004D60BE" w:rsidRPr="002F18EF">
        <w:rPr>
          <w:rFonts w:asciiTheme="majorBidi" w:hAnsiTheme="majorBidi" w:cstheme="majorBidi"/>
          <w:i/>
          <w:iCs/>
        </w:rPr>
        <w:t xml:space="preserve"> </w:t>
      </w:r>
      <w:proofErr w:type="spellStart"/>
      <w:r w:rsidR="004D60BE" w:rsidRPr="002F18EF">
        <w:rPr>
          <w:rFonts w:asciiTheme="majorBidi" w:hAnsiTheme="majorBidi" w:cstheme="majorBidi"/>
          <w:i/>
          <w:iCs/>
        </w:rPr>
        <w:t>cel</w:t>
      </w:r>
      <w:r w:rsidR="002B3A88" w:rsidRPr="002F18EF">
        <w:rPr>
          <w:rFonts w:asciiTheme="majorBidi" w:hAnsiTheme="majorBidi" w:cstheme="majorBidi"/>
          <w:i/>
          <w:iCs/>
        </w:rPr>
        <w:t>e</w:t>
      </w:r>
      <w:r w:rsidR="004D60BE" w:rsidRPr="002F18EF">
        <w:rPr>
          <w:rFonts w:asciiTheme="majorBidi" w:hAnsiTheme="majorBidi" w:cstheme="majorBidi"/>
          <w:i/>
          <w:iCs/>
        </w:rPr>
        <w:t>bration</w:t>
      </w:r>
      <w:r w:rsidR="002B3A88" w:rsidRPr="002F18EF">
        <w:rPr>
          <w:rFonts w:asciiTheme="majorBidi" w:hAnsiTheme="majorBidi" w:cstheme="majorBidi"/>
          <w:i/>
          <w:iCs/>
        </w:rPr>
        <w:t>is</w:t>
      </w:r>
      <w:proofErr w:type="spellEnd"/>
      <w:r w:rsidR="004D60BE" w:rsidRPr="002F18EF">
        <w:rPr>
          <w:rFonts w:asciiTheme="majorBidi" w:hAnsiTheme="majorBidi" w:cstheme="majorBidi"/>
        </w:rPr>
        <w:t xml:space="preserve">) </w:t>
      </w:r>
      <w:r w:rsidRPr="002F18EF">
        <w:rPr>
          <w:rFonts w:asciiTheme="majorBidi" w:hAnsiTheme="majorBidi" w:cstheme="majorBidi"/>
        </w:rPr>
        <w:t>(Pasal 18 AB).</w:t>
      </w:r>
      <w:r w:rsidR="00EC6576">
        <w:rPr>
          <w:rStyle w:val="FootnoteReference"/>
          <w:rFonts w:asciiTheme="majorBidi" w:hAnsiTheme="majorBidi" w:cstheme="majorBidi"/>
        </w:rPr>
        <w:footnoteReference w:id="54"/>
      </w:r>
    </w:p>
    <w:p w14:paraId="57ED0058" w14:textId="722B0C71" w:rsidR="00133303" w:rsidRPr="002F18EF" w:rsidRDefault="00133303" w:rsidP="007950E4">
      <w:pPr>
        <w:pStyle w:val="ListParagraph"/>
        <w:spacing w:after="0" w:line="240" w:lineRule="auto"/>
        <w:ind w:left="0" w:firstLine="567"/>
        <w:jc w:val="both"/>
        <w:rPr>
          <w:rFonts w:asciiTheme="majorBidi" w:hAnsiTheme="majorBidi" w:cstheme="majorBidi"/>
          <w:color w:val="212529"/>
          <w:shd w:val="clear" w:color="auto" w:fill="FFFFFF"/>
        </w:rPr>
      </w:pPr>
      <w:r w:rsidRPr="002F18EF">
        <w:rPr>
          <w:rFonts w:asciiTheme="majorBidi" w:hAnsiTheme="majorBidi" w:cstheme="majorBidi"/>
        </w:rPr>
        <w:t xml:space="preserve">Pasal 16 AB berbunyi: </w:t>
      </w:r>
      <w:proofErr w:type="spellStart"/>
      <w:r w:rsidRPr="002F18EF">
        <w:rPr>
          <w:rFonts w:asciiTheme="majorBidi" w:hAnsiTheme="majorBidi" w:cstheme="majorBidi"/>
          <w:i/>
          <w:iCs/>
        </w:rPr>
        <w:t>De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wettelijke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bepalingen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betreffende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staat</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voegdheid</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der</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personen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blijven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verbindend</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voor</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ingezetenen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van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Nederlandsch-Indie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wanneer</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zij</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zich</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buiten’s</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lands</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bevinden</w:t>
      </w:r>
      <w:proofErr w:type="spellEnd"/>
      <w:r w:rsidRPr="002F18EF">
        <w:rPr>
          <w:rFonts w:asciiTheme="majorBidi" w:hAnsiTheme="majorBidi" w:cstheme="majorBidi"/>
        </w:rPr>
        <w:t xml:space="preserve">. Bagi penduduk Hindia-Belanda peraturan-peraturan perundang-undangan mengenai status dan wewenang hukum seseorang tetap berlaku terhadap mereka, apabila mereka ada di luar negeri. Pasal ini mengatur tentang Status Personal Seseorang </w:t>
      </w:r>
      <w:r w:rsidR="002B3A88" w:rsidRPr="002F18EF">
        <w:rPr>
          <w:rFonts w:asciiTheme="majorBidi" w:hAnsiTheme="majorBidi" w:cstheme="majorBidi"/>
        </w:rPr>
        <w:t>dan</w:t>
      </w:r>
      <w:r w:rsidRPr="002F18EF">
        <w:rPr>
          <w:rFonts w:asciiTheme="majorBidi" w:hAnsiTheme="majorBidi" w:cstheme="majorBidi"/>
        </w:rPr>
        <w:t xml:space="preserve"> Wewenang, yang mencakup:</w:t>
      </w:r>
      <w:r w:rsidR="001023E2" w:rsidRPr="002F18EF">
        <w:rPr>
          <w:rFonts w:asciiTheme="majorBidi" w:hAnsiTheme="majorBidi" w:cstheme="majorBidi"/>
        </w:rPr>
        <w:t xml:space="preserve"> (a) </w:t>
      </w:r>
      <w:r w:rsidRPr="002F18EF">
        <w:rPr>
          <w:rFonts w:asciiTheme="majorBidi" w:hAnsiTheme="majorBidi" w:cstheme="majorBidi"/>
        </w:rPr>
        <w:t>Peraturan mengenai hukum perorangan (</w:t>
      </w:r>
      <w:proofErr w:type="spellStart"/>
      <w:r w:rsidRPr="002F18EF">
        <w:rPr>
          <w:rFonts w:asciiTheme="majorBidi" w:hAnsiTheme="majorBidi" w:cstheme="majorBidi"/>
          <w:i/>
          <w:iCs/>
        </w:rPr>
        <w:t>personenrecht</w:t>
      </w:r>
      <w:proofErr w:type="spellEnd"/>
      <w:r w:rsidRPr="002F18EF">
        <w:rPr>
          <w:rFonts w:asciiTheme="majorBidi" w:hAnsiTheme="majorBidi" w:cstheme="majorBidi"/>
        </w:rPr>
        <w:t>) termasuk hukum kekeluargaan</w:t>
      </w:r>
      <w:r w:rsidR="001023E2" w:rsidRPr="002F18EF">
        <w:rPr>
          <w:rFonts w:asciiTheme="majorBidi" w:hAnsiTheme="majorBidi" w:cstheme="majorBidi"/>
        </w:rPr>
        <w:t xml:space="preserve">, (b) </w:t>
      </w:r>
      <w:r w:rsidRPr="002F18EF">
        <w:rPr>
          <w:rFonts w:asciiTheme="majorBidi" w:hAnsiTheme="majorBidi" w:cstheme="majorBidi"/>
        </w:rPr>
        <w:t xml:space="preserve">Peraturan-peraturan mengenai benda yang tidak tetap (bergerak). Pasal 18 AB berbunyi: </w:t>
      </w:r>
      <w:r w:rsidR="001023E2" w:rsidRPr="002F18EF">
        <w:rPr>
          <w:rFonts w:asciiTheme="majorBidi" w:hAnsiTheme="majorBidi" w:cstheme="majorBidi"/>
        </w:rPr>
        <w:t>(a</w:t>
      </w:r>
      <w:r w:rsidR="001023E2" w:rsidRPr="002F18EF">
        <w:rPr>
          <w:rFonts w:asciiTheme="majorBidi" w:hAnsiTheme="majorBidi" w:cstheme="majorBidi"/>
          <w:i/>
          <w:iCs/>
        </w:rPr>
        <w:t xml:space="preserve">) </w:t>
      </w:r>
      <w:proofErr w:type="spellStart"/>
      <w:r w:rsidRPr="002F18EF">
        <w:rPr>
          <w:rFonts w:asciiTheme="majorBidi" w:hAnsiTheme="majorBidi" w:cstheme="majorBidi"/>
          <w:i/>
          <w:iCs/>
        </w:rPr>
        <w:t>De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vorm</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van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elke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handeling</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wordt</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beoordeelg</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naar</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wetten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van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het</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land</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of</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the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plaats</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alwaar</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die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handeling</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is</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verright</w:t>
      </w:r>
      <w:proofErr w:type="spellEnd"/>
      <w:r w:rsidR="001023E2" w:rsidRPr="002F18EF">
        <w:rPr>
          <w:rFonts w:asciiTheme="majorBidi" w:hAnsiTheme="majorBidi" w:cstheme="majorBidi"/>
          <w:i/>
          <w:iCs/>
        </w:rPr>
        <w:t>,</w:t>
      </w:r>
      <w:r w:rsidR="001023E2" w:rsidRPr="002F18EF">
        <w:rPr>
          <w:rFonts w:asciiTheme="majorBidi" w:hAnsiTheme="majorBidi" w:cstheme="majorBidi"/>
        </w:rPr>
        <w:t xml:space="preserve"> (b) </w:t>
      </w:r>
      <w:proofErr w:type="spellStart"/>
      <w:r w:rsidRPr="002F18EF">
        <w:rPr>
          <w:rFonts w:asciiTheme="majorBidi" w:hAnsiTheme="majorBidi" w:cstheme="majorBidi"/>
          <w:i/>
          <w:iCs/>
        </w:rPr>
        <w:t>Bij</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toepassing</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van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dit</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van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het</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voorgaan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de</w:t>
      </w:r>
      <w:proofErr w:type="spellEnd"/>
      <w:r w:rsidRPr="002F18EF">
        <w:rPr>
          <w:rFonts w:asciiTheme="majorBidi" w:hAnsiTheme="majorBidi" w:cstheme="majorBidi"/>
          <w:i/>
          <w:iCs/>
        </w:rPr>
        <w:t xml:space="preserve"> artikel </w:t>
      </w:r>
      <w:proofErr w:type="spellStart"/>
      <w:r w:rsidRPr="002F18EF">
        <w:rPr>
          <w:rFonts w:asciiTheme="majorBidi" w:hAnsiTheme="majorBidi" w:cstheme="majorBidi"/>
          <w:i/>
          <w:iCs/>
        </w:rPr>
        <w:t>moet</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steeds</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worden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acht</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gegeven</w:t>
      </w:r>
      <w:proofErr w:type="spellEnd"/>
      <w:r w:rsidRPr="002F18EF">
        <w:rPr>
          <w:rFonts w:asciiTheme="majorBidi" w:hAnsiTheme="majorBidi" w:cstheme="majorBidi"/>
          <w:i/>
          <w:iCs/>
        </w:rPr>
        <w:t xml:space="preserve"> op </w:t>
      </w:r>
      <w:proofErr w:type="spellStart"/>
      <w:r w:rsidRPr="002F18EF">
        <w:rPr>
          <w:rFonts w:asciiTheme="majorBidi" w:hAnsiTheme="majorBidi" w:cstheme="majorBidi"/>
          <w:i/>
          <w:iCs/>
        </w:rPr>
        <w:t>het</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verschil</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hetwelk</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de</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wetgeving</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daarstelt</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tussen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Europeanan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en</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Inlanders</w:t>
      </w:r>
      <w:proofErr w:type="spellEnd"/>
      <w:r w:rsidRPr="002F18EF">
        <w:rPr>
          <w:rFonts w:asciiTheme="majorBidi" w:hAnsiTheme="majorBidi" w:cstheme="majorBidi"/>
        </w:rPr>
        <w:t>. </w:t>
      </w:r>
      <w:r w:rsidR="001023E2" w:rsidRPr="002F18EF">
        <w:rPr>
          <w:rFonts w:asciiTheme="majorBidi" w:hAnsiTheme="majorBidi" w:cstheme="majorBidi"/>
          <w:color w:val="212529"/>
          <w:shd w:val="clear" w:color="auto" w:fill="FFFFFF"/>
        </w:rPr>
        <w:t>Bahwa bentuk dari setiap perbuatan hukum dinilai menurut perundang-undangan negara dan tempat perbuatan itu dilakukan (</w:t>
      </w:r>
      <w:proofErr w:type="spellStart"/>
      <w:r w:rsidR="001023E2" w:rsidRPr="002F18EF">
        <w:rPr>
          <w:rFonts w:asciiTheme="majorBidi" w:hAnsiTheme="majorBidi" w:cstheme="majorBidi"/>
          <w:i/>
          <w:iCs/>
          <w:color w:val="212529"/>
          <w:shd w:val="clear" w:color="auto" w:fill="FFFFFF"/>
        </w:rPr>
        <w:t>locus</w:t>
      </w:r>
      <w:proofErr w:type="spellEnd"/>
      <w:r w:rsidR="001023E2" w:rsidRPr="002F18EF">
        <w:rPr>
          <w:rFonts w:asciiTheme="majorBidi" w:hAnsiTheme="majorBidi" w:cstheme="majorBidi"/>
          <w:i/>
          <w:iCs/>
          <w:color w:val="212529"/>
          <w:shd w:val="clear" w:color="auto" w:fill="FFFFFF"/>
        </w:rPr>
        <w:t xml:space="preserve"> </w:t>
      </w:r>
      <w:proofErr w:type="spellStart"/>
      <w:r w:rsidR="001023E2" w:rsidRPr="002F18EF">
        <w:rPr>
          <w:rFonts w:asciiTheme="majorBidi" w:hAnsiTheme="majorBidi" w:cstheme="majorBidi"/>
          <w:i/>
          <w:iCs/>
          <w:color w:val="212529"/>
          <w:shd w:val="clear" w:color="auto" w:fill="FFFFFF"/>
        </w:rPr>
        <w:t>regit</w:t>
      </w:r>
      <w:proofErr w:type="spellEnd"/>
      <w:r w:rsidR="001023E2" w:rsidRPr="002F18EF">
        <w:rPr>
          <w:rFonts w:asciiTheme="majorBidi" w:hAnsiTheme="majorBidi" w:cstheme="majorBidi"/>
          <w:i/>
          <w:iCs/>
          <w:color w:val="212529"/>
          <w:shd w:val="clear" w:color="auto" w:fill="FFFFFF"/>
        </w:rPr>
        <w:t xml:space="preserve"> </w:t>
      </w:r>
      <w:proofErr w:type="spellStart"/>
      <w:r w:rsidR="001023E2" w:rsidRPr="002F18EF">
        <w:rPr>
          <w:rFonts w:asciiTheme="majorBidi" w:hAnsiTheme="majorBidi" w:cstheme="majorBidi"/>
          <w:i/>
          <w:iCs/>
          <w:color w:val="212529"/>
          <w:shd w:val="clear" w:color="auto" w:fill="FFFFFF"/>
        </w:rPr>
        <w:t>actum</w:t>
      </w:r>
      <w:proofErr w:type="spellEnd"/>
      <w:r w:rsidR="001023E2" w:rsidRPr="002F18EF">
        <w:rPr>
          <w:rFonts w:asciiTheme="majorBidi" w:hAnsiTheme="majorBidi" w:cstheme="majorBidi"/>
          <w:color w:val="212529"/>
          <w:shd w:val="clear" w:color="auto" w:fill="FFFFFF"/>
        </w:rPr>
        <w:t>). Dalam melaksanakan pasal ini dan yang sebelumnya selalu harus diperhatikan perbedaan yang oleh undang-undang diadakan antara orang Eropa dan Indonesia asli.</w:t>
      </w:r>
    </w:p>
    <w:p w14:paraId="1A685DB8" w14:textId="13D2DB3D" w:rsidR="001E2AAC" w:rsidRPr="002F18EF" w:rsidRDefault="00A849AC"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color w:val="212529"/>
          <w:shd w:val="clear" w:color="auto" w:fill="FFFFFF"/>
        </w:rPr>
        <w:t>Dalam</w:t>
      </w:r>
      <w:r w:rsidR="001E2AAC" w:rsidRPr="002F18EF">
        <w:rPr>
          <w:rFonts w:asciiTheme="majorBidi" w:hAnsiTheme="majorBidi" w:cstheme="majorBidi"/>
        </w:rPr>
        <w:t xml:space="preserve"> </w:t>
      </w:r>
      <w:r w:rsidRPr="002F18EF">
        <w:rPr>
          <w:rFonts w:asciiTheme="majorBidi" w:hAnsiTheme="majorBidi" w:cstheme="majorBidi"/>
        </w:rPr>
        <w:t xml:space="preserve">Pasal </w:t>
      </w:r>
      <w:r w:rsidR="001E2AAC" w:rsidRPr="002F18EF">
        <w:rPr>
          <w:rFonts w:asciiTheme="majorBidi" w:hAnsiTheme="majorBidi" w:cstheme="majorBidi"/>
        </w:rPr>
        <w:t xml:space="preserve">56 </w:t>
      </w:r>
      <w:r w:rsidRPr="002F18EF">
        <w:rPr>
          <w:rFonts w:asciiTheme="majorBidi" w:hAnsiTheme="majorBidi" w:cstheme="majorBidi"/>
        </w:rPr>
        <w:t>A</w:t>
      </w:r>
      <w:r w:rsidR="001E2AAC" w:rsidRPr="002F18EF">
        <w:rPr>
          <w:rFonts w:asciiTheme="majorBidi" w:hAnsiTheme="majorBidi" w:cstheme="majorBidi"/>
        </w:rPr>
        <w:t xml:space="preserve">yat </w:t>
      </w:r>
      <w:r w:rsidRPr="002F18EF">
        <w:rPr>
          <w:rFonts w:asciiTheme="majorBidi" w:hAnsiTheme="majorBidi" w:cstheme="majorBidi"/>
        </w:rPr>
        <w:t>(1)</w:t>
      </w:r>
      <w:r w:rsidR="001E2AAC" w:rsidRPr="002F18EF">
        <w:rPr>
          <w:rFonts w:asciiTheme="majorBidi" w:hAnsiTheme="majorBidi" w:cstheme="majorBidi"/>
        </w:rPr>
        <w:t>1 UU No. 1 Tahun 1974</w:t>
      </w:r>
      <w:r w:rsidRPr="002F18EF">
        <w:rPr>
          <w:rFonts w:asciiTheme="majorBidi" w:hAnsiTheme="majorBidi" w:cstheme="majorBidi"/>
        </w:rPr>
        <w:t xml:space="preserve"> di atas</w:t>
      </w:r>
      <w:r w:rsidR="001E2AAC" w:rsidRPr="002F18EF">
        <w:rPr>
          <w:rFonts w:asciiTheme="majorBidi" w:hAnsiTheme="majorBidi" w:cstheme="majorBidi"/>
        </w:rPr>
        <w:t xml:space="preserve">, </w:t>
      </w:r>
      <w:r w:rsidRPr="002F18EF">
        <w:rPr>
          <w:rFonts w:asciiTheme="majorBidi" w:hAnsiTheme="majorBidi" w:cstheme="majorBidi"/>
        </w:rPr>
        <w:t xml:space="preserve">Pasal </w:t>
      </w:r>
      <w:r w:rsidR="001E2AAC" w:rsidRPr="002F18EF">
        <w:rPr>
          <w:rFonts w:asciiTheme="majorBidi" w:hAnsiTheme="majorBidi" w:cstheme="majorBidi"/>
        </w:rPr>
        <w:t xml:space="preserve">16 dan 18 AB diterapkan secara tidak langsung </w:t>
      </w:r>
      <w:r w:rsidRPr="002F18EF">
        <w:rPr>
          <w:rFonts w:asciiTheme="majorBidi" w:hAnsiTheme="majorBidi" w:cstheme="majorBidi"/>
        </w:rPr>
        <w:t>walaupun tidak</w:t>
      </w:r>
      <w:r w:rsidR="001E2AAC" w:rsidRPr="002F18EF">
        <w:rPr>
          <w:rFonts w:asciiTheme="majorBidi" w:hAnsiTheme="majorBidi" w:cstheme="majorBidi"/>
        </w:rPr>
        <w:t xml:space="preserve"> menyebutkan</w:t>
      </w:r>
      <w:r w:rsidRPr="002F18EF">
        <w:rPr>
          <w:rFonts w:asciiTheme="majorBidi" w:hAnsiTheme="majorBidi" w:cstheme="majorBidi"/>
        </w:rPr>
        <w:t>nya secara jelas</w:t>
      </w:r>
      <w:r w:rsidR="001E2AAC" w:rsidRPr="002F18EF">
        <w:rPr>
          <w:rFonts w:asciiTheme="majorBidi" w:hAnsiTheme="majorBidi" w:cstheme="majorBidi"/>
        </w:rPr>
        <w:t xml:space="preserve">. Sementara ketentuan yang menyatakan, </w:t>
      </w:r>
      <w:r w:rsidRPr="002F18EF">
        <w:rPr>
          <w:rFonts w:asciiTheme="majorBidi" w:hAnsiTheme="majorBidi" w:cstheme="majorBidi"/>
        </w:rPr>
        <w:t>“</w:t>
      </w:r>
      <w:r w:rsidR="001E2AAC" w:rsidRPr="002F18EF">
        <w:rPr>
          <w:rFonts w:asciiTheme="majorBidi" w:hAnsiTheme="majorBidi" w:cstheme="majorBidi"/>
        </w:rPr>
        <w:t xml:space="preserve">bagi warganegara Indonesia tidak melanggar ketentuan </w:t>
      </w:r>
      <w:proofErr w:type="spellStart"/>
      <w:r w:rsidR="001E2AAC" w:rsidRPr="002F18EF">
        <w:rPr>
          <w:rFonts w:asciiTheme="majorBidi" w:hAnsiTheme="majorBidi" w:cstheme="majorBidi"/>
        </w:rPr>
        <w:t>Undang-Undang</w:t>
      </w:r>
      <w:proofErr w:type="spellEnd"/>
      <w:r w:rsidR="001E2AAC" w:rsidRPr="002F18EF">
        <w:rPr>
          <w:rFonts w:asciiTheme="majorBidi" w:hAnsiTheme="majorBidi" w:cstheme="majorBidi"/>
        </w:rPr>
        <w:t xml:space="preserve"> ini</w:t>
      </w:r>
      <w:r w:rsidRPr="002F18EF">
        <w:rPr>
          <w:rFonts w:asciiTheme="majorBidi" w:hAnsiTheme="majorBidi" w:cstheme="majorBidi"/>
        </w:rPr>
        <w:t>”</w:t>
      </w:r>
      <w:r w:rsidR="001E2AAC" w:rsidRPr="002F18EF">
        <w:rPr>
          <w:rFonts w:asciiTheme="majorBidi" w:hAnsiTheme="majorBidi" w:cstheme="majorBidi"/>
        </w:rPr>
        <w:t xml:space="preserve"> merujuk pada pasal 18 AB, di mana disebutkan bahwa </w:t>
      </w:r>
      <w:r w:rsidRPr="002F18EF">
        <w:rPr>
          <w:rFonts w:asciiTheme="majorBidi" w:hAnsiTheme="majorBidi" w:cstheme="majorBidi"/>
        </w:rPr>
        <w:t>“</w:t>
      </w:r>
      <w:r w:rsidR="001E2AAC" w:rsidRPr="002F18EF">
        <w:rPr>
          <w:rFonts w:asciiTheme="majorBidi" w:hAnsiTheme="majorBidi" w:cstheme="majorBidi"/>
        </w:rPr>
        <w:t>perkawinan adalah sah bilamana dilakukan menurut hukum yang berlaku di mana perkawinan itu dilangsungkan</w:t>
      </w:r>
      <w:r w:rsidRPr="002F18EF">
        <w:rPr>
          <w:rFonts w:asciiTheme="majorBidi" w:hAnsiTheme="majorBidi" w:cstheme="majorBidi"/>
        </w:rPr>
        <w:t>”</w:t>
      </w:r>
      <w:r w:rsidR="001E2AAC" w:rsidRPr="002F18EF">
        <w:rPr>
          <w:rFonts w:asciiTheme="majorBidi" w:hAnsiTheme="majorBidi" w:cstheme="majorBidi"/>
        </w:rPr>
        <w:t xml:space="preserve">, yang berarti bahwa </w:t>
      </w:r>
      <w:r w:rsidRPr="002F18EF">
        <w:rPr>
          <w:rFonts w:asciiTheme="majorBidi" w:hAnsiTheme="majorBidi" w:cstheme="majorBidi"/>
        </w:rPr>
        <w:t>“</w:t>
      </w:r>
      <w:r w:rsidR="001E2AAC" w:rsidRPr="002F18EF">
        <w:rPr>
          <w:rFonts w:asciiTheme="majorBidi" w:hAnsiTheme="majorBidi" w:cstheme="majorBidi"/>
        </w:rPr>
        <w:t>bentuk perbuatan hukum dalam hal ini perkawinan</w:t>
      </w:r>
      <w:r w:rsidRPr="002F18EF">
        <w:rPr>
          <w:rFonts w:asciiTheme="majorBidi" w:hAnsiTheme="majorBidi" w:cstheme="majorBidi"/>
        </w:rPr>
        <w:t>”</w:t>
      </w:r>
      <w:r w:rsidR="001E2AAC" w:rsidRPr="002F18EF">
        <w:rPr>
          <w:rFonts w:asciiTheme="majorBidi" w:hAnsiTheme="majorBidi" w:cstheme="majorBidi"/>
        </w:rPr>
        <w:t xml:space="preserve"> tunduk pada hukum di mana perkawinan itu dilakukan (syarat formal, tentang tata cara).</w:t>
      </w:r>
    </w:p>
    <w:p w14:paraId="59D23429" w14:textId="3DBFE4CB" w:rsidR="007818CC" w:rsidRPr="002F18EF" w:rsidRDefault="00EC6576" w:rsidP="00DC4E40">
      <w:pPr>
        <w:pStyle w:val="ListParagraph"/>
        <w:spacing w:after="0" w:line="240" w:lineRule="auto"/>
        <w:ind w:left="0" w:firstLine="567"/>
        <w:jc w:val="both"/>
        <w:rPr>
          <w:rFonts w:asciiTheme="majorBidi" w:hAnsiTheme="majorBidi" w:cstheme="majorBidi"/>
          <w:color w:val="2A2A2A"/>
          <w:shd w:val="clear" w:color="auto" w:fill="FFFFFF"/>
        </w:rPr>
      </w:pPr>
      <w:r>
        <w:rPr>
          <w:rFonts w:asciiTheme="majorBidi" w:hAnsiTheme="majorBidi" w:cstheme="majorBidi"/>
        </w:rPr>
        <w:t>Larangan p</w:t>
      </w:r>
      <w:r w:rsidR="007818CC" w:rsidRPr="002F18EF">
        <w:rPr>
          <w:rFonts w:asciiTheme="majorBidi" w:hAnsiTheme="majorBidi" w:cstheme="majorBidi"/>
        </w:rPr>
        <w:t xml:space="preserve">erkawinan beda agama di Indonesia tidak diatur secara jelas. </w:t>
      </w:r>
      <w:r w:rsidR="007818CC" w:rsidRPr="002F18EF">
        <w:rPr>
          <w:rFonts w:asciiTheme="majorBidi" w:hAnsiTheme="majorBidi" w:cstheme="majorBidi"/>
          <w:color w:val="2A2A2A"/>
          <w:shd w:val="clear" w:color="auto" w:fill="FFFFFF"/>
        </w:rPr>
        <w:t>Menurut Pasal 1 UU perkawinan, perkawinan ialah ikatan lahir batin antara seorang pria dengan seorang wanita sebagai suami istri dengan tujuan membentuk keluarga (rumah tangga) yang bahagia dan kekal berdasarkan Ketuhanan Yang Maha Esa. Lalu, mengacu Pasal 2, perkawinan dinyatakan sah jika dilakukan menurut hukum agama. Berikut bunyi selengkapnya: Perkawinan adalah sah apabila dilakukan menurut hukum masing-masing agamanya dan kepercayaannya itu. Tiap-tiap perkawinan dicatat menurut peraturan perundang-undangan yang berlaku.</w:t>
      </w:r>
    </w:p>
    <w:p w14:paraId="499E8788" w14:textId="095E36DE" w:rsidR="007818CC" w:rsidRPr="002F18EF" w:rsidRDefault="007818CC" w:rsidP="007950E4">
      <w:pPr>
        <w:pStyle w:val="ListParagraph"/>
        <w:spacing w:after="0" w:line="240" w:lineRule="auto"/>
        <w:ind w:left="0" w:firstLine="567"/>
        <w:jc w:val="both"/>
        <w:rPr>
          <w:rFonts w:asciiTheme="majorBidi" w:hAnsiTheme="majorBidi" w:cstheme="majorBidi"/>
          <w:color w:val="2A2A2A"/>
          <w:shd w:val="clear" w:color="auto" w:fill="FFFFFF"/>
        </w:rPr>
      </w:pPr>
      <w:r w:rsidRPr="002F18EF">
        <w:rPr>
          <w:rFonts w:asciiTheme="majorBidi" w:hAnsiTheme="majorBidi" w:cstheme="majorBidi"/>
          <w:color w:val="2A2A2A"/>
          <w:shd w:val="clear" w:color="auto" w:fill="FFFFFF"/>
        </w:rPr>
        <w:t xml:space="preserve">Selanjutnya, Pasal 8 mengatur tentang perkawinan yang dilarang. Salah satunya, berkaitan dengan larangan agama. Perkawinan dilarang antara dua orang mempunyai hubungan yang oleh agamanya atau peraturan lain yang berlaku dilarang kawin, demikian </w:t>
      </w:r>
      <w:r w:rsidR="00DC4E40">
        <w:rPr>
          <w:rFonts w:asciiTheme="majorBidi" w:hAnsiTheme="majorBidi" w:cstheme="majorBidi"/>
          <w:color w:val="2A2A2A"/>
          <w:shd w:val="clear" w:color="auto" w:fill="FFFFFF"/>
        </w:rPr>
        <w:t xml:space="preserve">akan tetapi </w:t>
      </w:r>
      <w:proofErr w:type="spellStart"/>
      <w:r w:rsidR="00DC4E40">
        <w:rPr>
          <w:rFonts w:asciiTheme="majorBidi" w:hAnsiTheme="majorBidi" w:cstheme="majorBidi"/>
          <w:color w:val="2A2A2A"/>
          <w:shd w:val="clear" w:color="auto" w:fill="FFFFFF"/>
        </w:rPr>
        <w:t>Undang-Undang</w:t>
      </w:r>
      <w:proofErr w:type="spellEnd"/>
      <w:r w:rsidR="00DC4E40">
        <w:rPr>
          <w:rFonts w:asciiTheme="majorBidi" w:hAnsiTheme="majorBidi" w:cstheme="majorBidi"/>
          <w:color w:val="2A2A2A"/>
          <w:shd w:val="clear" w:color="auto" w:fill="FFFFFF"/>
        </w:rPr>
        <w:t xml:space="preserve"> </w:t>
      </w:r>
      <w:r w:rsidRPr="002F18EF">
        <w:rPr>
          <w:rFonts w:asciiTheme="majorBidi" w:hAnsiTheme="majorBidi" w:cstheme="majorBidi"/>
          <w:color w:val="2A2A2A"/>
          <w:shd w:val="clear" w:color="auto" w:fill="FFFFFF"/>
        </w:rPr>
        <w:t xml:space="preserve">Perkawinan tidak mengatur khusus soal perkawinan beda agama. Hanya saja, merujuk Pasal 2 </w:t>
      </w:r>
      <w:proofErr w:type="spellStart"/>
      <w:r w:rsidR="00DC4E40">
        <w:rPr>
          <w:rFonts w:asciiTheme="majorBidi" w:hAnsiTheme="majorBidi" w:cstheme="majorBidi"/>
          <w:color w:val="2A2A2A"/>
          <w:shd w:val="clear" w:color="auto" w:fill="FFFFFF"/>
        </w:rPr>
        <w:t>Undang-Undang</w:t>
      </w:r>
      <w:proofErr w:type="spellEnd"/>
      <w:r w:rsidR="00DC4E40">
        <w:rPr>
          <w:rFonts w:asciiTheme="majorBidi" w:hAnsiTheme="majorBidi" w:cstheme="majorBidi"/>
          <w:color w:val="2A2A2A"/>
          <w:shd w:val="clear" w:color="auto" w:fill="FFFFFF"/>
        </w:rPr>
        <w:t xml:space="preserve"> Perkawinan sebagaimana telah disebutkan</w:t>
      </w:r>
      <w:r w:rsidRPr="002F18EF">
        <w:rPr>
          <w:rFonts w:asciiTheme="majorBidi" w:hAnsiTheme="majorBidi" w:cstheme="majorBidi"/>
          <w:color w:val="2A2A2A"/>
          <w:shd w:val="clear" w:color="auto" w:fill="FFFFFF"/>
        </w:rPr>
        <w:t>, kerap kali ditafsirkan bahwa hukum kawin beda agama merujuk pada hukum agama.</w:t>
      </w:r>
    </w:p>
    <w:p w14:paraId="38D75C67" w14:textId="4C6E6187" w:rsidR="006B5F3A" w:rsidRPr="002F18EF" w:rsidRDefault="007818CC"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color w:val="2A2A2A"/>
          <w:shd w:val="clear" w:color="auto" w:fill="FFFFFF"/>
        </w:rPr>
        <w:t xml:space="preserve">Dalam agama Islam sendiri tidak ada pendapat yang tunggal dalam menyikapi </w:t>
      </w:r>
      <w:r w:rsidR="00D63CF5" w:rsidRPr="002F18EF">
        <w:rPr>
          <w:rFonts w:asciiTheme="majorBidi" w:hAnsiTheme="majorBidi" w:cstheme="majorBidi"/>
          <w:color w:val="2A2A2A"/>
          <w:shd w:val="clear" w:color="auto" w:fill="FFFFFF"/>
        </w:rPr>
        <w:t>perkawinan</w:t>
      </w:r>
      <w:r w:rsidRPr="002F18EF">
        <w:rPr>
          <w:rFonts w:asciiTheme="majorBidi" w:hAnsiTheme="majorBidi" w:cstheme="majorBidi"/>
          <w:color w:val="2A2A2A"/>
          <w:shd w:val="clear" w:color="auto" w:fill="FFFFFF"/>
        </w:rPr>
        <w:t xml:space="preserve"> beda agama</w:t>
      </w:r>
      <w:r w:rsidR="00D63CF5" w:rsidRPr="002F18EF">
        <w:rPr>
          <w:rFonts w:asciiTheme="majorBidi" w:hAnsiTheme="majorBidi" w:cstheme="majorBidi"/>
          <w:color w:val="2A2A2A"/>
          <w:shd w:val="clear" w:color="auto" w:fill="FFFFFF"/>
        </w:rPr>
        <w:t>. Terdapat ragam pendapat yang mengitarinya, sehingga tergantung para pihak untuk mengikuti yang mana.</w:t>
      </w:r>
      <w:r w:rsidR="006B5F3A" w:rsidRPr="002F18EF">
        <w:rPr>
          <w:rFonts w:asciiTheme="majorBidi" w:hAnsiTheme="majorBidi" w:cstheme="majorBidi"/>
          <w:color w:val="2A2A2A"/>
          <w:shd w:val="clear" w:color="auto" w:fill="FFFFFF"/>
        </w:rPr>
        <w:t xml:space="preserve"> Seseorang yang tidak memiliki pilihan lain selain menikah dapat mengikuti pendapat para ulama yang memperbolehkan pernikahan semacam itu. Dengan kata lain, </w:t>
      </w:r>
      <w:r w:rsidR="006B5F3A" w:rsidRPr="002F18EF">
        <w:rPr>
          <w:rFonts w:asciiTheme="majorBidi" w:hAnsiTheme="majorBidi" w:cstheme="majorBidi"/>
          <w:color w:val="2A2A2A"/>
          <w:shd w:val="clear" w:color="auto" w:fill="FFFFFF"/>
        </w:rPr>
        <w:lastRenderedPageBreak/>
        <w:t xml:space="preserve">pernikahan seorang wanita Muslimah dengan seorang pria </w:t>
      </w:r>
      <w:r w:rsidR="00DC4E40" w:rsidRPr="002F18EF">
        <w:rPr>
          <w:rFonts w:asciiTheme="majorBidi" w:hAnsiTheme="majorBidi" w:cstheme="majorBidi"/>
          <w:color w:val="2A2A2A"/>
          <w:shd w:val="clear" w:color="auto" w:fill="FFFFFF"/>
        </w:rPr>
        <w:t>ahli</w:t>
      </w:r>
      <w:r w:rsidR="006B5F3A" w:rsidRPr="002F18EF">
        <w:rPr>
          <w:rFonts w:asciiTheme="majorBidi" w:hAnsiTheme="majorBidi" w:cstheme="majorBidi"/>
          <w:color w:val="2A2A2A"/>
          <w:shd w:val="clear" w:color="auto" w:fill="FFFFFF"/>
        </w:rPr>
        <w:t xml:space="preserve"> </w:t>
      </w:r>
      <w:r w:rsidR="00DC4E40" w:rsidRPr="002F18EF">
        <w:rPr>
          <w:rFonts w:asciiTheme="majorBidi" w:hAnsiTheme="majorBidi" w:cstheme="majorBidi"/>
          <w:color w:val="2A2A2A"/>
          <w:shd w:val="clear" w:color="auto" w:fill="FFFFFF"/>
        </w:rPr>
        <w:t>alkitab</w:t>
      </w:r>
      <w:r w:rsidR="006B5F3A" w:rsidRPr="002F18EF">
        <w:rPr>
          <w:rFonts w:asciiTheme="majorBidi" w:hAnsiTheme="majorBidi" w:cstheme="majorBidi"/>
          <w:color w:val="2A2A2A"/>
          <w:shd w:val="clear" w:color="auto" w:fill="FFFFFF"/>
        </w:rPr>
        <w:t xml:space="preserve"> dapat dianggap sah dalam kondisi darurat.</w:t>
      </w:r>
      <w:r w:rsidR="006B5F3A" w:rsidRPr="002F18EF">
        <w:rPr>
          <w:rStyle w:val="FootnoteReference"/>
          <w:rFonts w:asciiTheme="majorBidi" w:hAnsiTheme="majorBidi" w:cstheme="majorBidi"/>
          <w:color w:val="2A2A2A"/>
          <w:shd w:val="clear" w:color="auto" w:fill="FFFFFF"/>
        </w:rPr>
        <w:t xml:space="preserve"> </w:t>
      </w:r>
      <w:r w:rsidR="006B5F3A" w:rsidRPr="002F18EF">
        <w:rPr>
          <w:rStyle w:val="FootnoteReference"/>
          <w:rFonts w:asciiTheme="majorBidi" w:hAnsiTheme="majorBidi" w:cstheme="majorBidi"/>
          <w:color w:val="2A2A2A"/>
          <w:shd w:val="clear" w:color="auto" w:fill="FFFFFF"/>
        </w:rPr>
        <w:footnoteReference w:id="55"/>
      </w:r>
    </w:p>
    <w:p w14:paraId="5C66E6E9" w14:textId="3F1F8FAB" w:rsidR="00B34229" w:rsidRPr="002F18EF" w:rsidRDefault="00D63CF5" w:rsidP="007950E4">
      <w:pPr>
        <w:pStyle w:val="ListParagraph"/>
        <w:spacing w:after="0" w:line="240" w:lineRule="auto"/>
        <w:ind w:left="0" w:firstLine="567"/>
        <w:jc w:val="both"/>
        <w:rPr>
          <w:rFonts w:asciiTheme="majorBidi" w:hAnsiTheme="majorBidi" w:cstheme="majorBidi"/>
          <w:color w:val="2A2A2A"/>
          <w:shd w:val="clear" w:color="auto" w:fill="FFFFFF"/>
        </w:rPr>
      </w:pPr>
      <w:r w:rsidRPr="002F18EF">
        <w:rPr>
          <w:rFonts w:asciiTheme="majorBidi" w:hAnsiTheme="majorBidi" w:cstheme="majorBidi"/>
          <w:color w:val="2A2A2A"/>
          <w:shd w:val="clear" w:color="auto" w:fill="FFFFFF"/>
        </w:rPr>
        <w:t xml:space="preserve"> </w:t>
      </w:r>
      <w:r w:rsidR="00B34229" w:rsidRPr="002F18EF">
        <w:rPr>
          <w:rFonts w:asciiTheme="majorBidi" w:hAnsiTheme="majorBidi" w:cstheme="majorBidi"/>
          <w:color w:val="2A2A2A"/>
          <w:shd w:val="clear" w:color="auto" w:fill="FFFFFF"/>
        </w:rPr>
        <w:t xml:space="preserve"> </w:t>
      </w:r>
      <w:r w:rsidR="00B34229" w:rsidRPr="002F18EF">
        <w:rPr>
          <w:rFonts w:asciiTheme="majorBidi" w:hAnsiTheme="majorBidi" w:cstheme="majorBidi"/>
        </w:rPr>
        <w:t>Perkawinan beda agama adalah perkawinan di mana para pihak dalam pernikahan tersebut lahir atau dibesarkan dalam keluarga yang masing-masing menganut agama yang berbeda. Jika, sebelum atau setelah pernikahan, para pihak terus mengidentifikasi diri mereka dengan agama mereka yang berbeda, mereka tidak hanya menikah, tetapi juga merupakan pihak-pihak dalam “pernikahan campuran”. Jika kedua belah pihak secara resmi menerima agama yang sama meskipun mereka menikah campur, mereka tetap memiliki keyakinan agama yang sama dan karenanya tidak lagi menjadi “campuran”.</w:t>
      </w:r>
      <w:r w:rsidR="00B34229" w:rsidRPr="002F18EF">
        <w:rPr>
          <w:rStyle w:val="FootnoteReference"/>
          <w:rFonts w:asciiTheme="majorBidi" w:hAnsiTheme="majorBidi" w:cstheme="majorBidi"/>
        </w:rPr>
        <w:footnoteReference w:id="56"/>
      </w:r>
    </w:p>
    <w:p w14:paraId="3EC960B3" w14:textId="7DA274C7" w:rsidR="00D63CF5" w:rsidRPr="002F18EF" w:rsidRDefault="007818CC" w:rsidP="007950E4">
      <w:pPr>
        <w:pStyle w:val="ListParagraph"/>
        <w:spacing w:after="0" w:line="240" w:lineRule="auto"/>
        <w:ind w:left="0" w:firstLine="567"/>
        <w:jc w:val="both"/>
        <w:rPr>
          <w:rFonts w:asciiTheme="majorBidi" w:hAnsiTheme="majorBidi" w:cstheme="majorBidi"/>
          <w:color w:val="2A2A2A"/>
          <w:shd w:val="clear" w:color="auto" w:fill="FFFFFF"/>
        </w:rPr>
      </w:pPr>
      <w:r w:rsidRPr="002F18EF">
        <w:rPr>
          <w:rFonts w:asciiTheme="majorBidi" w:hAnsiTheme="majorBidi" w:cstheme="majorBidi"/>
          <w:color w:val="2A2A2A"/>
          <w:shd w:val="clear" w:color="auto" w:fill="FFFFFF"/>
        </w:rPr>
        <w:t>Mahkamah Agung (MA) melalui Putusan Nomor 1400K/PDT/1986 pernah mengabulkan perkawinan beda agama oleh dua pihak yang mengajukan kasasi.</w:t>
      </w:r>
      <w:r w:rsidR="00D63CF5" w:rsidRPr="002F18EF">
        <w:rPr>
          <w:rFonts w:asciiTheme="majorBidi" w:hAnsiTheme="majorBidi" w:cstheme="majorBidi"/>
          <w:color w:val="2A2A2A"/>
        </w:rPr>
        <w:t xml:space="preserve"> </w:t>
      </w:r>
      <w:r w:rsidR="00D63CF5" w:rsidRPr="002F18EF">
        <w:rPr>
          <w:rFonts w:asciiTheme="majorBidi" w:hAnsiTheme="majorBidi" w:cstheme="majorBidi"/>
        </w:rPr>
        <w:t xml:space="preserve">Majelis Hakim MA menyimpulkan bahwa UU Perkawinan tidak mengandung ketentuan yang melarang perkawinan antar agama. Menurut majelis hakim, itu sejalan dengan bunyi Pasal 27 UUD 1945, yang menyatakan bahwa setiap warga negara memiliki kedudukan yang sama di depan hukum. Selain itu, Pasal 29 Ayat (2) menyatakan bahwa negara memberikan kebebasan kepada setiap warganya untuk menganut dan beribadah menurut agama mereka sendiri. Pasangan yang berbeda agama kemudian sering bergantung pada keputusan ini saat mengajukan izin pernikahan. Pada 26 April 2022, misalnya, Pengadilan Negeri Surabaya mengabulkan gugatan RA dan EDS untuk melangsungkan perkawinan beda agama. </w:t>
      </w:r>
      <w:r w:rsidR="00D63CF5" w:rsidRPr="002F18EF">
        <w:rPr>
          <w:rFonts w:asciiTheme="majorBidi" w:hAnsiTheme="majorBidi" w:cstheme="majorBidi"/>
          <w:color w:val="2A2A2A"/>
          <w:shd w:val="clear" w:color="auto" w:fill="FFFFFF"/>
        </w:rPr>
        <w:t>Melalui putusan Nomor 916/</w:t>
      </w:r>
      <w:proofErr w:type="spellStart"/>
      <w:r w:rsidR="00D63CF5" w:rsidRPr="002F18EF">
        <w:rPr>
          <w:rFonts w:asciiTheme="majorBidi" w:hAnsiTheme="majorBidi" w:cstheme="majorBidi"/>
          <w:color w:val="2A2A2A"/>
          <w:shd w:val="clear" w:color="auto" w:fill="FFFFFF"/>
        </w:rPr>
        <w:t>Pdt.P</w:t>
      </w:r>
      <w:proofErr w:type="spellEnd"/>
      <w:r w:rsidR="00D63CF5" w:rsidRPr="002F18EF">
        <w:rPr>
          <w:rFonts w:asciiTheme="majorBidi" w:hAnsiTheme="majorBidi" w:cstheme="majorBidi"/>
          <w:color w:val="2A2A2A"/>
          <w:shd w:val="clear" w:color="auto" w:fill="FFFFFF"/>
        </w:rPr>
        <w:t>/2022/</w:t>
      </w:r>
      <w:proofErr w:type="spellStart"/>
      <w:r w:rsidR="00D63CF5" w:rsidRPr="002F18EF">
        <w:rPr>
          <w:rFonts w:asciiTheme="majorBidi" w:hAnsiTheme="majorBidi" w:cstheme="majorBidi"/>
          <w:color w:val="2A2A2A"/>
          <w:shd w:val="clear" w:color="auto" w:fill="FFFFFF"/>
        </w:rPr>
        <w:t>PN.Sby</w:t>
      </w:r>
      <w:proofErr w:type="spellEnd"/>
      <w:r w:rsidR="00D63CF5" w:rsidRPr="002F18EF">
        <w:rPr>
          <w:rFonts w:asciiTheme="majorBidi" w:hAnsiTheme="majorBidi" w:cstheme="majorBidi"/>
          <w:color w:val="2A2A2A"/>
          <w:shd w:val="clear" w:color="auto" w:fill="FFFFFF"/>
        </w:rPr>
        <w:t xml:space="preserve">, Majelis hakim juga memerintahkan pejabat Kantor Dinas Kependudukan dan Catatan Sipil </w:t>
      </w:r>
      <w:proofErr w:type="spellStart"/>
      <w:r w:rsidR="00D63CF5" w:rsidRPr="002F18EF">
        <w:rPr>
          <w:rFonts w:asciiTheme="majorBidi" w:hAnsiTheme="majorBidi" w:cstheme="majorBidi"/>
          <w:color w:val="2A2A2A"/>
          <w:shd w:val="clear" w:color="auto" w:fill="FFFFFF"/>
        </w:rPr>
        <w:t>Kotamadya</w:t>
      </w:r>
      <w:proofErr w:type="spellEnd"/>
      <w:r w:rsidR="00D63CF5" w:rsidRPr="002F18EF">
        <w:rPr>
          <w:rFonts w:asciiTheme="majorBidi" w:hAnsiTheme="majorBidi" w:cstheme="majorBidi"/>
          <w:color w:val="2A2A2A"/>
          <w:shd w:val="clear" w:color="auto" w:fill="FFFFFF"/>
        </w:rPr>
        <w:t xml:space="preserve"> Surabaya untuk mencatatkan perkawinan tersebut dan menerbitkan akta perkawinan.</w:t>
      </w:r>
    </w:p>
    <w:p w14:paraId="30E02533" w14:textId="57ACA73A" w:rsidR="001E2AAC" w:rsidRPr="002F18EF" w:rsidRDefault="00B34229"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color w:val="2A2A2A"/>
          <w:shd w:val="clear" w:color="auto" w:fill="FFFFFF"/>
        </w:rPr>
        <w:t xml:space="preserve">Berdasarkan putusan-putusan di atas, maka pencatatan perkawinan beda agama yang dilakukan di luar negeri dan dibawa ke Indonesia </w:t>
      </w:r>
      <w:r w:rsidR="007E0806" w:rsidRPr="002F18EF">
        <w:rPr>
          <w:rFonts w:asciiTheme="majorBidi" w:hAnsiTheme="majorBidi" w:cstheme="majorBidi"/>
          <w:color w:val="2A2A2A"/>
          <w:shd w:val="clear" w:color="auto" w:fill="FFFFFF"/>
        </w:rPr>
        <w:t xml:space="preserve">wajib untuk dilakukan </w:t>
      </w:r>
      <w:r w:rsidRPr="002F18EF">
        <w:rPr>
          <w:rFonts w:asciiTheme="majorBidi" w:hAnsiTheme="majorBidi" w:cstheme="majorBidi"/>
          <w:color w:val="2A2A2A"/>
          <w:shd w:val="clear" w:color="auto" w:fill="FFFFFF"/>
        </w:rPr>
        <w:t>berdasarkan hak-hak yang diperoleh</w:t>
      </w:r>
      <w:r w:rsidR="007E0806" w:rsidRPr="002F18EF">
        <w:rPr>
          <w:rFonts w:asciiTheme="majorBidi" w:hAnsiTheme="majorBidi" w:cstheme="majorBidi"/>
          <w:color w:val="2A2A2A"/>
          <w:shd w:val="clear" w:color="auto" w:fill="FFFFFF"/>
        </w:rPr>
        <w:t xml:space="preserve"> menggunakan hukum asing</w:t>
      </w:r>
      <w:r w:rsidRPr="002F18EF">
        <w:rPr>
          <w:rFonts w:asciiTheme="majorBidi" w:hAnsiTheme="majorBidi" w:cstheme="majorBidi"/>
          <w:color w:val="2A2A2A"/>
          <w:shd w:val="clear" w:color="auto" w:fill="FFFFFF"/>
        </w:rPr>
        <w:t xml:space="preserve"> dalam rangka untuk mewujudkan keadilan karena sesuai dengan Pasal 27 UUD NRI 1945 di atas bahwa semua sama kedudukannya di depan hukum.</w:t>
      </w:r>
      <w:r w:rsidR="007E0806" w:rsidRPr="002F18EF">
        <w:rPr>
          <w:rFonts w:asciiTheme="majorBidi" w:hAnsiTheme="majorBidi" w:cstheme="majorBidi"/>
          <w:color w:val="2A2A2A"/>
          <w:shd w:val="clear" w:color="auto" w:fill="FFFFFF"/>
        </w:rPr>
        <w:t xml:space="preserve"> Hal tersebut dapat ditolak dengan alasan melanggar ketertiban umum. </w:t>
      </w:r>
      <w:r w:rsidR="001E2AAC" w:rsidRPr="002F18EF">
        <w:rPr>
          <w:rFonts w:asciiTheme="majorBidi" w:hAnsiTheme="majorBidi" w:cstheme="majorBidi"/>
          <w:color w:val="212529"/>
          <w:shd w:val="clear" w:color="auto" w:fill="FFFFFF"/>
        </w:rPr>
        <w:t>Perkawinan</w:t>
      </w:r>
      <w:r w:rsidR="001E2AAC" w:rsidRPr="002F18EF">
        <w:rPr>
          <w:rFonts w:asciiTheme="majorBidi" w:hAnsiTheme="majorBidi" w:cstheme="majorBidi"/>
        </w:rPr>
        <w:t xml:space="preserve"> campuran tunduk pada hukum nasional masing-masing pihak (prinsip </w:t>
      </w:r>
      <w:proofErr w:type="spellStart"/>
      <w:r w:rsidR="001E2AAC" w:rsidRPr="002F18EF">
        <w:rPr>
          <w:rFonts w:asciiTheme="majorBidi" w:hAnsiTheme="majorBidi" w:cstheme="majorBidi"/>
        </w:rPr>
        <w:t>nasionalitas</w:t>
      </w:r>
      <w:proofErr w:type="spellEnd"/>
      <w:r w:rsidR="001E2AAC" w:rsidRPr="002F18EF">
        <w:rPr>
          <w:rFonts w:asciiTheme="majorBidi" w:hAnsiTheme="majorBidi" w:cstheme="majorBidi"/>
        </w:rPr>
        <w:t>), dan hukum tempat perkawinan dilakukan (</w:t>
      </w:r>
      <w:proofErr w:type="spellStart"/>
      <w:r w:rsidR="001E2AAC" w:rsidRPr="002F18EF">
        <w:rPr>
          <w:rFonts w:asciiTheme="majorBidi" w:hAnsiTheme="majorBidi" w:cstheme="majorBidi"/>
          <w:i/>
          <w:iCs/>
        </w:rPr>
        <w:t>lex</w:t>
      </w:r>
      <w:proofErr w:type="spellEnd"/>
      <w:r w:rsidR="001E2AAC" w:rsidRPr="002F18EF">
        <w:rPr>
          <w:rFonts w:asciiTheme="majorBidi" w:hAnsiTheme="majorBidi" w:cstheme="majorBidi"/>
          <w:i/>
          <w:iCs/>
        </w:rPr>
        <w:t xml:space="preserve"> </w:t>
      </w:r>
      <w:proofErr w:type="spellStart"/>
      <w:r w:rsidR="001E2AAC" w:rsidRPr="002F18EF">
        <w:rPr>
          <w:rFonts w:asciiTheme="majorBidi" w:hAnsiTheme="majorBidi" w:cstheme="majorBidi"/>
          <w:i/>
          <w:iCs/>
        </w:rPr>
        <w:t>loci</w:t>
      </w:r>
      <w:proofErr w:type="spellEnd"/>
      <w:r w:rsidR="001E2AAC" w:rsidRPr="002F18EF">
        <w:rPr>
          <w:rFonts w:asciiTheme="majorBidi" w:hAnsiTheme="majorBidi" w:cstheme="majorBidi"/>
          <w:i/>
          <w:iCs/>
        </w:rPr>
        <w:t xml:space="preserve"> </w:t>
      </w:r>
      <w:proofErr w:type="spellStart"/>
      <w:r w:rsidR="001E2AAC" w:rsidRPr="002F18EF">
        <w:rPr>
          <w:rFonts w:asciiTheme="majorBidi" w:hAnsiTheme="majorBidi" w:cstheme="majorBidi"/>
          <w:i/>
          <w:iCs/>
        </w:rPr>
        <w:t>celebrationis</w:t>
      </w:r>
      <w:proofErr w:type="spellEnd"/>
      <w:r w:rsidR="001E2AAC" w:rsidRPr="002F18EF">
        <w:rPr>
          <w:rFonts w:asciiTheme="majorBidi" w:hAnsiTheme="majorBidi" w:cstheme="majorBidi"/>
        </w:rPr>
        <w:t xml:space="preserve">). Ketentuan ini sejalan dengan </w:t>
      </w:r>
      <w:proofErr w:type="spellStart"/>
      <w:r w:rsidR="001E2AAC" w:rsidRPr="002F18EF">
        <w:rPr>
          <w:rFonts w:asciiTheme="majorBidi" w:hAnsiTheme="majorBidi" w:cstheme="majorBidi"/>
        </w:rPr>
        <w:t>Undang-Undang</w:t>
      </w:r>
      <w:proofErr w:type="spellEnd"/>
      <w:r w:rsidR="001E2AAC" w:rsidRPr="002F18EF">
        <w:rPr>
          <w:rFonts w:asciiTheme="majorBidi" w:hAnsiTheme="majorBidi" w:cstheme="majorBidi"/>
        </w:rPr>
        <w:t xml:space="preserve"> Perkawinan Nomor 1 Tahun 1974. Untuk perkawinan dianggap sah, kedua syarat ini harus dipenuhi secara keseluruhan. Diharapkan syarat sahnya perkawinan akan diubah sesuai dengan </w:t>
      </w:r>
      <w:proofErr w:type="spellStart"/>
      <w:r w:rsidR="001E2AAC" w:rsidRPr="002F18EF">
        <w:rPr>
          <w:rFonts w:asciiTheme="majorBidi" w:hAnsiTheme="majorBidi" w:cstheme="majorBidi"/>
          <w:i/>
          <w:iCs/>
        </w:rPr>
        <w:t>lex</w:t>
      </w:r>
      <w:proofErr w:type="spellEnd"/>
      <w:r w:rsidR="001E2AAC" w:rsidRPr="002F18EF">
        <w:rPr>
          <w:rFonts w:asciiTheme="majorBidi" w:hAnsiTheme="majorBidi" w:cstheme="majorBidi"/>
          <w:i/>
          <w:iCs/>
        </w:rPr>
        <w:t xml:space="preserve"> </w:t>
      </w:r>
      <w:proofErr w:type="spellStart"/>
      <w:r w:rsidR="001E2AAC" w:rsidRPr="002F18EF">
        <w:rPr>
          <w:rFonts w:asciiTheme="majorBidi" w:hAnsiTheme="majorBidi" w:cstheme="majorBidi"/>
          <w:i/>
          <w:iCs/>
        </w:rPr>
        <w:t>loci</w:t>
      </w:r>
      <w:proofErr w:type="spellEnd"/>
      <w:r w:rsidR="001E2AAC" w:rsidRPr="002F18EF">
        <w:rPr>
          <w:rFonts w:asciiTheme="majorBidi" w:hAnsiTheme="majorBidi" w:cstheme="majorBidi"/>
          <w:i/>
          <w:iCs/>
        </w:rPr>
        <w:t xml:space="preserve"> </w:t>
      </w:r>
      <w:proofErr w:type="spellStart"/>
      <w:r w:rsidR="001E2AAC" w:rsidRPr="002F18EF">
        <w:rPr>
          <w:rFonts w:asciiTheme="majorBidi" w:hAnsiTheme="majorBidi" w:cstheme="majorBidi"/>
          <w:i/>
          <w:iCs/>
        </w:rPr>
        <w:t>celebrationis</w:t>
      </w:r>
      <w:proofErr w:type="spellEnd"/>
      <w:r w:rsidR="001E2AAC" w:rsidRPr="002F18EF">
        <w:rPr>
          <w:rFonts w:asciiTheme="majorBidi" w:hAnsiTheme="majorBidi" w:cstheme="majorBidi"/>
        </w:rPr>
        <w:t>, tetapi tidak bertentangan dengan ketertiban umum baik di negara para pihak maupun di negara tempat perkawinan diselenggarakan.</w:t>
      </w:r>
    </w:p>
    <w:p w14:paraId="44675CBC" w14:textId="73439E02" w:rsidR="00503052" w:rsidRPr="002F18EF" w:rsidRDefault="00A849AC" w:rsidP="007950E4">
      <w:pPr>
        <w:pStyle w:val="ListParagraph"/>
        <w:spacing w:after="0" w:line="240" w:lineRule="auto"/>
        <w:ind w:left="0" w:firstLine="567"/>
        <w:jc w:val="both"/>
        <w:rPr>
          <w:rFonts w:asciiTheme="majorBidi" w:hAnsiTheme="majorBidi" w:cstheme="majorBidi"/>
          <w:color w:val="212529"/>
          <w:shd w:val="clear" w:color="auto" w:fill="FFFFFF"/>
        </w:rPr>
      </w:pPr>
      <w:r w:rsidRPr="002F18EF">
        <w:rPr>
          <w:rFonts w:asciiTheme="majorBidi" w:hAnsiTheme="majorBidi" w:cstheme="majorBidi"/>
          <w:color w:val="212529"/>
          <w:shd w:val="clear" w:color="auto" w:fill="FFFFFF"/>
        </w:rPr>
        <w:t xml:space="preserve">Pertanyaan yang muncul kemudian adalah apakah perkawinan beda agama </w:t>
      </w:r>
      <w:r w:rsidR="00DC4E40">
        <w:rPr>
          <w:rFonts w:asciiTheme="majorBidi" w:hAnsiTheme="majorBidi" w:cstheme="majorBidi"/>
          <w:color w:val="212529"/>
          <w:shd w:val="clear" w:color="auto" w:fill="FFFFFF"/>
        </w:rPr>
        <w:t>yang dilaksanakan di luar negeri dan di bawa ke</w:t>
      </w:r>
      <w:r w:rsidRPr="002F18EF">
        <w:rPr>
          <w:rFonts w:asciiTheme="majorBidi" w:hAnsiTheme="majorBidi" w:cstheme="majorBidi"/>
          <w:color w:val="212529"/>
          <w:shd w:val="clear" w:color="auto" w:fill="FFFFFF"/>
        </w:rPr>
        <w:t xml:space="preserve"> </w:t>
      </w:r>
      <w:r w:rsidR="00DC4E40">
        <w:rPr>
          <w:rFonts w:asciiTheme="majorBidi" w:hAnsiTheme="majorBidi" w:cstheme="majorBidi"/>
          <w:color w:val="212529"/>
          <w:shd w:val="clear" w:color="auto" w:fill="FFFFFF"/>
        </w:rPr>
        <w:t xml:space="preserve">Indonesia </w:t>
      </w:r>
      <w:r w:rsidRPr="002F18EF">
        <w:rPr>
          <w:rFonts w:asciiTheme="majorBidi" w:hAnsiTheme="majorBidi" w:cstheme="majorBidi"/>
          <w:color w:val="212529"/>
          <w:shd w:val="clear" w:color="auto" w:fill="FFFFFF"/>
        </w:rPr>
        <w:t xml:space="preserve"> </w:t>
      </w:r>
      <w:r w:rsidR="00DC4E40">
        <w:rPr>
          <w:rFonts w:asciiTheme="majorBidi" w:hAnsiTheme="majorBidi" w:cstheme="majorBidi"/>
          <w:color w:val="212529"/>
          <w:shd w:val="clear" w:color="auto" w:fill="FFFFFF"/>
        </w:rPr>
        <w:t xml:space="preserve">dapat </w:t>
      </w:r>
      <w:r w:rsidRPr="002F18EF">
        <w:rPr>
          <w:rFonts w:asciiTheme="majorBidi" w:hAnsiTheme="majorBidi" w:cstheme="majorBidi"/>
          <w:color w:val="212529"/>
          <w:shd w:val="clear" w:color="auto" w:fill="FFFFFF"/>
        </w:rPr>
        <w:t xml:space="preserve">dikategorikan melanggar ketertiban umum. </w:t>
      </w:r>
      <w:r w:rsidR="008367BA" w:rsidRPr="002F18EF">
        <w:rPr>
          <w:rFonts w:asciiTheme="majorBidi" w:hAnsiTheme="majorBidi" w:cstheme="majorBidi"/>
          <w:color w:val="212529"/>
          <w:shd w:val="clear" w:color="auto" w:fill="FFFFFF"/>
        </w:rPr>
        <w:t xml:space="preserve">Pertama harus diurai apa yang dimaksud dengan ketertiban umum. </w:t>
      </w:r>
      <w:r w:rsidR="00503052" w:rsidRPr="002F18EF">
        <w:rPr>
          <w:rFonts w:asciiTheme="majorBidi" w:hAnsiTheme="majorBidi" w:cstheme="majorBidi"/>
          <w:color w:val="212529"/>
          <w:shd w:val="clear" w:color="auto" w:fill="FFFFFF"/>
        </w:rPr>
        <w:t xml:space="preserve">Secara etimologis, ketertiban umum disebut </w:t>
      </w:r>
      <w:proofErr w:type="spellStart"/>
      <w:r w:rsidR="00503052" w:rsidRPr="002F18EF">
        <w:rPr>
          <w:rFonts w:asciiTheme="majorBidi" w:hAnsiTheme="majorBidi" w:cstheme="majorBidi"/>
          <w:i/>
          <w:iCs/>
          <w:color w:val="212529"/>
          <w:shd w:val="clear" w:color="auto" w:fill="FFFFFF"/>
        </w:rPr>
        <w:t>Openbare</w:t>
      </w:r>
      <w:proofErr w:type="spellEnd"/>
      <w:r w:rsidR="00503052" w:rsidRPr="002F18EF">
        <w:rPr>
          <w:rFonts w:asciiTheme="majorBidi" w:hAnsiTheme="majorBidi" w:cstheme="majorBidi"/>
          <w:i/>
          <w:iCs/>
          <w:color w:val="212529"/>
          <w:shd w:val="clear" w:color="auto" w:fill="FFFFFF"/>
        </w:rPr>
        <w:t xml:space="preserve"> Orde</w:t>
      </w:r>
      <w:r w:rsidR="00503052" w:rsidRPr="002F18EF">
        <w:rPr>
          <w:rFonts w:asciiTheme="majorBidi" w:hAnsiTheme="majorBidi" w:cstheme="majorBidi"/>
          <w:color w:val="212529"/>
          <w:shd w:val="clear" w:color="auto" w:fill="FFFFFF"/>
        </w:rPr>
        <w:t xml:space="preserve"> (dalam bahasa Belanda)</w:t>
      </w:r>
      <w:r w:rsidR="004140FC">
        <w:rPr>
          <w:rStyle w:val="FootnoteReference"/>
          <w:rFonts w:asciiTheme="majorBidi" w:hAnsiTheme="majorBidi" w:cstheme="majorBidi"/>
          <w:color w:val="212529"/>
          <w:shd w:val="clear" w:color="auto" w:fill="FFFFFF"/>
        </w:rPr>
        <w:footnoteReference w:id="57"/>
      </w:r>
      <w:r w:rsidR="00503052" w:rsidRPr="002F18EF">
        <w:rPr>
          <w:rFonts w:asciiTheme="majorBidi" w:hAnsiTheme="majorBidi" w:cstheme="majorBidi"/>
          <w:color w:val="212529"/>
          <w:shd w:val="clear" w:color="auto" w:fill="FFFFFF"/>
        </w:rPr>
        <w:t xml:space="preserve"> dan </w:t>
      </w:r>
      <w:proofErr w:type="spellStart"/>
      <w:r w:rsidR="00503052" w:rsidRPr="002F18EF">
        <w:rPr>
          <w:rFonts w:asciiTheme="majorBidi" w:hAnsiTheme="majorBidi" w:cstheme="majorBidi"/>
          <w:i/>
          <w:iCs/>
          <w:color w:val="212529"/>
          <w:shd w:val="clear" w:color="auto" w:fill="FFFFFF"/>
        </w:rPr>
        <w:t>Ordre</w:t>
      </w:r>
      <w:proofErr w:type="spellEnd"/>
      <w:r w:rsidR="00503052" w:rsidRPr="002F18EF">
        <w:rPr>
          <w:rFonts w:asciiTheme="majorBidi" w:hAnsiTheme="majorBidi" w:cstheme="majorBidi"/>
          <w:i/>
          <w:iCs/>
          <w:color w:val="212529"/>
          <w:shd w:val="clear" w:color="auto" w:fill="FFFFFF"/>
        </w:rPr>
        <w:t xml:space="preserve"> </w:t>
      </w:r>
      <w:proofErr w:type="spellStart"/>
      <w:r w:rsidR="00503052" w:rsidRPr="002F18EF">
        <w:rPr>
          <w:rFonts w:asciiTheme="majorBidi" w:hAnsiTheme="majorBidi" w:cstheme="majorBidi"/>
          <w:i/>
          <w:iCs/>
          <w:color w:val="212529"/>
          <w:shd w:val="clear" w:color="auto" w:fill="FFFFFF"/>
        </w:rPr>
        <w:t>Public</w:t>
      </w:r>
      <w:proofErr w:type="spellEnd"/>
      <w:r w:rsidR="00503052" w:rsidRPr="002F18EF">
        <w:rPr>
          <w:rFonts w:asciiTheme="majorBidi" w:hAnsiTheme="majorBidi" w:cstheme="majorBidi"/>
          <w:color w:val="212529"/>
          <w:shd w:val="clear" w:color="auto" w:fill="FFFFFF"/>
        </w:rPr>
        <w:t xml:space="preserve"> (dalam bahasa Perancis)</w:t>
      </w:r>
      <w:r w:rsidR="004140FC">
        <w:rPr>
          <w:rStyle w:val="FootnoteReference"/>
          <w:rFonts w:asciiTheme="majorBidi" w:hAnsiTheme="majorBidi" w:cstheme="majorBidi"/>
          <w:color w:val="212529"/>
          <w:shd w:val="clear" w:color="auto" w:fill="FFFFFF"/>
        </w:rPr>
        <w:footnoteReference w:id="58"/>
      </w:r>
      <w:r w:rsidR="00503052" w:rsidRPr="002F18EF">
        <w:rPr>
          <w:rFonts w:asciiTheme="majorBidi" w:hAnsiTheme="majorBidi" w:cstheme="majorBidi"/>
          <w:color w:val="212529"/>
          <w:shd w:val="clear" w:color="auto" w:fill="FFFFFF"/>
        </w:rPr>
        <w:t xml:space="preserve">. Dalam bahasa </w:t>
      </w:r>
      <w:r w:rsidR="00503052" w:rsidRPr="002F18EF">
        <w:rPr>
          <w:rFonts w:asciiTheme="majorBidi" w:hAnsiTheme="majorBidi" w:cstheme="majorBidi"/>
          <w:i/>
          <w:iCs/>
          <w:color w:val="212529"/>
          <w:shd w:val="clear" w:color="auto" w:fill="FFFFFF"/>
        </w:rPr>
        <w:t xml:space="preserve">Anglo </w:t>
      </w:r>
      <w:proofErr w:type="spellStart"/>
      <w:r w:rsidR="00503052" w:rsidRPr="002F18EF">
        <w:rPr>
          <w:rFonts w:asciiTheme="majorBidi" w:hAnsiTheme="majorBidi" w:cstheme="majorBidi"/>
          <w:i/>
          <w:iCs/>
          <w:color w:val="212529"/>
          <w:shd w:val="clear" w:color="auto" w:fill="FFFFFF"/>
        </w:rPr>
        <w:t>Saxon</w:t>
      </w:r>
      <w:proofErr w:type="spellEnd"/>
      <w:r w:rsidR="00503052" w:rsidRPr="002F18EF">
        <w:rPr>
          <w:rFonts w:asciiTheme="majorBidi" w:hAnsiTheme="majorBidi" w:cstheme="majorBidi"/>
          <w:color w:val="212529"/>
          <w:shd w:val="clear" w:color="auto" w:fill="FFFFFF"/>
        </w:rPr>
        <w:t xml:space="preserve">, itu disebut </w:t>
      </w:r>
      <w:proofErr w:type="spellStart"/>
      <w:r w:rsidR="00503052" w:rsidRPr="002F18EF">
        <w:rPr>
          <w:rFonts w:asciiTheme="majorBidi" w:hAnsiTheme="majorBidi" w:cstheme="majorBidi"/>
          <w:i/>
          <w:iCs/>
          <w:color w:val="212529"/>
          <w:shd w:val="clear" w:color="auto" w:fill="FFFFFF"/>
        </w:rPr>
        <w:t>Public</w:t>
      </w:r>
      <w:proofErr w:type="spellEnd"/>
      <w:r w:rsidR="00503052" w:rsidRPr="002F18EF">
        <w:rPr>
          <w:rFonts w:asciiTheme="majorBidi" w:hAnsiTheme="majorBidi" w:cstheme="majorBidi"/>
          <w:i/>
          <w:iCs/>
          <w:color w:val="212529"/>
          <w:shd w:val="clear" w:color="auto" w:fill="FFFFFF"/>
        </w:rPr>
        <w:t xml:space="preserve"> </w:t>
      </w:r>
      <w:proofErr w:type="spellStart"/>
      <w:r w:rsidR="00503052" w:rsidRPr="002F18EF">
        <w:rPr>
          <w:rFonts w:asciiTheme="majorBidi" w:hAnsiTheme="majorBidi" w:cstheme="majorBidi"/>
          <w:i/>
          <w:iCs/>
          <w:color w:val="212529"/>
          <w:shd w:val="clear" w:color="auto" w:fill="FFFFFF"/>
        </w:rPr>
        <w:t>Policy</w:t>
      </w:r>
      <w:proofErr w:type="spellEnd"/>
      <w:r w:rsidR="00503052" w:rsidRPr="002F18EF">
        <w:rPr>
          <w:rFonts w:asciiTheme="majorBidi" w:hAnsiTheme="majorBidi" w:cstheme="majorBidi"/>
          <w:color w:val="212529"/>
          <w:shd w:val="clear" w:color="auto" w:fill="FFFFFF"/>
        </w:rPr>
        <w:t xml:space="preserve">. Ketertiban umum ini merupakan bagian penting dari HPI karena dalam memberlakukan hukum asing, suatu negara terikat dengan kepentingan nasional negaranya, sehingga negara tersebut tidak boleh memberlakukan hukum asing jika dianggap bertentangan dengan ketertiban umum. Oleh karena </w:t>
      </w:r>
      <w:r w:rsidR="00503052" w:rsidRPr="002F18EF">
        <w:rPr>
          <w:rFonts w:asciiTheme="majorBidi" w:hAnsiTheme="majorBidi" w:cstheme="majorBidi"/>
          <w:color w:val="212529"/>
          <w:shd w:val="clear" w:color="auto" w:fill="FFFFFF"/>
        </w:rPr>
        <w:lastRenderedPageBreak/>
        <w:t>itu, ketertiban umum ini mencegah suatu negara memberlakukan hukum asing jika dianggap bertentangan dengan ketertiban umum.</w:t>
      </w:r>
      <w:r w:rsidR="00503052" w:rsidRPr="002F18EF">
        <w:rPr>
          <w:rStyle w:val="FootnoteReference"/>
          <w:rFonts w:asciiTheme="majorBidi" w:hAnsiTheme="majorBidi" w:cstheme="majorBidi"/>
          <w:color w:val="212529"/>
          <w:shd w:val="clear" w:color="auto" w:fill="FFFFFF"/>
        </w:rPr>
        <w:footnoteReference w:id="59"/>
      </w:r>
    </w:p>
    <w:p w14:paraId="5A3535D3" w14:textId="3A0A043B" w:rsidR="00883437" w:rsidRPr="002F18EF" w:rsidRDefault="00883437" w:rsidP="007950E4">
      <w:pPr>
        <w:pStyle w:val="ListParagraph"/>
        <w:spacing w:after="0" w:line="240" w:lineRule="auto"/>
        <w:ind w:left="0" w:firstLine="567"/>
        <w:jc w:val="both"/>
        <w:rPr>
          <w:rFonts w:asciiTheme="majorBidi" w:hAnsiTheme="majorBidi" w:cstheme="majorBidi"/>
          <w:color w:val="212529"/>
          <w:shd w:val="clear" w:color="auto" w:fill="FFFFFF"/>
        </w:rPr>
      </w:pPr>
      <w:r w:rsidRPr="002F18EF">
        <w:rPr>
          <w:rFonts w:asciiTheme="majorBidi" w:hAnsiTheme="majorBidi" w:cstheme="majorBidi"/>
          <w:color w:val="212529"/>
          <w:shd w:val="clear" w:color="auto" w:fill="FFFFFF"/>
        </w:rPr>
        <w:t xml:space="preserve">Berbeda dengan </w:t>
      </w:r>
      <w:proofErr w:type="spellStart"/>
      <w:r w:rsidRPr="002F18EF">
        <w:rPr>
          <w:rFonts w:asciiTheme="majorBidi" w:hAnsiTheme="majorBidi" w:cstheme="majorBidi"/>
          <w:color w:val="212529"/>
          <w:shd w:val="clear" w:color="auto" w:fill="FFFFFF"/>
        </w:rPr>
        <w:t>Justice</w:t>
      </w:r>
      <w:proofErr w:type="spellEnd"/>
      <w:r w:rsidR="00586FD0" w:rsidRPr="002F18EF">
        <w:rPr>
          <w:rFonts w:asciiTheme="majorBidi" w:hAnsiTheme="majorBidi" w:cstheme="majorBidi"/>
          <w:color w:val="212529"/>
          <w:shd w:val="clear" w:color="auto" w:fill="FFFFFF"/>
        </w:rPr>
        <w:t xml:space="preserve"> </w:t>
      </w:r>
      <w:proofErr w:type="spellStart"/>
      <w:r w:rsidR="00586FD0" w:rsidRPr="002F18EF">
        <w:rPr>
          <w:rFonts w:asciiTheme="majorBidi" w:hAnsiTheme="majorBidi" w:cstheme="majorBidi"/>
          <w:color w:val="212529"/>
          <w:shd w:val="clear" w:color="auto" w:fill="FFFFFF"/>
        </w:rPr>
        <w:t>Cordozo</w:t>
      </w:r>
      <w:proofErr w:type="spellEnd"/>
      <w:r w:rsidRPr="002F18EF">
        <w:rPr>
          <w:rFonts w:asciiTheme="majorBidi" w:hAnsiTheme="majorBidi" w:cstheme="majorBidi"/>
          <w:color w:val="212529"/>
          <w:shd w:val="clear" w:color="auto" w:fill="FFFFFF"/>
        </w:rPr>
        <w:t xml:space="preserve">, </w:t>
      </w:r>
      <w:proofErr w:type="spellStart"/>
      <w:r w:rsidRPr="002F18EF">
        <w:rPr>
          <w:rFonts w:asciiTheme="majorBidi" w:hAnsiTheme="majorBidi" w:cstheme="majorBidi"/>
          <w:color w:val="212529"/>
          <w:shd w:val="clear" w:color="auto" w:fill="FFFFFF"/>
        </w:rPr>
        <w:t>Stumberg</w:t>
      </w:r>
      <w:proofErr w:type="spellEnd"/>
      <w:r w:rsidRPr="002F18EF">
        <w:rPr>
          <w:rFonts w:asciiTheme="majorBidi" w:hAnsiTheme="majorBidi" w:cstheme="majorBidi"/>
          <w:color w:val="212529"/>
          <w:shd w:val="clear" w:color="auto" w:fill="FFFFFF"/>
        </w:rPr>
        <w:t xml:space="preserve"> menggunakan konsep yang sangat umum dalam mendefinisikan ketertiban umum, yaitu suatu keputusan yang ditolak oleh forum karena dianggap bertentangan dengan dasar kebijakannya, dan prinsip keadilan yang fundamental. Adapun menurut </w:t>
      </w:r>
      <w:proofErr w:type="spellStart"/>
      <w:r w:rsidRPr="002F18EF">
        <w:rPr>
          <w:rFonts w:asciiTheme="majorBidi" w:hAnsiTheme="majorBidi" w:cstheme="majorBidi"/>
          <w:color w:val="212529"/>
          <w:shd w:val="clear" w:color="auto" w:fill="FFFFFF"/>
        </w:rPr>
        <w:t>Justice</w:t>
      </w:r>
      <w:proofErr w:type="spellEnd"/>
      <w:r w:rsidRPr="002F18EF">
        <w:rPr>
          <w:rFonts w:asciiTheme="majorBidi" w:hAnsiTheme="majorBidi" w:cstheme="majorBidi"/>
          <w:color w:val="212529"/>
          <w:shd w:val="clear" w:color="auto" w:fill="FFFFFF"/>
        </w:rPr>
        <w:t xml:space="preserve"> </w:t>
      </w:r>
      <w:proofErr w:type="spellStart"/>
      <w:r w:rsidRPr="002F18EF">
        <w:rPr>
          <w:rFonts w:asciiTheme="majorBidi" w:hAnsiTheme="majorBidi" w:cstheme="majorBidi"/>
          <w:color w:val="212529"/>
          <w:shd w:val="clear" w:color="auto" w:fill="FFFFFF"/>
        </w:rPr>
        <w:t>Cordozo</w:t>
      </w:r>
      <w:proofErr w:type="spellEnd"/>
      <w:r w:rsidRPr="002F18EF">
        <w:rPr>
          <w:rFonts w:asciiTheme="majorBidi" w:hAnsiTheme="majorBidi" w:cstheme="majorBidi"/>
          <w:color w:val="212529"/>
          <w:shd w:val="clear" w:color="auto" w:fill="FFFFFF"/>
        </w:rPr>
        <w:t xml:space="preserve"> dalam mendefinisikan ketertiban umum dengan menggunakan prinsip-prinsip dasar keadilan, konsepsi-konsepsi moral yang baik, dan kebiasaan yang telah lama berlangsung.</w:t>
      </w:r>
      <w:r w:rsidRPr="002F18EF">
        <w:rPr>
          <w:rStyle w:val="FootnoteReference"/>
          <w:rFonts w:asciiTheme="majorBidi" w:hAnsiTheme="majorBidi" w:cstheme="majorBidi"/>
          <w:color w:val="212529"/>
          <w:shd w:val="clear" w:color="auto" w:fill="FFFFFF"/>
        </w:rPr>
        <w:footnoteReference w:id="60"/>
      </w:r>
    </w:p>
    <w:p w14:paraId="68F27CB8" w14:textId="37E21B78" w:rsidR="000E3E31" w:rsidRPr="002F18EF" w:rsidRDefault="000E3E31" w:rsidP="007950E4">
      <w:pPr>
        <w:pStyle w:val="ListParagraph"/>
        <w:spacing w:after="0" w:line="240" w:lineRule="auto"/>
        <w:ind w:left="0" w:firstLine="567"/>
        <w:jc w:val="both"/>
        <w:rPr>
          <w:rFonts w:asciiTheme="majorBidi" w:hAnsiTheme="majorBidi" w:cstheme="majorBidi"/>
          <w:color w:val="212529"/>
          <w:shd w:val="clear" w:color="auto" w:fill="FFFFFF"/>
        </w:rPr>
      </w:pPr>
      <w:r w:rsidRPr="002F18EF">
        <w:rPr>
          <w:rFonts w:asciiTheme="majorBidi" w:hAnsiTheme="majorBidi" w:cstheme="majorBidi"/>
          <w:color w:val="212529"/>
          <w:shd w:val="clear" w:color="auto" w:fill="FFFFFF"/>
        </w:rPr>
        <w:t>Adapun di Indonesia, ketertiban umum digunakan dengan cara yang cukup variatif, seperti: (a) ketertiban umum dalam hukum perjanjian, yang menjadi pembatas untuk bertindak secara leluasa bagi setiap orang, (b) ketertiban umum dimaknai sebagai ketertiban, kesejahteraan dan keamanan, (c) ketertiban umum disejajarkan dengan kesusilaan yang baik, seperti pembatasan pada kebebasan berkontrak, (d) ketertiban umum disinonimkan dengan istilah keadilan, (e)</w:t>
      </w:r>
      <w:r w:rsidR="00980906" w:rsidRPr="002F18EF">
        <w:rPr>
          <w:rFonts w:asciiTheme="majorBidi" w:hAnsiTheme="majorBidi" w:cstheme="majorBidi"/>
          <w:color w:val="212529"/>
          <w:shd w:val="clear" w:color="auto" w:fill="FFFFFF"/>
        </w:rPr>
        <w:t xml:space="preserve"> ketertiban umum dapat diartikan dalam acara pidana, pihak penuntut harus didengar, (f) ketertiban umum juga diartikan bahwa hakim wajib untuk mempergunakan pasal-pasal yang ada dalam undang-undang tertentu.</w:t>
      </w:r>
      <w:r w:rsidR="00980906" w:rsidRPr="002F18EF">
        <w:rPr>
          <w:rStyle w:val="FootnoteReference"/>
          <w:rFonts w:asciiTheme="majorBidi" w:hAnsiTheme="majorBidi" w:cstheme="majorBidi"/>
          <w:color w:val="212529"/>
          <w:shd w:val="clear" w:color="auto" w:fill="FFFFFF"/>
        </w:rPr>
        <w:footnoteReference w:id="61"/>
      </w:r>
    </w:p>
    <w:p w14:paraId="5BF0F1C3" w14:textId="33E72DC6" w:rsidR="008367BA" w:rsidRPr="002F18EF" w:rsidRDefault="00980906" w:rsidP="007950E4">
      <w:pPr>
        <w:pStyle w:val="ListParagraph"/>
        <w:spacing w:after="0" w:line="240" w:lineRule="auto"/>
        <w:ind w:left="0" w:firstLine="567"/>
        <w:jc w:val="both"/>
        <w:rPr>
          <w:rFonts w:asciiTheme="majorBidi" w:hAnsiTheme="majorBidi" w:cstheme="majorBidi"/>
          <w:color w:val="212529"/>
          <w:shd w:val="clear" w:color="auto" w:fill="FFFFFF"/>
        </w:rPr>
      </w:pPr>
      <w:r w:rsidRPr="002F18EF">
        <w:rPr>
          <w:rFonts w:asciiTheme="majorBidi" w:hAnsiTheme="majorBidi" w:cstheme="majorBidi"/>
          <w:color w:val="212529"/>
          <w:shd w:val="clear" w:color="auto" w:fill="FFFFFF"/>
        </w:rPr>
        <w:t>Berdasarkan konsep ketertiban umum di atas, dapat diketahui bahwa ia</w:t>
      </w:r>
      <w:r w:rsidR="008367BA" w:rsidRPr="002F18EF">
        <w:rPr>
          <w:rFonts w:asciiTheme="majorBidi" w:hAnsiTheme="majorBidi" w:cstheme="majorBidi"/>
          <w:color w:val="212529"/>
          <w:shd w:val="clear" w:color="auto" w:fill="FFFFFF"/>
        </w:rPr>
        <w:t xml:space="preserve"> memiliki arti yang luas dan dianggap memiliki arti yang ambigu. </w:t>
      </w:r>
      <w:r w:rsidRPr="002F18EF">
        <w:rPr>
          <w:rFonts w:asciiTheme="majorBidi" w:hAnsiTheme="majorBidi" w:cstheme="majorBidi"/>
          <w:color w:val="212529"/>
          <w:shd w:val="clear" w:color="auto" w:fill="FFFFFF"/>
        </w:rPr>
        <w:t>Sehingga melahirkan b</w:t>
      </w:r>
      <w:r w:rsidR="008367BA" w:rsidRPr="002F18EF">
        <w:rPr>
          <w:rFonts w:asciiTheme="majorBidi" w:hAnsiTheme="majorBidi" w:cstheme="majorBidi"/>
          <w:color w:val="212529"/>
          <w:shd w:val="clear" w:color="auto" w:fill="FFFFFF"/>
        </w:rPr>
        <w:t>erbagai penafsiran telah dibuat tentang arti ketertiban umum</w:t>
      </w:r>
      <w:r w:rsidRPr="002F18EF">
        <w:rPr>
          <w:rFonts w:asciiTheme="majorBidi" w:hAnsiTheme="majorBidi" w:cstheme="majorBidi"/>
          <w:color w:val="212529"/>
          <w:shd w:val="clear" w:color="auto" w:fill="FFFFFF"/>
        </w:rPr>
        <w:t xml:space="preserve"> itu sendiri</w:t>
      </w:r>
      <w:r w:rsidR="008367BA" w:rsidRPr="002F18EF">
        <w:rPr>
          <w:rFonts w:asciiTheme="majorBidi" w:hAnsiTheme="majorBidi" w:cstheme="majorBidi"/>
          <w:color w:val="212529"/>
          <w:shd w:val="clear" w:color="auto" w:fill="FFFFFF"/>
        </w:rPr>
        <w:t>. Beberapa penafsiran termasuk:</w:t>
      </w:r>
      <w:r w:rsidR="007950E4">
        <w:rPr>
          <w:rFonts w:asciiTheme="majorBidi" w:hAnsiTheme="majorBidi" w:cstheme="majorBidi"/>
          <w:color w:val="212529"/>
          <w:shd w:val="clear" w:color="auto" w:fill="FFFFFF"/>
        </w:rPr>
        <w:t xml:space="preserve"> (a) </w:t>
      </w:r>
      <w:r w:rsidR="007950E4" w:rsidRPr="002F18EF">
        <w:rPr>
          <w:rFonts w:asciiTheme="majorBidi" w:hAnsiTheme="majorBidi" w:cstheme="majorBidi"/>
          <w:color w:val="212529"/>
          <w:shd w:val="clear" w:color="auto" w:fill="FFFFFF"/>
        </w:rPr>
        <w:t>Penafsiran sempit. Menurut penafsiran ini, ketertiban umum hanya terbatas pada ketentuan hukum positif, sehingga pelanggaran yang dimaksud terbatas pada pelanggaran peraturan perundang-undangan saja</w:t>
      </w:r>
      <w:r w:rsidR="007950E4">
        <w:rPr>
          <w:rFonts w:asciiTheme="majorBidi" w:hAnsiTheme="majorBidi" w:cstheme="majorBidi"/>
          <w:color w:val="212529"/>
          <w:shd w:val="clear" w:color="auto" w:fill="FFFFFF"/>
        </w:rPr>
        <w:t>, (b)</w:t>
      </w:r>
      <w:r w:rsidR="007950E4" w:rsidRPr="002F18EF">
        <w:rPr>
          <w:rStyle w:val="FootnoteReference"/>
          <w:rFonts w:asciiTheme="majorBidi" w:hAnsiTheme="majorBidi" w:cstheme="majorBidi"/>
          <w:color w:val="212529"/>
          <w:shd w:val="clear" w:color="auto" w:fill="FFFFFF"/>
        </w:rPr>
        <w:t xml:space="preserve"> </w:t>
      </w:r>
      <w:r w:rsidR="007950E4" w:rsidRPr="002F18EF">
        <w:rPr>
          <w:rFonts w:asciiTheme="majorBidi" w:hAnsiTheme="majorBidi" w:cstheme="majorBidi"/>
          <w:color w:val="212529"/>
          <w:shd w:val="clear" w:color="auto" w:fill="FFFFFF"/>
        </w:rPr>
        <w:t>Penafsiran luas, Penafsiran luas tidak membatasi arti ketertiban umum hanya pada ketentuan hukum positif tetapi mencakup semua nilai dan prinsip hukum yang ada dalam pikiran masyarakat, mencakup prinsip keadilan umum dan prinsip kepatutan</w:t>
      </w:r>
      <w:r w:rsidR="007950E4">
        <w:rPr>
          <w:rFonts w:asciiTheme="majorBidi" w:hAnsiTheme="majorBidi" w:cstheme="majorBidi"/>
          <w:color w:val="212529"/>
          <w:shd w:val="clear" w:color="auto" w:fill="FFFFFF"/>
        </w:rPr>
        <w:t>.</w:t>
      </w:r>
      <w:r w:rsidR="00FD6EF5" w:rsidRPr="002F18EF">
        <w:rPr>
          <w:rStyle w:val="FootnoteReference"/>
          <w:rFonts w:asciiTheme="majorBidi" w:hAnsiTheme="majorBidi" w:cstheme="majorBidi"/>
          <w:color w:val="212529"/>
          <w:shd w:val="clear" w:color="auto" w:fill="FFFFFF"/>
        </w:rPr>
        <w:footnoteReference w:id="62"/>
      </w:r>
    </w:p>
    <w:p w14:paraId="6837875C" w14:textId="59396676" w:rsidR="00FD6EF5" w:rsidRPr="002F18EF" w:rsidRDefault="00980906" w:rsidP="007950E4">
      <w:pPr>
        <w:pStyle w:val="ListParagraph"/>
        <w:spacing w:after="0" w:line="240" w:lineRule="auto"/>
        <w:ind w:left="0" w:firstLine="567"/>
        <w:jc w:val="both"/>
        <w:rPr>
          <w:rFonts w:asciiTheme="majorBidi" w:hAnsiTheme="majorBidi" w:cstheme="majorBidi"/>
          <w:color w:val="212529"/>
          <w:shd w:val="clear" w:color="auto" w:fill="FFFFFF"/>
        </w:rPr>
      </w:pPr>
      <w:r w:rsidRPr="002F18EF">
        <w:rPr>
          <w:rFonts w:asciiTheme="majorBidi" w:hAnsiTheme="majorBidi" w:cstheme="majorBidi"/>
          <w:color w:val="212529"/>
          <w:shd w:val="clear" w:color="auto" w:fill="FFFFFF"/>
        </w:rPr>
        <w:t xml:space="preserve">Tidak jelasnya larangan perkawinan beda agama di </w:t>
      </w:r>
      <w:r w:rsidR="00586FD0" w:rsidRPr="002F18EF">
        <w:rPr>
          <w:rFonts w:asciiTheme="majorBidi" w:hAnsiTheme="majorBidi" w:cstheme="majorBidi"/>
          <w:color w:val="212529"/>
          <w:shd w:val="clear" w:color="auto" w:fill="FFFFFF"/>
        </w:rPr>
        <w:t xml:space="preserve">Indonesia adalah </w:t>
      </w:r>
      <w:proofErr w:type="spellStart"/>
      <w:r w:rsidR="00586FD0" w:rsidRPr="002F18EF">
        <w:rPr>
          <w:rFonts w:asciiTheme="majorBidi" w:hAnsiTheme="majorBidi" w:cstheme="majorBidi"/>
          <w:i/>
          <w:iCs/>
          <w:color w:val="212529"/>
          <w:shd w:val="clear" w:color="auto" w:fill="FFFFFF"/>
        </w:rPr>
        <w:t>exit</w:t>
      </w:r>
      <w:proofErr w:type="spellEnd"/>
      <w:r w:rsidR="00586FD0" w:rsidRPr="002F18EF">
        <w:rPr>
          <w:rFonts w:asciiTheme="majorBidi" w:hAnsiTheme="majorBidi" w:cstheme="majorBidi"/>
          <w:i/>
          <w:iCs/>
          <w:color w:val="212529"/>
          <w:shd w:val="clear" w:color="auto" w:fill="FFFFFF"/>
        </w:rPr>
        <w:t xml:space="preserve"> </w:t>
      </w:r>
      <w:proofErr w:type="spellStart"/>
      <w:r w:rsidR="00586FD0" w:rsidRPr="002F18EF">
        <w:rPr>
          <w:rFonts w:asciiTheme="majorBidi" w:hAnsiTheme="majorBidi" w:cstheme="majorBidi"/>
          <w:i/>
          <w:iCs/>
          <w:color w:val="212529"/>
          <w:shd w:val="clear" w:color="auto" w:fill="FFFFFF"/>
        </w:rPr>
        <w:t>way</w:t>
      </w:r>
      <w:proofErr w:type="spellEnd"/>
      <w:r w:rsidR="00586FD0" w:rsidRPr="002F18EF">
        <w:rPr>
          <w:rFonts w:asciiTheme="majorBidi" w:hAnsiTheme="majorBidi" w:cstheme="majorBidi"/>
          <w:color w:val="212529"/>
          <w:shd w:val="clear" w:color="auto" w:fill="FFFFFF"/>
        </w:rPr>
        <w:t xml:space="preserve"> dari tidak berbenturannya perkawinan tersebut dengan ketertiban umum di Indonesia, </w:t>
      </w:r>
      <w:r w:rsidR="00AE2C77" w:rsidRPr="002F18EF">
        <w:rPr>
          <w:rFonts w:asciiTheme="majorBidi" w:hAnsiTheme="majorBidi" w:cstheme="majorBidi"/>
          <w:color w:val="212529"/>
          <w:shd w:val="clear" w:color="auto" w:fill="FFFFFF"/>
        </w:rPr>
        <w:t xml:space="preserve">hal ini terjadi </w:t>
      </w:r>
      <w:r w:rsidR="00586FD0" w:rsidRPr="002F18EF">
        <w:rPr>
          <w:rFonts w:asciiTheme="majorBidi" w:hAnsiTheme="majorBidi" w:cstheme="majorBidi"/>
          <w:color w:val="212529"/>
          <w:shd w:val="clear" w:color="auto" w:fill="FFFFFF"/>
        </w:rPr>
        <w:t>jika ketertiban umum tersebut dimak</w:t>
      </w:r>
      <w:r w:rsidR="00C47F19">
        <w:rPr>
          <w:rFonts w:asciiTheme="majorBidi" w:hAnsiTheme="majorBidi" w:cstheme="majorBidi"/>
          <w:color w:val="212529"/>
          <w:shd w:val="clear" w:color="auto" w:fill="FFFFFF"/>
        </w:rPr>
        <w:t>na</w:t>
      </w:r>
      <w:r w:rsidR="00586FD0" w:rsidRPr="002F18EF">
        <w:rPr>
          <w:rFonts w:asciiTheme="majorBidi" w:hAnsiTheme="majorBidi" w:cstheme="majorBidi"/>
          <w:color w:val="212529"/>
          <w:shd w:val="clear" w:color="auto" w:fill="FFFFFF"/>
        </w:rPr>
        <w:t>i dengan ketentuan wajib yang ada dalam peraturan perundang-undangan di Indonesia.</w:t>
      </w:r>
      <w:r w:rsidR="007E0806" w:rsidRPr="002F18EF">
        <w:rPr>
          <w:rFonts w:asciiTheme="majorBidi" w:hAnsiTheme="majorBidi" w:cstheme="majorBidi"/>
          <w:color w:val="212529"/>
          <w:shd w:val="clear" w:color="auto" w:fill="FFFFFF"/>
        </w:rPr>
        <w:t xml:space="preserve"> Adapun jika ketertiban umum dimaknai dengan keadilan, maka justru penolakan pencatatan perkawinan beda agama tersebut merupakan tindakan diskriminatif yang berlawan dengan</w:t>
      </w:r>
      <w:r w:rsidR="00CF0D03" w:rsidRPr="002F18EF">
        <w:rPr>
          <w:rFonts w:asciiTheme="majorBidi" w:hAnsiTheme="majorBidi" w:cstheme="majorBidi"/>
          <w:color w:val="212529"/>
          <w:shd w:val="clear" w:color="auto" w:fill="FFFFFF"/>
        </w:rPr>
        <w:t xml:space="preserve"> </w:t>
      </w:r>
      <w:r w:rsidR="00CF0D03" w:rsidRPr="002F18EF">
        <w:rPr>
          <w:rFonts w:asciiTheme="majorBidi" w:hAnsiTheme="majorBidi" w:cstheme="majorBidi"/>
        </w:rPr>
        <w:t>Pasal 27 UUD 1945, yang menyatakan bahwa setiap warga negara memiliki kedudukan yang sama di depan hukum.</w:t>
      </w:r>
    </w:p>
    <w:p w14:paraId="22068C21" w14:textId="792FD1D5" w:rsidR="001E2AAC" w:rsidRPr="002F18EF" w:rsidRDefault="00CF0D03" w:rsidP="007950E4">
      <w:pPr>
        <w:pStyle w:val="ListParagraph"/>
        <w:spacing w:after="0" w:line="240" w:lineRule="auto"/>
        <w:ind w:left="0" w:firstLine="567"/>
        <w:jc w:val="both"/>
        <w:rPr>
          <w:rFonts w:asciiTheme="majorBidi" w:hAnsiTheme="majorBidi" w:cstheme="majorBidi"/>
        </w:rPr>
      </w:pPr>
      <w:r w:rsidRPr="007950E4">
        <w:rPr>
          <w:rFonts w:asciiTheme="majorBidi" w:hAnsiTheme="majorBidi" w:cstheme="majorBidi"/>
          <w:color w:val="212529"/>
          <w:shd w:val="clear" w:color="auto" w:fill="FFFFFF"/>
        </w:rPr>
        <w:t>Ketertiban</w:t>
      </w:r>
      <w:r w:rsidRPr="002F18EF">
        <w:rPr>
          <w:rFonts w:asciiTheme="majorBidi" w:hAnsiTheme="majorBidi" w:cstheme="majorBidi"/>
        </w:rPr>
        <w:t xml:space="preserve"> umum ini dalam penerapannya mirip dengan rem darurat yang digunakan saat suatu negara menerima hukum asing. Tidak diketahui bagaimana suatu hukum asing akan dihadapi, sehingga penerapan hukum asing digambarkan sebagai “melompat ke dalam gelap gulita</w:t>
      </w:r>
      <w:r w:rsidRPr="002F18EF">
        <w:rPr>
          <w:rFonts w:asciiTheme="majorBidi" w:hAnsiTheme="majorBidi" w:cstheme="majorBidi"/>
          <w:i/>
          <w:iCs/>
        </w:rPr>
        <w:t>”(</w:t>
      </w:r>
      <w:proofErr w:type="spellStart"/>
      <w:r w:rsidRPr="002F18EF">
        <w:rPr>
          <w:rFonts w:asciiTheme="majorBidi" w:hAnsiTheme="majorBidi" w:cstheme="majorBidi"/>
          <w:i/>
          <w:iCs/>
        </w:rPr>
        <w:t>ein</w:t>
      </w:r>
      <w:proofErr w:type="spellEnd"/>
      <w:r w:rsidRPr="002F18EF">
        <w:rPr>
          <w:rFonts w:asciiTheme="majorBidi" w:hAnsiTheme="majorBidi" w:cstheme="majorBidi"/>
          <w:i/>
          <w:iCs/>
        </w:rPr>
        <w:t xml:space="preserve"> </w:t>
      </w:r>
      <w:proofErr w:type="spellStart"/>
      <w:r w:rsidR="00535D99" w:rsidRPr="002F18EF">
        <w:rPr>
          <w:rFonts w:asciiTheme="majorBidi" w:hAnsiTheme="majorBidi" w:cstheme="majorBidi"/>
          <w:i/>
          <w:iCs/>
        </w:rPr>
        <w:t>sprung</w:t>
      </w:r>
      <w:proofErr w:type="spellEnd"/>
      <w:r w:rsidR="00535D99" w:rsidRPr="002F18EF">
        <w:rPr>
          <w:rFonts w:asciiTheme="majorBidi" w:hAnsiTheme="majorBidi" w:cstheme="majorBidi"/>
          <w:i/>
          <w:iCs/>
        </w:rPr>
        <w:t xml:space="preserve"> </w:t>
      </w:r>
      <w:proofErr w:type="spellStart"/>
      <w:r w:rsidR="00535D99" w:rsidRPr="002F18EF">
        <w:rPr>
          <w:rFonts w:asciiTheme="majorBidi" w:hAnsiTheme="majorBidi" w:cstheme="majorBidi"/>
          <w:i/>
          <w:iCs/>
        </w:rPr>
        <w:t>ins</w:t>
      </w:r>
      <w:proofErr w:type="spellEnd"/>
      <w:r w:rsidR="00535D99" w:rsidRPr="002F18EF">
        <w:rPr>
          <w:rFonts w:asciiTheme="majorBidi" w:hAnsiTheme="majorBidi" w:cstheme="majorBidi"/>
          <w:i/>
          <w:iCs/>
        </w:rPr>
        <w:t xml:space="preserve"> </w:t>
      </w:r>
      <w:proofErr w:type="spellStart"/>
      <w:r w:rsidR="00535D99" w:rsidRPr="002F18EF">
        <w:rPr>
          <w:rFonts w:asciiTheme="majorBidi" w:hAnsiTheme="majorBidi" w:cstheme="majorBidi"/>
          <w:i/>
          <w:iCs/>
        </w:rPr>
        <w:t>dunkle</w:t>
      </w:r>
      <w:proofErr w:type="spellEnd"/>
      <w:r w:rsidRPr="002F18EF">
        <w:rPr>
          <w:rFonts w:asciiTheme="majorBidi" w:hAnsiTheme="majorBidi" w:cstheme="majorBidi"/>
        </w:rPr>
        <w:t>). Oleh karena itu, kaidah HPI tentang ketertiban umum ini muncul ketika hukum asing yang akan diterapkan di suatu negara bertentangan dengan perasaan dan asas-asas keadilan dari hukum dan tatanan masyarakat negara tersebut. Dalam konteks ini, tatan</w:t>
      </w:r>
      <w:r w:rsidR="00535D99" w:rsidRPr="002F18EF">
        <w:rPr>
          <w:rFonts w:asciiTheme="majorBidi" w:hAnsiTheme="majorBidi" w:cstheme="majorBidi"/>
        </w:rPr>
        <w:t>an</w:t>
      </w:r>
      <w:r w:rsidRPr="002F18EF">
        <w:rPr>
          <w:rFonts w:asciiTheme="majorBidi" w:hAnsiTheme="majorBidi" w:cstheme="majorBidi"/>
        </w:rPr>
        <w:t xml:space="preserve"> masyarakat Indonesia heterogen</w:t>
      </w:r>
      <w:r w:rsidR="00535D99" w:rsidRPr="002F18EF">
        <w:rPr>
          <w:rFonts w:asciiTheme="majorBidi" w:hAnsiTheme="majorBidi" w:cstheme="majorBidi"/>
        </w:rPr>
        <w:t xml:space="preserve"> terdiri dari berbagai macam ikatan-ikatan primordial, maka justru</w:t>
      </w:r>
      <w:r w:rsidR="008431BF" w:rsidRPr="002F18EF">
        <w:rPr>
          <w:rFonts w:asciiTheme="majorBidi" w:hAnsiTheme="majorBidi" w:cstheme="majorBidi"/>
        </w:rPr>
        <w:t xml:space="preserve"> penolakan pencatatan perkawinan beda agama menyimpang dari realitas sosiologis ini.</w:t>
      </w:r>
    </w:p>
    <w:p w14:paraId="0F86429C" w14:textId="04BD5A67" w:rsidR="00586CAF" w:rsidRPr="002F18EF" w:rsidRDefault="00586CAF" w:rsidP="007950E4">
      <w:pPr>
        <w:pStyle w:val="ListParagraph"/>
        <w:spacing w:after="0" w:line="240" w:lineRule="auto"/>
        <w:ind w:left="0" w:firstLine="567"/>
        <w:jc w:val="both"/>
        <w:rPr>
          <w:rFonts w:asciiTheme="majorBidi" w:hAnsiTheme="majorBidi" w:cstheme="majorBidi"/>
        </w:rPr>
      </w:pPr>
      <w:r w:rsidRPr="007950E4">
        <w:rPr>
          <w:rFonts w:asciiTheme="majorBidi" w:hAnsiTheme="majorBidi" w:cstheme="majorBidi"/>
          <w:color w:val="212529"/>
          <w:shd w:val="clear" w:color="auto" w:fill="FFFFFF"/>
        </w:rPr>
        <w:t>Berdasarkan</w:t>
      </w:r>
      <w:r w:rsidRPr="002F18EF">
        <w:rPr>
          <w:rFonts w:asciiTheme="majorBidi" w:hAnsiTheme="majorBidi" w:cstheme="majorBidi"/>
        </w:rPr>
        <w:t xml:space="preserve"> hal-hal di atas, prinsip hak-hak yang telah diperoleh atau pelanjutan keadaan hukum ini berarti bahwa hak-hak yang diperoleh di luar negeri diakui dan sepenuhnya dilaksanakan oleh hakim negara asal mereka</w:t>
      </w:r>
      <w:r w:rsidR="00C47F19">
        <w:rPr>
          <w:rFonts w:asciiTheme="majorBidi" w:hAnsiTheme="majorBidi" w:cstheme="majorBidi"/>
        </w:rPr>
        <w:t>,</w:t>
      </w:r>
      <w:r w:rsidRPr="002F18EF">
        <w:rPr>
          <w:rFonts w:asciiTheme="majorBidi" w:hAnsiTheme="majorBidi" w:cstheme="majorBidi"/>
        </w:rPr>
        <w:t xml:space="preserve"> atau bahwa hak-hak yang diperoleh di luar negeri sedapat mungkin diakui dan dihormati oleh hakim negara asal mereka. Prinsip ini kebalikan dari </w:t>
      </w:r>
      <w:r w:rsidRPr="002F18EF">
        <w:rPr>
          <w:rFonts w:asciiTheme="majorBidi" w:hAnsiTheme="majorBidi" w:cstheme="majorBidi"/>
        </w:rPr>
        <w:lastRenderedPageBreak/>
        <w:t>prinsip ketertiban umum yang mengabaikan hukum asing, prinsip ini justru mengakui hukum asing.</w:t>
      </w:r>
    </w:p>
    <w:p w14:paraId="1737BF0E" w14:textId="61BC1BB5" w:rsidR="008A33FB" w:rsidRPr="002F18EF" w:rsidRDefault="008A33FB"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Menurut buku </w:t>
      </w:r>
      <w:proofErr w:type="spellStart"/>
      <w:r w:rsidRPr="002F18EF">
        <w:rPr>
          <w:rFonts w:asciiTheme="majorBidi" w:hAnsiTheme="majorBidi" w:cstheme="majorBidi"/>
        </w:rPr>
        <w:t>Wirjono</w:t>
      </w:r>
      <w:proofErr w:type="spellEnd"/>
      <w:r w:rsidRPr="002F18EF">
        <w:rPr>
          <w:rFonts w:asciiTheme="majorBidi" w:hAnsiTheme="majorBidi" w:cstheme="majorBidi"/>
        </w:rPr>
        <w:t xml:space="preserve"> </w:t>
      </w:r>
      <w:proofErr w:type="spellStart"/>
      <w:r w:rsidRPr="002F18EF">
        <w:rPr>
          <w:rFonts w:asciiTheme="majorBidi" w:hAnsiTheme="majorBidi" w:cstheme="majorBidi"/>
        </w:rPr>
        <w:t>Projodikoro</w:t>
      </w:r>
      <w:proofErr w:type="spellEnd"/>
      <w:r w:rsidRPr="002F18EF">
        <w:rPr>
          <w:rFonts w:asciiTheme="majorBidi" w:hAnsiTheme="majorBidi" w:cstheme="majorBidi"/>
        </w:rPr>
        <w:t xml:space="preserve">, </w:t>
      </w:r>
      <w:r w:rsidR="002154E8" w:rsidRPr="002F18EF">
        <w:rPr>
          <w:rFonts w:asciiTheme="majorBidi" w:hAnsiTheme="majorBidi" w:cstheme="majorBidi"/>
        </w:rPr>
        <w:t>“</w:t>
      </w:r>
      <w:r w:rsidRPr="002F18EF">
        <w:rPr>
          <w:rFonts w:asciiTheme="majorBidi" w:hAnsiTheme="majorBidi" w:cstheme="majorBidi"/>
        </w:rPr>
        <w:t>hak-hak yang diperoleh</w:t>
      </w:r>
      <w:r w:rsidR="002154E8" w:rsidRPr="002F18EF">
        <w:rPr>
          <w:rFonts w:asciiTheme="majorBidi" w:hAnsiTheme="majorBidi" w:cstheme="majorBidi"/>
        </w:rPr>
        <w:t>”</w:t>
      </w:r>
      <w:r w:rsidRPr="002F18EF">
        <w:rPr>
          <w:rFonts w:asciiTheme="majorBidi" w:hAnsiTheme="majorBidi" w:cstheme="majorBidi"/>
        </w:rPr>
        <w:t xml:space="preserve"> harus diakui di Indonesia. Dalam hal ini, dia menggunakan istilah </w:t>
      </w:r>
      <w:r w:rsidR="002154E8" w:rsidRPr="002F18EF">
        <w:rPr>
          <w:rFonts w:asciiTheme="majorBidi" w:hAnsiTheme="majorBidi" w:cstheme="majorBidi"/>
        </w:rPr>
        <w:t>“</w:t>
      </w:r>
      <w:r w:rsidRPr="002F18EF">
        <w:rPr>
          <w:rFonts w:asciiTheme="majorBidi" w:hAnsiTheme="majorBidi" w:cstheme="majorBidi"/>
        </w:rPr>
        <w:t>pelanjutan keadaan hukum</w:t>
      </w:r>
      <w:r w:rsidR="002154E8" w:rsidRPr="002F18EF">
        <w:rPr>
          <w:rFonts w:asciiTheme="majorBidi" w:hAnsiTheme="majorBidi" w:cstheme="majorBidi"/>
        </w:rPr>
        <w:t>”</w:t>
      </w:r>
      <w:r w:rsidRPr="002F18EF">
        <w:rPr>
          <w:rFonts w:asciiTheme="majorBidi" w:hAnsiTheme="majorBidi" w:cstheme="majorBidi"/>
        </w:rPr>
        <w:t>.</w:t>
      </w:r>
      <w:r w:rsidR="002154E8" w:rsidRPr="002F18EF">
        <w:rPr>
          <w:rStyle w:val="FootnoteReference"/>
          <w:rFonts w:asciiTheme="majorBidi" w:hAnsiTheme="majorBidi" w:cstheme="majorBidi"/>
        </w:rPr>
        <w:footnoteReference w:id="63"/>
      </w:r>
      <w:r w:rsidRPr="002F18EF">
        <w:rPr>
          <w:rFonts w:asciiTheme="majorBidi" w:hAnsiTheme="majorBidi" w:cstheme="majorBidi"/>
        </w:rPr>
        <w:t xml:space="preserve"> Lebih lanjut, dia menyatakan bahwa ada unsur-unsur </w:t>
      </w:r>
      <w:r w:rsidR="002154E8" w:rsidRPr="002F18EF">
        <w:rPr>
          <w:rFonts w:asciiTheme="majorBidi" w:hAnsiTheme="majorBidi" w:cstheme="majorBidi"/>
        </w:rPr>
        <w:t>“</w:t>
      </w:r>
      <w:r w:rsidRPr="002F18EF">
        <w:rPr>
          <w:rFonts w:asciiTheme="majorBidi" w:hAnsiTheme="majorBidi" w:cstheme="majorBidi"/>
        </w:rPr>
        <w:t>pelanjutan keadaan</w:t>
      </w:r>
      <w:r w:rsidR="002154E8" w:rsidRPr="002F18EF">
        <w:rPr>
          <w:rFonts w:asciiTheme="majorBidi" w:hAnsiTheme="majorBidi" w:cstheme="majorBidi"/>
        </w:rPr>
        <w:t>”</w:t>
      </w:r>
      <w:r w:rsidRPr="002F18EF">
        <w:rPr>
          <w:rFonts w:asciiTheme="majorBidi" w:hAnsiTheme="majorBidi" w:cstheme="majorBidi"/>
        </w:rPr>
        <w:t xml:space="preserve"> dalam ketentuan Pasal 16 </w:t>
      </w:r>
      <w:r w:rsidR="002154E8" w:rsidRPr="002F18EF">
        <w:rPr>
          <w:rFonts w:asciiTheme="majorBidi" w:hAnsiTheme="majorBidi" w:cstheme="majorBidi"/>
        </w:rPr>
        <w:t>AB</w:t>
      </w:r>
      <w:r w:rsidRPr="002F18EF">
        <w:rPr>
          <w:rFonts w:asciiTheme="majorBidi" w:hAnsiTheme="majorBidi" w:cstheme="majorBidi"/>
        </w:rPr>
        <w:t xml:space="preserve"> jo. Pasal 3 </w:t>
      </w:r>
      <w:r w:rsidR="002154E8" w:rsidRPr="002F18EF">
        <w:rPr>
          <w:rFonts w:asciiTheme="majorBidi" w:hAnsiTheme="majorBidi" w:cstheme="majorBidi"/>
        </w:rPr>
        <w:t>AB</w:t>
      </w:r>
      <w:r w:rsidRPr="002F18EF">
        <w:rPr>
          <w:rFonts w:asciiTheme="majorBidi" w:hAnsiTheme="majorBidi" w:cstheme="majorBidi"/>
        </w:rPr>
        <w:t xml:space="preserve"> yang </w:t>
      </w:r>
      <w:r w:rsidRPr="007950E4">
        <w:rPr>
          <w:rFonts w:asciiTheme="majorBidi" w:hAnsiTheme="majorBidi" w:cstheme="majorBidi"/>
          <w:color w:val="212529"/>
          <w:shd w:val="clear" w:color="auto" w:fill="FFFFFF"/>
        </w:rPr>
        <w:t>mendukung</w:t>
      </w:r>
      <w:r w:rsidRPr="002F18EF">
        <w:rPr>
          <w:rFonts w:asciiTheme="majorBidi" w:hAnsiTheme="majorBidi" w:cstheme="majorBidi"/>
        </w:rPr>
        <w:t xml:space="preserve"> prinsip </w:t>
      </w:r>
      <w:proofErr w:type="spellStart"/>
      <w:r w:rsidRPr="002F18EF">
        <w:rPr>
          <w:rFonts w:asciiTheme="majorBidi" w:hAnsiTheme="majorBidi" w:cstheme="majorBidi"/>
        </w:rPr>
        <w:t>nasionalitas</w:t>
      </w:r>
      <w:proofErr w:type="spellEnd"/>
      <w:r w:rsidRPr="002F18EF">
        <w:rPr>
          <w:rFonts w:asciiTheme="majorBidi" w:hAnsiTheme="majorBidi" w:cstheme="majorBidi"/>
        </w:rPr>
        <w:t xml:space="preserve">, seolah-olah prinsip pelanjutan keadaan hukum atau penghormatan terhadap hak-hak yang telah diperoleh termasuk dalam peraturan yang tertulis yang berlaku di Indonesia. Salah satu alasan </w:t>
      </w:r>
      <w:r w:rsidR="00C47F19">
        <w:rPr>
          <w:rFonts w:asciiTheme="majorBidi" w:hAnsiTheme="majorBidi" w:cstheme="majorBidi"/>
        </w:rPr>
        <w:t>s</w:t>
      </w:r>
      <w:r w:rsidRPr="002F18EF">
        <w:rPr>
          <w:rFonts w:asciiTheme="majorBidi" w:hAnsiTheme="majorBidi" w:cstheme="majorBidi"/>
        </w:rPr>
        <w:t xml:space="preserve">elain itu, Pasal 17 A.B. menggunakan prinsip </w:t>
      </w:r>
      <w:r w:rsidR="002154E8" w:rsidRPr="002F18EF">
        <w:rPr>
          <w:rFonts w:asciiTheme="majorBidi" w:hAnsiTheme="majorBidi" w:cstheme="majorBidi"/>
        </w:rPr>
        <w:t>“</w:t>
      </w:r>
      <w:proofErr w:type="spellStart"/>
      <w:r w:rsidRPr="002F18EF">
        <w:rPr>
          <w:rFonts w:asciiTheme="majorBidi" w:hAnsiTheme="majorBidi" w:cstheme="majorBidi"/>
          <w:i/>
          <w:iCs/>
        </w:rPr>
        <w:t>lex</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rei</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sitae</w:t>
      </w:r>
      <w:proofErr w:type="spellEnd"/>
      <w:r w:rsidR="00A607F3" w:rsidRPr="002F18EF">
        <w:rPr>
          <w:rFonts w:asciiTheme="majorBidi" w:hAnsiTheme="majorBidi" w:cstheme="majorBidi"/>
        </w:rPr>
        <w:t xml:space="preserve"> </w:t>
      </w:r>
      <w:r w:rsidRPr="002F18EF">
        <w:rPr>
          <w:rFonts w:asciiTheme="majorBidi" w:hAnsiTheme="majorBidi" w:cstheme="majorBidi"/>
        </w:rPr>
        <w:t xml:space="preserve">sebagai dasar untuk </w:t>
      </w:r>
      <w:r w:rsidR="00A607F3" w:rsidRPr="002F18EF">
        <w:rPr>
          <w:rFonts w:asciiTheme="majorBidi" w:hAnsiTheme="majorBidi" w:cstheme="majorBidi"/>
        </w:rPr>
        <w:t>“</w:t>
      </w:r>
      <w:r w:rsidRPr="002F18EF">
        <w:rPr>
          <w:rFonts w:asciiTheme="majorBidi" w:hAnsiTheme="majorBidi" w:cstheme="majorBidi"/>
        </w:rPr>
        <w:t>kelanjutan keadaan hukum</w:t>
      </w:r>
      <w:r w:rsidR="002154E8" w:rsidRPr="002F18EF">
        <w:rPr>
          <w:rFonts w:asciiTheme="majorBidi" w:hAnsiTheme="majorBidi" w:cstheme="majorBidi"/>
        </w:rPr>
        <w:t>”</w:t>
      </w:r>
      <w:r w:rsidRPr="002F18EF">
        <w:rPr>
          <w:rFonts w:asciiTheme="majorBidi" w:hAnsiTheme="majorBidi" w:cstheme="majorBidi"/>
        </w:rPr>
        <w:t>.</w:t>
      </w:r>
      <w:r w:rsidR="00C47F19">
        <w:rPr>
          <w:rStyle w:val="FootnoteReference"/>
          <w:rFonts w:asciiTheme="majorBidi" w:hAnsiTheme="majorBidi" w:cstheme="majorBidi"/>
        </w:rPr>
        <w:footnoteReference w:id="64"/>
      </w:r>
    </w:p>
    <w:p w14:paraId="5B0D0DE3" w14:textId="7629DD26" w:rsidR="008A33FB" w:rsidRPr="002F18EF" w:rsidRDefault="008A33FB" w:rsidP="007950E4">
      <w:pPr>
        <w:pStyle w:val="ListParagraph"/>
        <w:spacing w:after="0" w:line="240" w:lineRule="auto"/>
        <w:ind w:left="0" w:firstLine="567"/>
        <w:jc w:val="both"/>
        <w:rPr>
          <w:rFonts w:asciiTheme="majorBidi" w:hAnsiTheme="majorBidi" w:cstheme="majorBidi"/>
        </w:rPr>
      </w:pPr>
      <w:proofErr w:type="spellStart"/>
      <w:r w:rsidRPr="007950E4">
        <w:rPr>
          <w:rFonts w:asciiTheme="majorBidi" w:hAnsiTheme="majorBidi" w:cstheme="majorBidi"/>
          <w:color w:val="212529"/>
          <w:shd w:val="clear" w:color="auto" w:fill="FFFFFF"/>
        </w:rPr>
        <w:t>Sudargo</w:t>
      </w:r>
      <w:proofErr w:type="spellEnd"/>
      <w:r w:rsidRPr="002F18EF">
        <w:rPr>
          <w:rFonts w:asciiTheme="majorBidi" w:hAnsiTheme="majorBidi" w:cstheme="majorBidi"/>
        </w:rPr>
        <w:t xml:space="preserve"> Gautama berpendapat bahwa hak-hak yang diperoleh hanya cukup untuk digunakan sebagai alat untuk menentukan hukum. Penggunaan hak-hak yang diperoleh dapat dianggap sebagai lawan dari peranan </w:t>
      </w:r>
      <w:r w:rsidR="00A607F3" w:rsidRPr="002F18EF">
        <w:rPr>
          <w:rFonts w:asciiTheme="majorBidi" w:hAnsiTheme="majorBidi" w:cstheme="majorBidi"/>
        </w:rPr>
        <w:t>“</w:t>
      </w:r>
      <w:r w:rsidRPr="002F18EF">
        <w:rPr>
          <w:rFonts w:asciiTheme="majorBidi" w:hAnsiTheme="majorBidi" w:cstheme="majorBidi"/>
        </w:rPr>
        <w:t>ketertiban umum</w:t>
      </w:r>
      <w:r w:rsidR="00A607F3" w:rsidRPr="002F18EF">
        <w:rPr>
          <w:rFonts w:asciiTheme="majorBidi" w:hAnsiTheme="majorBidi" w:cstheme="majorBidi"/>
        </w:rPr>
        <w:t>”</w:t>
      </w:r>
      <w:r w:rsidRPr="002F18EF">
        <w:rPr>
          <w:rFonts w:asciiTheme="majorBidi" w:hAnsiTheme="majorBidi" w:cstheme="majorBidi"/>
        </w:rPr>
        <w:t>.</w:t>
      </w:r>
      <w:r w:rsidR="00A607F3" w:rsidRPr="002F18EF">
        <w:rPr>
          <w:rFonts w:asciiTheme="majorBidi" w:hAnsiTheme="majorBidi" w:cstheme="majorBidi"/>
        </w:rPr>
        <w:t xml:space="preserve"> </w:t>
      </w:r>
      <w:r w:rsidRPr="002F18EF">
        <w:rPr>
          <w:rFonts w:asciiTheme="majorBidi" w:hAnsiTheme="majorBidi" w:cstheme="majorBidi"/>
        </w:rPr>
        <w:t xml:space="preserve">Dengan kata lain, </w:t>
      </w:r>
      <w:proofErr w:type="spellStart"/>
      <w:r w:rsidRPr="002F18EF">
        <w:rPr>
          <w:rFonts w:asciiTheme="majorBidi" w:hAnsiTheme="majorBidi" w:cstheme="majorBidi"/>
        </w:rPr>
        <w:t>Sudargo</w:t>
      </w:r>
      <w:proofErr w:type="spellEnd"/>
      <w:r w:rsidRPr="002F18EF">
        <w:rPr>
          <w:rFonts w:asciiTheme="majorBidi" w:hAnsiTheme="majorBidi" w:cstheme="majorBidi"/>
        </w:rPr>
        <w:t xml:space="preserve"> Gautama mengatakan bahwa </w:t>
      </w:r>
      <w:r w:rsidR="00A607F3" w:rsidRPr="002F18EF">
        <w:rPr>
          <w:rFonts w:asciiTheme="majorBidi" w:hAnsiTheme="majorBidi" w:cstheme="majorBidi"/>
        </w:rPr>
        <w:t>“</w:t>
      </w:r>
      <w:r w:rsidRPr="002F18EF">
        <w:rPr>
          <w:rFonts w:asciiTheme="majorBidi" w:hAnsiTheme="majorBidi" w:cstheme="majorBidi"/>
        </w:rPr>
        <w:t>prinsip hak-hak yang diperoleh</w:t>
      </w:r>
      <w:r w:rsidR="00A607F3" w:rsidRPr="002F18EF">
        <w:rPr>
          <w:rFonts w:asciiTheme="majorBidi" w:hAnsiTheme="majorBidi" w:cstheme="majorBidi"/>
        </w:rPr>
        <w:t>”</w:t>
      </w:r>
      <w:r w:rsidRPr="002F18EF">
        <w:rPr>
          <w:rFonts w:asciiTheme="majorBidi" w:hAnsiTheme="majorBidi" w:cstheme="majorBidi"/>
        </w:rPr>
        <w:t xml:space="preserve"> ini hanyalah perluasan dari </w:t>
      </w:r>
      <w:proofErr w:type="spellStart"/>
      <w:r w:rsidRPr="002F18EF">
        <w:rPr>
          <w:rFonts w:asciiTheme="majorBidi" w:hAnsiTheme="majorBidi" w:cstheme="majorBidi"/>
        </w:rPr>
        <w:t>klausula</w:t>
      </w:r>
      <w:proofErr w:type="spellEnd"/>
      <w:r w:rsidRPr="002F18EF">
        <w:rPr>
          <w:rFonts w:asciiTheme="majorBidi" w:hAnsiTheme="majorBidi" w:cstheme="majorBidi"/>
        </w:rPr>
        <w:t xml:space="preserve"> ketertiban umum. Ini digunakan dalam situasi di mana keyakinan keadilan hakim akan sangat terganggu karena ketidakmampuan mereka untuk menggunakan suatu sistem hukum yang, menurut kaidah HPI, tidak akan diperlakukan. Dalam hal ini, hakim akan memperlakukannya sebagai </w:t>
      </w:r>
      <w:r w:rsidRPr="007950E4">
        <w:rPr>
          <w:rFonts w:asciiTheme="majorBidi" w:hAnsiTheme="majorBidi" w:cstheme="majorBidi"/>
          <w:color w:val="212529"/>
          <w:shd w:val="clear" w:color="auto" w:fill="FFFFFF"/>
        </w:rPr>
        <w:t>pengecualian</w:t>
      </w:r>
      <w:r w:rsidRPr="002F18EF">
        <w:rPr>
          <w:rFonts w:asciiTheme="majorBidi" w:hAnsiTheme="majorBidi" w:cstheme="majorBidi"/>
        </w:rPr>
        <w:t xml:space="preserve"> dengan menggunakan </w:t>
      </w:r>
      <w:r w:rsidR="00A607F3" w:rsidRPr="002F18EF">
        <w:rPr>
          <w:rFonts w:asciiTheme="majorBidi" w:hAnsiTheme="majorBidi" w:cstheme="majorBidi"/>
        </w:rPr>
        <w:t>“</w:t>
      </w:r>
      <w:r w:rsidRPr="002F18EF">
        <w:rPr>
          <w:rFonts w:asciiTheme="majorBidi" w:hAnsiTheme="majorBidi" w:cstheme="majorBidi"/>
        </w:rPr>
        <w:t>hak-hak yang telah diperoleh</w:t>
      </w:r>
      <w:r w:rsidR="00A607F3" w:rsidRPr="002F18EF">
        <w:rPr>
          <w:rFonts w:asciiTheme="majorBidi" w:hAnsiTheme="majorBidi" w:cstheme="majorBidi"/>
        </w:rPr>
        <w:t>”</w:t>
      </w:r>
      <w:r w:rsidRPr="002F18EF">
        <w:rPr>
          <w:rFonts w:asciiTheme="majorBidi" w:hAnsiTheme="majorBidi" w:cstheme="majorBidi"/>
        </w:rPr>
        <w:t>, yang merupakan perluasan atau pelembutan daripada prinsip ketertiban umum, dan menggunakan teori-teori hak yang diperoleh.</w:t>
      </w:r>
      <w:r w:rsidR="00C47F19">
        <w:rPr>
          <w:rStyle w:val="FootnoteReference"/>
          <w:rFonts w:asciiTheme="majorBidi" w:hAnsiTheme="majorBidi" w:cstheme="majorBidi"/>
        </w:rPr>
        <w:footnoteReference w:id="65"/>
      </w:r>
    </w:p>
    <w:p w14:paraId="3B64EFCB" w14:textId="54DCDFEF" w:rsidR="00A62DFA" w:rsidRPr="002F18EF" w:rsidRDefault="00A607F3" w:rsidP="007950E4">
      <w:pPr>
        <w:pStyle w:val="ListParagraph"/>
        <w:numPr>
          <w:ilvl w:val="2"/>
          <w:numId w:val="19"/>
        </w:numPr>
        <w:spacing w:after="0" w:line="240" w:lineRule="auto"/>
        <w:ind w:left="567" w:hanging="567"/>
        <w:jc w:val="both"/>
        <w:rPr>
          <w:rFonts w:asciiTheme="majorBidi" w:hAnsiTheme="majorBidi" w:cstheme="majorBidi"/>
        </w:rPr>
      </w:pPr>
      <w:r w:rsidRPr="002F18EF">
        <w:rPr>
          <w:rFonts w:asciiTheme="majorBidi" w:hAnsiTheme="majorBidi" w:cstheme="majorBidi"/>
        </w:rPr>
        <w:t>Asas Reprositas</w:t>
      </w:r>
      <w:r w:rsidR="002F6095" w:rsidRPr="002F18EF">
        <w:rPr>
          <w:rFonts w:asciiTheme="majorBidi" w:hAnsiTheme="majorBidi" w:cstheme="majorBidi"/>
        </w:rPr>
        <w:t xml:space="preserve"> dan </w:t>
      </w:r>
      <w:proofErr w:type="spellStart"/>
      <w:r w:rsidR="002F6095" w:rsidRPr="000C2FC6">
        <w:rPr>
          <w:rFonts w:asciiTheme="majorBidi" w:hAnsiTheme="majorBidi" w:cstheme="majorBidi"/>
          <w:i/>
          <w:iCs/>
        </w:rPr>
        <w:t>Comitas</w:t>
      </w:r>
      <w:proofErr w:type="spellEnd"/>
      <w:r w:rsidR="002F6095" w:rsidRPr="000C2FC6">
        <w:rPr>
          <w:rFonts w:asciiTheme="majorBidi" w:hAnsiTheme="majorBidi" w:cstheme="majorBidi"/>
          <w:i/>
          <w:iCs/>
        </w:rPr>
        <w:t xml:space="preserve"> </w:t>
      </w:r>
      <w:proofErr w:type="spellStart"/>
      <w:r w:rsidR="002F6095" w:rsidRPr="000C2FC6">
        <w:rPr>
          <w:rFonts w:asciiTheme="majorBidi" w:hAnsiTheme="majorBidi" w:cstheme="majorBidi"/>
          <w:i/>
          <w:iCs/>
        </w:rPr>
        <w:t>Gentium</w:t>
      </w:r>
      <w:proofErr w:type="spellEnd"/>
    </w:p>
    <w:p w14:paraId="1476DF86" w14:textId="6E50438E" w:rsidR="0031549B" w:rsidRPr="002F18EF" w:rsidRDefault="0031549B" w:rsidP="004319B9">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Keharusan </w:t>
      </w:r>
      <w:r w:rsidR="00A607F3" w:rsidRPr="002F18EF">
        <w:rPr>
          <w:rFonts w:asciiTheme="majorBidi" w:hAnsiTheme="majorBidi" w:cstheme="majorBidi"/>
        </w:rPr>
        <w:t xml:space="preserve">pencacatan </w:t>
      </w:r>
      <w:r w:rsidRPr="002F18EF">
        <w:rPr>
          <w:rFonts w:asciiTheme="majorBidi" w:hAnsiTheme="majorBidi" w:cstheme="majorBidi"/>
        </w:rPr>
        <w:t>perkawinan di Indonesia bagi perkawinan</w:t>
      </w:r>
      <w:r w:rsidR="00A607F3" w:rsidRPr="002F18EF">
        <w:rPr>
          <w:rFonts w:asciiTheme="majorBidi" w:hAnsiTheme="majorBidi" w:cstheme="majorBidi"/>
        </w:rPr>
        <w:t xml:space="preserve"> beda agama ya</w:t>
      </w:r>
      <w:r w:rsidRPr="002F18EF">
        <w:rPr>
          <w:rFonts w:asciiTheme="majorBidi" w:hAnsiTheme="majorBidi" w:cstheme="majorBidi"/>
        </w:rPr>
        <w:t>ng dilakukan di luar negeri, selain di dukung oleh hak-hak yang diperoleh atau pelanjutan hukum, juga didukun oleh asas reprositas. Asas ini dikenal dengan beberapa istilah, yaitu: (</w:t>
      </w:r>
      <w:r w:rsidR="000C2FC6">
        <w:rPr>
          <w:rFonts w:asciiTheme="majorBidi" w:hAnsiTheme="majorBidi" w:cstheme="majorBidi"/>
        </w:rPr>
        <w:t>a</w:t>
      </w:r>
      <w:r w:rsidRPr="002F18EF">
        <w:rPr>
          <w:rFonts w:asciiTheme="majorBidi" w:hAnsiTheme="majorBidi" w:cstheme="majorBidi"/>
        </w:rPr>
        <w:t xml:space="preserve">) </w:t>
      </w:r>
      <w:proofErr w:type="spellStart"/>
      <w:r w:rsidRPr="00D52D5D">
        <w:rPr>
          <w:rFonts w:asciiTheme="majorBidi" w:hAnsiTheme="majorBidi" w:cstheme="majorBidi"/>
          <w:i/>
          <w:iCs/>
        </w:rPr>
        <w:t>reciprocite</w:t>
      </w:r>
      <w:proofErr w:type="spellEnd"/>
      <w:r w:rsidRPr="002F18EF">
        <w:rPr>
          <w:rFonts w:asciiTheme="majorBidi" w:hAnsiTheme="majorBidi" w:cstheme="majorBidi"/>
        </w:rPr>
        <w:t xml:space="preserve"> (Perancis), (</w:t>
      </w:r>
      <w:r w:rsidR="000C2FC6">
        <w:rPr>
          <w:rFonts w:asciiTheme="majorBidi" w:hAnsiTheme="majorBidi" w:cstheme="majorBidi"/>
        </w:rPr>
        <w:t>b</w:t>
      </w:r>
      <w:r w:rsidRPr="002F18EF">
        <w:rPr>
          <w:rFonts w:asciiTheme="majorBidi" w:hAnsiTheme="majorBidi" w:cstheme="majorBidi"/>
        </w:rPr>
        <w:t xml:space="preserve">) </w:t>
      </w:r>
      <w:proofErr w:type="spellStart"/>
      <w:r w:rsidRPr="00D52D5D">
        <w:rPr>
          <w:rFonts w:asciiTheme="majorBidi" w:hAnsiTheme="majorBidi" w:cstheme="majorBidi"/>
          <w:i/>
          <w:iCs/>
        </w:rPr>
        <w:t>gleichberechsgung</w:t>
      </w:r>
      <w:proofErr w:type="spellEnd"/>
      <w:r w:rsidRPr="00D52D5D">
        <w:rPr>
          <w:rFonts w:asciiTheme="majorBidi" w:hAnsiTheme="majorBidi" w:cstheme="majorBidi"/>
          <w:i/>
          <w:iCs/>
        </w:rPr>
        <w:t xml:space="preserve"> </w:t>
      </w:r>
      <w:proofErr w:type="spellStart"/>
      <w:r w:rsidRPr="00D52D5D">
        <w:rPr>
          <w:rFonts w:asciiTheme="majorBidi" w:hAnsiTheme="majorBidi" w:cstheme="majorBidi"/>
          <w:i/>
          <w:iCs/>
        </w:rPr>
        <w:t>und</w:t>
      </w:r>
      <w:proofErr w:type="spellEnd"/>
      <w:r w:rsidRPr="00D52D5D">
        <w:rPr>
          <w:rFonts w:asciiTheme="majorBidi" w:hAnsiTheme="majorBidi" w:cstheme="majorBidi"/>
          <w:i/>
          <w:iCs/>
        </w:rPr>
        <w:t xml:space="preserve"> </w:t>
      </w:r>
      <w:proofErr w:type="spellStart"/>
      <w:r w:rsidRPr="00D52D5D">
        <w:rPr>
          <w:rFonts w:asciiTheme="majorBidi" w:hAnsiTheme="majorBidi" w:cstheme="majorBidi"/>
          <w:i/>
          <w:iCs/>
        </w:rPr>
        <w:t>vergeltung</w:t>
      </w:r>
      <w:proofErr w:type="spellEnd"/>
      <w:r w:rsidRPr="00D52D5D">
        <w:rPr>
          <w:rFonts w:asciiTheme="majorBidi" w:hAnsiTheme="majorBidi" w:cstheme="majorBidi"/>
          <w:i/>
          <w:iCs/>
        </w:rPr>
        <w:t xml:space="preserve">, </w:t>
      </w:r>
      <w:proofErr w:type="spellStart"/>
      <w:r w:rsidRPr="00D52D5D">
        <w:rPr>
          <w:rFonts w:asciiTheme="majorBidi" w:hAnsiTheme="majorBidi" w:cstheme="majorBidi"/>
          <w:i/>
          <w:iCs/>
        </w:rPr>
        <w:t>gegenrecht</w:t>
      </w:r>
      <w:proofErr w:type="spellEnd"/>
      <w:r w:rsidRPr="00D52D5D">
        <w:rPr>
          <w:rFonts w:asciiTheme="majorBidi" w:hAnsiTheme="majorBidi" w:cstheme="majorBidi"/>
          <w:i/>
          <w:iCs/>
        </w:rPr>
        <w:t xml:space="preserve">, </w:t>
      </w:r>
      <w:proofErr w:type="spellStart"/>
      <w:r w:rsidRPr="00D52D5D">
        <w:rPr>
          <w:rFonts w:asciiTheme="majorBidi" w:hAnsiTheme="majorBidi" w:cstheme="majorBidi"/>
          <w:i/>
          <w:iCs/>
        </w:rPr>
        <w:t>reziprozitat</w:t>
      </w:r>
      <w:proofErr w:type="spellEnd"/>
      <w:r w:rsidRPr="00D52D5D">
        <w:rPr>
          <w:rFonts w:asciiTheme="majorBidi" w:hAnsiTheme="majorBidi" w:cstheme="majorBidi"/>
          <w:i/>
          <w:iCs/>
        </w:rPr>
        <w:t xml:space="preserve">, </w:t>
      </w:r>
      <w:proofErr w:type="spellStart"/>
      <w:r w:rsidRPr="00D52D5D">
        <w:rPr>
          <w:rFonts w:asciiTheme="majorBidi" w:hAnsiTheme="majorBidi" w:cstheme="majorBidi"/>
          <w:i/>
          <w:iCs/>
        </w:rPr>
        <w:t>gegenausnahme</w:t>
      </w:r>
      <w:proofErr w:type="spellEnd"/>
      <w:r w:rsidRPr="00D52D5D">
        <w:rPr>
          <w:rFonts w:asciiTheme="majorBidi" w:hAnsiTheme="majorBidi" w:cstheme="majorBidi"/>
          <w:i/>
          <w:iCs/>
        </w:rPr>
        <w:t xml:space="preserve">, </w:t>
      </w:r>
      <w:proofErr w:type="spellStart"/>
      <w:r w:rsidRPr="00D52D5D">
        <w:rPr>
          <w:rFonts w:asciiTheme="majorBidi" w:hAnsiTheme="majorBidi" w:cstheme="majorBidi"/>
          <w:i/>
          <w:iCs/>
        </w:rPr>
        <w:t>gegenseitigkeit</w:t>
      </w:r>
      <w:proofErr w:type="spellEnd"/>
      <w:r w:rsidRPr="002F18EF">
        <w:rPr>
          <w:rFonts w:asciiTheme="majorBidi" w:hAnsiTheme="majorBidi" w:cstheme="majorBidi"/>
        </w:rPr>
        <w:t xml:space="preserve"> (Jerman), (</w:t>
      </w:r>
      <w:r w:rsidR="000C2FC6">
        <w:rPr>
          <w:rFonts w:asciiTheme="majorBidi" w:hAnsiTheme="majorBidi" w:cstheme="majorBidi"/>
        </w:rPr>
        <w:t>c</w:t>
      </w:r>
      <w:r w:rsidRPr="002F18EF">
        <w:rPr>
          <w:rFonts w:asciiTheme="majorBidi" w:hAnsiTheme="majorBidi" w:cstheme="majorBidi"/>
        </w:rPr>
        <w:t xml:space="preserve">) </w:t>
      </w:r>
      <w:proofErr w:type="spellStart"/>
      <w:r w:rsidRPr="00142294">
        <w:rPr>
          <w:rFonts w:asciiTheme="majorBidi" w:hAnsiTheme="majorBidi" w:cstheme="majorBidi"/>
          <w:i/>
          <w:iCs/>
        </w:rPr>
        <w:t>reciprocity</w:t>
      </w:r>
      <w:proofErr w:type="spellEnd"/>
      <w:r w:rsidRPr="002F18EF">
        <w:rPr>
          <w:rFonts w:asciiTheme="majorBidi" w:hAnsiTheme="majorBidi" w:cstheme="majorBidi"/>
        </w:rPr>
        <w:t xml:space="preserve"> (Inggris), (</w:t>
      </w:r>
      <w:r w:rsidR="000C2FC6">
        <w:rPr>
          <w:rFonts w:asciiTheme="majorBidi" w:hAnsiTheme="majorBidi" w:cstheme="majorBidi"/>
        </w:rPr>
        <w:t>d</w:t>
      </w:r>
      <w:r w:rsidRPr="002F18EF">
        <w:rPr>
          <w:rFonts w:asciiTheme="majorBidi" w:hAnsiTheme="majorBidi" w:cstheme="majorBidi"/>
        </w:rPr>
        <w:t xml:space="preserve">) </w:t>
      </w:r>
      <w:proofErr w:type="spellStart"/>
      <w:r w:rsidRPr="00142294">
        <w:rPr>
          <w:rFonts w:asciiTheme="majorBidi" w:hAnsiTheme="majorBidi" w:cstheme="majorBidi"/>
          <w:i/>
          <w:iCs/>
        </w:rPr>
        <w:t>wederkerigheid</w:t>
      </w:r>
      <w:proofErr w:type="spellEnd"/>
      <w:r w:rsidRPr="00142294">
        <w:rPr>
          <w:rFonts w:asciiTheme="majorBidi" w:hAnsiTheme="majorBidi" w:cstheme="majorBidi"/>
          <w:i/>
          <w:iCs/>
        </w:rPr>
        <w:t xml:space="preserve"> </w:t>
      </w:r>
      <w:proofErr w:type="spellStart"/>
      <w:r w:rsidRPr="00142294">
        <w:rPr>
          <w:rFonts w:asciiTheme="majorBidi" w:hAnsiTheme="majorBidi" w:cstheme="majorBidi"/>
          <w:i/>
          <w:iCs/>
        </w:rPr>
        <w:t>en</w:t>
      </w:r>
      <w:proofErr w:type="spellEnd"/>
      <w:r w:rsidRPr="00142294">
        <w:rPr>
          <w:rFonts w:asciiTheme="majorBidi" w:hAnsiTheme="majorBidi" w:cstheme="majorBidi"/>
          <w:i/>
          <w:iCs/>
        </w:rPr>
        <w:t xml:space="preserve"> </w:t>
      </w:r>
      <w:proofErr w:type="spellStart"/>
      <w:r w:rsidRPr="00142294">
        <w:rPr>
          <w:rFonts w:asciiTheme="majorBidi" w:hAnsiTheme="majorBidi" w:cstheme="majorBidi"/>
          <w:i/>
          <w:iCs/>
        </w:rPr>
        <w:t>vergelding</w:t>
      </w:r>
      <w:proofErr w:type="spellEnd"/>
      <w:r w:rsidRPr="00142294">
        <w:rPr>
          <w:rFonts w:asciiTheme="majorBidi" w:hAnsiTheme="majorBidi" w:cstheme="majorBidi"/>
          <w:i/>
          <w:iCs/>
        </w:rPr>
        <w:t xml:space="preserve">, </w:t>
      </w:r>
      <w:proofErr w:type="spellStart"/>
      <w:r w:rsidRPr="00142294">
        <w:rPr>
          <w:rFonts w:asciiTheme="majorBidi" w:hAnsiTheme="majorBidi" w:cstheme="majorBidi"/>
          <w:i/>
          <w:iCs/>
        </w:rPr>
        <w:t>reciprociteit</w:t>
      </w:r>
      <w:proofErr w:type="spellEnd"/>
      <w:r w:rsidRPr="00142294">
        <w:rPr>
          <w:rFonts w:asciiTheme="majorBidi" w:hAnsiTheme="majorBidi" w:cstheme="majorBidi"/>
          <w:i/>
          <w:iCs/>
        </w:rPr>
        <w:t xml:space="preserve"> </w:t>
      </w:r>
      <w:r w:rsidRPr="002F18EF">
        <w:rPr>
          <w:rFonts w:asciiTheme="majorBidi" w:hAnsiTheme="majorBidi" w:cstheme="majorBidi"/>
        </w:rPr>
        <w:t>(Belanda), (</w:t>
      </w:r>
      <w:r w:rsidR="000C2FC6">
        <w:rPr>
          <w:rFonts w:asciiTheme="majorBidi" w:hAnsiTheme="majorBidi" w:cstheme="majorBidi"/>
        </w:rPr>
        <w:t>e</w:t>
      </w:r>
      <w:r w:rsidRPr="002F18EF">
        <w:rPr>
          <w:rFonts w:asciiTheme="majorBidi" w:hAnsiTheme="majorBidi" w:cstheme="majorBidi"/>
        </w:rPr>
        <w:t xml:space="preserve">) </w:t>
      </w:r>
      <w:proofErr w:type="spellStart"/>
      <w:r w:rsidRPr="00142294">
        <w:rPr>
          <w:rFonts w:asciiTheme="majorBidi" w:hAnsiTheme="majorBidi" w:cstheme="majorBidi"/>
          <w:i/>
          <w:iCs/>
        </w:rPr>
        <w:t>reciprocidad</w:t>
      </w:r>
      <w:proofErr w:type="spellEnd"/>
      <w:r w:rsidRPr="002F18EF">
        <w:rPr>
          <w:rFonts w:asciiTheme="majorBidi" w:hAnsiTheme="majorBidi" w:cstheme="majorBidi"/>
        </w:rPr>
        <w:t xml:space="preserve"> (Spanyol); dan (</w:t>
      </w:r>
      <w:r w:rsidR="000C2FC6">
        <w:rPr>
          <w:rFonts w:asciiTheme="majorBidi" w:hAnsiTheme="majorBidi" w:cstheme="majorBidi"/>
        </w:rPr>
        <w:t>f</w:t>
      </w:r>
      <w:r w:rsidRPr="002F18EF">
        <w:rPr>
          <w:rFonts w:asciiTheme="majorBidi" w:hAnsiTheme="majorBidi" w:cstheme="majorBidi"/>
        </w:rPr>
        <w:t xml:space="preserve">) </w:t>
      </w:r>
      <w:proofErr w:type="spellStart"/>
      <w:r w:rsidRPr="00142294">
        <w:rPr>
          <w:rFonts w:asciiTheme="majorBidi" w:hAnsiTheme="majorBidi" w:cstheme="majorBidi"/>
          <w:i/>
          <w:iCs/>
        </w:rPr>
        <w:t>reciprocita</w:t>
      </w:r>
      <w:proofErr w:type="spellEnd"/>
      <w:r w:rsidRPr="002F18EF">
        <w:rPr>
          <w:rFonts w:asciiTheme="majorBidi" w:hAnsiTheme="majorBidi" w:cstheme="majorBidi"/>
        </w:rPr>
        <w:t xml:space="preserve"> (Italia).</w:t>
      </w:r>
      <w:r w:rsidR="000C2FC6">
        <w:rPr>
          <w:rStyle w:val="FootnoteReference"/>
          <w:rFonts w:asciiTheme="majorBidi" w:hAnsiTheme="majorBidi" w:cstheme="majorBidi"/>
        </w:rPr>
        <w:footnoteReference w:id="66"/>
      </w:r>
    </w:p>
    <w:p w14:paraId="1A31D060" w14:textId="1EB194BC" w:rsidR="0031549B" w:rsidRPr="002F18EF" w:rsidRDefault="0031549B" w:rsidP="00D52D5D">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Dalam hukum antar negara, ada perbedaan antara istilah </w:t>
      </w:r>
      <w:r w:rsidR="003D6D0A" w:rsidRPr="002F18EF">
        <w:rPr>
          <w:rFonts w:asciiTheme="majorBidi" w:hAnsiTheme="majorBidi" w:cstheme="majorBidi"/>
        </w:rPr>
        <w:t>“</w:t>
      </w:r>
      <w:proofErr w:type="spellStart"/>
      <w:r w:rsidRPr="002F18EF">
        <w:rPr>
          <w:rFonts w:asciiTheme="majorBidi" w:hAnsiTheme="majorBidi" w:cstheme="majorBidi"/>
        </w:rPr>
        <w:t>r</w:t>
      </w:r>
      <w:r w:rsidRPr="000C2FC6">
        <w:rPr>
          <w:rFonts w:asciiTheme="majorBidi" w:hAnsiTheme="majorBidi" w:cstheme="majorBidi"/>
          <w:i/>
          <w:iCs/>
        </w:rPr>
        <w:t>estorsie</w:t>
      </w:r>
      <w:proofErr w:type="spellEnd"/>
      <w:r w:rsidR="003D6D0A" w:rsidRPr="002F18EF">
        <w:rPr>
          <w:rFonts w:asciiTheme="majorBidi" w:hAnsiTheme="majorBidi" w:cstheme="majorBidi"/>
        </w:rPr>
        <w:t>”</w:t>
      </w:r>
      <w:r w:rsidRPr="002F18EF">
        <w:rPr>
          <w:rFonts w:asciiTheme="majorBidi" w:hAnsiTheme="majorBidi" w:cstheme="majorBidi"/>
        </w:rPr>
        <w:t xml:space="preserve"> dan </w:t>
      </w:r>
      <w:r w:rsidR="003D6D0A" w:rsidRPr="002F18EF">
        <w:rPr>
          <w:rFonts w:asciiTheme="majorBidi" w:hAnsiTheme="majorBidi" w:cstheme="majorBidi"/>
        </w:rPr>
        <w:t>“</w:t>
      </w:r>
      <w:proofErr w:type="spellStart"/>
      <w:r w:rsidRPr="000C2FC6">
        <w:rPr>
          <w:rFonts w:asciiTheme="majorBidi" w:hAnsiTheme="majorBidi" w:cstheme="majorBidi"/>
          <w:i/>
          <w:iCs/>
        </w:rPr>
        <w:t>represaille</w:t>
      </w:r>
      <w:proofErr w:type="spellEnd"/>
      <w:r w:rsidR="003D6D0A" w:rsidRPr="002F18EF">
        <w:rPr>
          <w:rFonts w:asciiTheme="majorBidi" w:hAnsiTheme="majorBidi" w:cstheme="majorBidi"/>
        </w:rPr>
        <w:t>”</w:t>
      </w:r>
      <w:r w:rsidRPr="002F18EF">
        <w:rPr>
          <w:rFonts w:asciiTheme="majorBidi" w:hAnsiTheme="majorBidi" w:cstheme="majorBidi"/>
        </w:rPr>
        <w:t xml:space="preserve">. </w:t>
      </w:r>
      <w:r w:rsidR="003D6D0A" w:rsidRPr="002F18EF">
        <w:rPr>
          <w:rFonts w:asciiTheme="majorBidi" w:hAnsiTheme="majorBidi" w:cstheme="majorBidi"/>
        </w:rPr>
        <w:t>“</w:t>
      </w:r>
      <w:proofErr w:type="spellStart"/>
      <w:r w:rsidRPr="000C2FC6">
        <w:rPr>
          <w:rFonts w:asciiTheme="majorBidi" w:hAnsiTheme="majorBidi" w:cstheme="majorBidi"/>
          <w:i/>
          <w:iCs/>
        </w:rPr>
        <w:t>Restorsie</w:t>
      </w:r>
      <w:proofErr w:type="spellEnd"/>
      <w:r w:rsidR="003D6D0A" w:rsidRPr="002F18EF">
        <w:rPr>
          <w:rFonts w:asciiTheme="majorBidi" w:hAnsiTheme="majorBidi" w:cstheme="majorBidi"/>
        </w:rPr>
        <w:t>”</w:t>
      </w:r>
      <w:r w:rsidRPr="002F18EF">
        <w:rPr>
          <w:rFonts w:asciiTheme="majorBidi" w:hAnsiTheme="majorBidi" w:cstheme="majorBidi"/>
        </w:rPr>
        <w:t xml:space="preserve"> mengacu pada perbuatan negara bersangkutan yang merugikan, tetapi belum melanggar hukum. </w:t>
      </w:r>
      <w:r w:rsidR="003D6D0A" w:rsidRPr="002F18EF">
        <w:rPr>
          <w:rFonts w:asciiTheme="majorBidi" w:hAnsiTheme="majorBidi" w:cstheme="majorBidi"/>
        </w:rPr>
        <w:t>“</w:t>
      </w:r>
      <w:proofErr w:type="spellStart"/>
      <w:r w:rsidRPr="000C2FC6">
        <w:rPr>
          <w:rFonts w:asciiTheme="majorBidi" w:hAnsiTheme="majorBidi" w:cstheme="majorBidi"/>
          <w:i/>
          <w:iCs/>
        </w:rPr>
        <w:t>Represaille</w:t>
      </w:r>
      <w:proofErr w:type="spellEnd"/>
      <w:r w:rsidR="003D6D0A" w:rsidRPr="002F18EF">
        <w:rPr>
          <w:rFonts w:asciiTheme="majorBidi" w:hAnsiTheme="majorBidi" w:cstheme="majorBidi"/>
        </w:rPr>
        <w:t>”</w:t>
      </w:r>
      <w:r w:rsidRPr="002F18EF">
        <w:rPr>
          <w:rFonts w:asciiTheme="majorBidi" w:hAnsiTheme="majorBidi" w:cstheme="majorBidi"/>
        </w:rPr>
        <w:t xml:space="preserve"> mengacu pada perbuatan yang tidak senonoh, yang melanggar hukum negara bersangkutan. Karena itu, tindakan yang melanggar hukum dibalas dengan tindakan yang juga melanggar hukum. </w:t>
      </w:r>
      <w:r w:rsidR="003D6D0A" w:rsidRPr="002F18EF">
        <w:rPr>
          <w:rFonts w:asciiTheme="majorBidi" w:hAnsiTheme="majorBidi" w:cstheme="majorBidi"/>
        </w:rPr>
        <w:t>Dalam HPI</w:t>
      </w:r>
      <w:r w:rsidRPr="002F18EF">
        <w:rPr>
          <w:rFonts w:asciiTheme="majorBidi" w:hAnsiTheme="majorBidi" w:cstheme="majorBidi"/>
        </w:rPr>
        <w:t xml:space="preserve"> hanya memperhatikan </w:t>
      </w:r>
      <w:r w:rsidR="003D6D0A" w:rsidRPr="002F18EF">
        <w:rPr>
          <w:rFonts w:asciiTheme="majorBidi" w:hAnsiTheme="majorBidi" w:cstheme="majorBidi"/>
        </w:rPr>
        <w:t>“</w:t>
      </w:r>
      <w:proofErr w:type="spellStart"/>
      <w:r w:rsidRPr="000C2FC6">
        <w:rPr>
          <w:rFonts w:asciiTheme="majorBidi" w:hAnsiTheme="majorBidi" w:cstheme="majorBidi"/>
          <w:i/>
          <w:iCs/>
        </w:rPr>
        <w:t>retorsie</w:t>
      </w:r>
      <w:proofErr w:type="spellEnd"/>
      <w:r w:rsidR="003D6D0A" w:rsidRPr="002F18EF">
        <w:rPr>
          <w:rFonts w:asciiTheme="majorBidi" w:hAnsiTheme="majorBidi" w:cstheme="majorBidi"/>
        </w:rPr>
        <w:t>”</w:t>
      </w:r>
      <w:r w:rsidRPr="002F18EF">
        <w:rPr>
          <w:rFonts w:asciiTheme="majorBidi" w:hAnsiTheme="majorBidi" w:cstheme="majorBidi"/>
        </w:rPr>
        <w:t xml:space="preserve"> bukan </w:t>
      </w:r>
      <w:r w:rsidR="003D6D0A" w:rsidRPr="002F18EF">
        <w:rPr>
          <w:rFonts w:asciiTheme="majorBidi" w:hAnsiTheme="majorBidi" w:cstheme="majorBidi"/>
        </w:rPr>
        <w:t>“</w:t>
      </w:r>
      <w:proofErr w:type="spellStart"/>
      <w:r w:rsidRPr="000C2FC6">
        <w:rPr>
          <w:rFonts w:asciiTheme="majorBidi" w:hAnsiTheme="majorBidi" w:cstheme="majorBidi"/>
          <w:i/>
          <w:iCs/>
        </w:rPr>
        <w:t>represaille</w:t>
      </w:r>
      <w:proofErr w:type="spellEnd"/>
      <w:r w:rsidR="003D6D0A" w:rsidRPr="002F18EF">
        <w:rPr>
          <w:rFonts w:asciiTheme="majorBidi" w:hAnsiTheme="majorBidi" w:cstheme="majorBidi"/>
        </w:rPr>
        <w:t>”</w:t>
      </w:r>
      <w:r w:rsidRPr="002F18EF">
        <w:rPr>
          <w:rFonts w:asciiTheme="majorBidi" w:hAnsiTheme="majorBidi" w:cstheme="majorBidi"/>
        </w:rPr>
        <w:t>.</w:t>
      </w:r>
    </w:p>
    <w:p w14:paraId="493C51DA" w14:textId="722A24B7" w:rsidR="00E40FB2" w:rsidRPr="002F18EF" w:rsidRDefault="00E40FB2" w:rsidP="007950E4">
      <w:pPr>
        <w:pStyle w:val="ListParagraph"/>
        <w:spacing w:after="0" w:line="240" w:lineRule="auto"/>
        <w:ind w:left="0" w:firstLine="709"/>
        <w:jc w:val="both"/>
        <w:rPr>
          <w:rFonts w:asciiTheme="majorBidi" w:hAnsiTheme="majorBidi" w:cstheme="majorBidi"/>
        </w:rPr>
      </w:pPr>
      <w:r w:rsidRPr="002F18EF">
        <w:rPr>
          <w:rFonts w:asciiTheme="majorBidi" w:hAnsiTheme="majorBidi" w:cstheme="majorBidi"/>
        </w:rPr>
        <w:t xml:space="preserve">Dalam </w:t>
      </w:r>
      <w:r w:rsidR="000C2FC6">
        <w:rPr>
          <w:rFonts w:asciiTheme="majorBidi" w:hAnsiTheme="majorBidi" w:cstheme="majorBidi"/>
        </w:rPr>
        <w:t>HPI</w:t>
      </w:r>
      <w:r w:rsidRPr="002F18EF">
        <w:rPr>
          <w:rFonts w:asciiTheme="majorBidi" w:hAnsiTheme="majorBidi" w:cstheme="majorBidi"/>
        </w:rPr>
        <w:t>, ada tiga unsur yang mempengaruhi penerapan asas reprositas: (1) fakta bahwa salah satu pihak adalah warga negara asing; (2) lokasi di mana tindakan hukum dilakukan; dan (3) lokasi di mana perbuatan dilakukan. Pada unsur-unsur ini, perkawinan beda agama merupakan tindakan para pihak yang sama kewarganegaraannya, akan tetapi perbuatan (perkawinan) dilakukan di negara asing. Pada aspek ini, maka asas reprositas sudah dapat diterapkan.</w:t>
      </w:r>
    </w:p>
    <w:p w14:paraId="76972284" w14:textId="74E7A1C7" w:rsidR="00E40FB2" w:rsidRPr="002F18EF" w:rsidRDefault="00FC7FBC" w:rsidP="007950E4">
      <w:pPr>
        <w:pStyle w:val="ListParagraph"/>
        <w:spacing w:after="0" w:line="240" w:lineRule="auto"/>
        <w:ind w:left="0" w:firstLine="709"/>
        <w:jc w:val="both"/>
        <w:rPr>
          <w:rFonts w:asciiTheme="majorBidi" w:hAnsiTheme="majorBidi" w:cstheme="majorBidi"/>
        </w:rPr>
      </w:pPr>
      <w:r w:rsidRPr="002F18EF">
        <w:rPr>
          <w:rFonts w:asciiTheme="majorBidi" w:hAnsiTheme="majorBidi" w:cstheme="majorBidi"/>
        </w:rPr>
        <w:t>Penerapan asas reprositas di atas adalah konsekuensi logis dari keberadaan Indonesia sebagai salah satu anggota masyarakat Internasional. Asas ini menyatakan bahwa jika suatu negara ingin dilayani dengan baik di negara lain, maka negara tersebut harus memperlakukan negara lain dengan baik.</w:t>
      </w:r>
      <w:r w:rsidRPr="002F18EF">
        <w:rPr>
          <w:rStyle w:val="FootnoteReference"/>
          <w:rFonts w:asciiTheme="majorBidi" w:hAnsiTheme="majorBidi" w:cstheme="majorBidi"/>
        </w:rPr>
        <w:footnoteReference w:id="67"/>
      </w:r>
      <w:r w:rsidR="00E40FB2" w:rsidRPr="002F18EF">
        <w:rPr>
          <w:rFonts w:asciiTheme="majorBidi" w:hAnsiTheme="majorBidi" w:cstheme="majorBidi"/>
        </w:rPr>
        <w:t xml:space="preserve"> Apabila asas ini dikaitkan dengan pencatatan perkawinan beda agama </w:t>
      </w:r>
      <w:r w:rsidR="00E40FB2" w:rsidRPr="002F18EF">
        <w:rPr>
          <w:rFonts w:asciiTheme="majorBidi" w:hAnsiTheme="majorBidi" w:cstheme="majorBidi"/>
        </w:rPr>
        <w:lastRenderedPageBreak/>
        <w:t>luar negeri di Indonesia, maka jika perkawinan yang dilaksanakan di Indonesia hendak diakui dan dihormati akibat hukumnya oleh hukum negara lain, maka Indonesia hendaknya melakukan hal yang sama. Hal ini penting, sebab asas reprositas adalah prinsip kedaulatan negara dan hukum, juga negara dan bangsa Indonesia sekaligus merupakan landasan saling menghormati antar sesama bangsa dan negara di dunia.</w:t>
      </w:r>
      <w:r w:rsidR="002F6095" w:rsidRPr="002F18EF">
        <w:rPr>
          <w:rStyle w:val="FootnoteReference"/>
          <w:rFonts w:asciiTheme="majorBidi" w:hAnsiTheme="majorBidi" w:cstheme="majorBidi"/>
        </w:rPr>
        <w:footnoteReference w:id="68"/>
      </w:r>
    </w:p>
    <w:p w14:paraId="5C430558" w14:textId="60FB0656" w:rsidR="00A62DFA" w:rsidRPr="002F18EF" w:rsidRDefault="00A62DFA" w:rsidP="007950E4">
      <w:pPr>
        <w:pStyle w:val="ListParagraph"/>
        <w:spacing w:after="0" w:line="240" w:lineRule="auto"/>
        <w:ind w:left="0" w:firstLine="709"/>
        <w:jc w:val="both"/>
        <w:rPr>
          <w:rFonts w:asciiTheme="majorBidi" w:hAnsiTheme="majorBidi" w:cstheme="majorBidi"/>
        </w:rPr>
      </w:pPr>
      <w:r w:rsidRPr="002F18EF">
        <w:rPr>
          <w:rFonts w:asciiTheme="majorBidi" w:hAnsiTheme="majorBidi" w:cstheme="majorBidi"/>
        </w:rPr>
        <w:t>Negara forum</w:t>
      </w:r>
      <w:r w:rsidR="000C2FC6">
        <w:rPr>
          <w:rFonts w:asciiTheme="majorBidi" w:hAnsiTheme="majorBidi" w:cstheme="majorBidi"/>
        </w:rPr>
        <w:t xml:space="preserve"> (</w:t>
      </w:r>
      <w:proofErr w:type="spellStart"/>
      <w:r w:rsidR="000C2FC6" w:rsidRPr="000C2FC6">
        <w:rPr>
          <w:rFonts w:asciiTheme="majorBidi" w:hAnsiTheme="majorBidi" w:cstheme="majorBidi"/>
          <w:i/>
          <w:iCs/>
        </w:rPr>
        <w:t>lex</w:t>
      </w:r>
      <w:proofErr w:type="spellEnd"/>
      <w:r w:rsidR="000C2FC6" w:rsidRPr="000C2FC6">
        <w:rPr>
          <w:rFonts w:asciiTheme="majorBidi" w:hAnsiTheme="majorBidi" w:cstheme="majorBidi"/>
          <w:i/>
          <w:iCs/>
        </w:rPr>
        <w:t xml:space="preserve"> </w:t>
      </w:r>
      <w:proofErr w:type="spellStart"/>
      <w:r w:rsidR="000C2FC6" w:rsidRPr="000C2FC6">
        <w:rPr>
          <w:rFonts w:asciiTheme="majorBidi" w:hAnsiTheme="majorBidi" w:cstheme="majorBidi"/>
          <w:i/>
          <w:iCs/>
        </w:rPr>
        <w:t>fori</w:t>
      </w:r>
      <w:proofErr w:type="spellEnd"/>
      <w:r w:rsidR="000C2FC6">
        <w:rPr>
          <w:rFonts w:asciiTheme="majorBidi" w:hAnsiTheme="majorBidi" w:cstheme="majorBidi"/>
        </w:rPr>
        <w:t>)</w:t>
      </w:r>
      <w:r w:rsidRPr="002F18EF">
        <w:rPr>
          <w:rFonts w:asciiTheme="majorBidi" w:hAnsiTheme="majorBidi" w:cstheme="majorBidi"/>
        </w:rPr>
        <w:t xml:space="preserve"> biasanya sangat memperhatikan </w:t>
      </w:r>
      <w:r w:rsidR="002F6095" w:rsidRPr="002F18EF">
        <w:rPr>
          <w:rFonts w:asciiTheme="majorBidi" w:hAnsiTheme="majorBidi" w:cstheme="majorBidi"/>
        </w:rPr>
        <w:t>asas</w:t>
      </w:r>
      <w:r w:rsidRPr="002F18EF">
        <w:rPr>
          <w:rFonts w:asciiTheme="majorBidi" w:hAnsiTheme="majorBidi" w:cstheme="majorBidi"/>
        </w:rPr>
        <w:t xml:space="preserve"> reprositas, atau timbal balik, saat mengakui prinsip </w:t>
      </w:r>
      <w:r w:rsidR="002F6095" w:rsidRPr="002F18EF">
        <w:rPr>
          <w:rFonts w:asciiTheme="majorBidi" w:hAnsiTheme="majorBidi" w:cstheme="majorBidi"/>
        </w:rPr>
        <w:t>“</w:t>
      </w:r>
      <w:r w:rsidRPr="002F18EF">
        <w:rPr>
          <w:rFonts w:asciiTheme="majorBidi" w:hAnsiTheme="majorBidi" w:cstheme="majorBidi"/>
        </w:rPr>
        <w:t>hak-hak yang diperoleh</w:t>
      </w:r>
      <w:r w:rsidR="002F6095" w:rsidRPr="002F18EF">
        <w:rPr>
          <w:rFonts w:asciiTheme="majorBidi" w:hAnsiTheme="majorBidi" w:cstheme="majorBidi"/>
        </w:rPr>
        <w:t>”</w:t>
      </w:r>
      <w:r w:rsidRPr="002F18EF">
        <w:rPr>
          <w:rFonts w:asciiTheme="majorBidi" w:hAnsiTheme="majorBidi" w:cstheme="majorBidi"/>
        </w:rPr>
        <w:t>. Negara-negara tidak ingin terlalu cepat menggunakan ketertiban umum untuk memperbaiki hubungan mereka dengan negara lain, seperti halnya dalam ketertiban umum. Jika suatu negara kurang memperhatikan pelanjutan keadaan hukumnya dibandingkan dengan negara lain, maka tidak masuk akal bahwa negara lain juga akan memperhatikan pelanjutan keadaan hukum daripada negara pertama.</w:t>
      </w:r>
      <w:r w:rsidR="00DE620D" w:rsidRPr="002F18EF">
        <w:rPr>
          <w:rFonts w:asciiTheme="majorBidi" w:hAnsiTheme="majorBidi" w:cstheme="majorBidi"/>
        </w:rPr>
        <w:t xml:space="preserve"> </w:t>
      </w:r>
    </w:p>
    <w:p w14:paraId="44ECC7C0" w14:textId="7680164D" w:rsidR="002F6095" w:rsidRPr="002F18EF" w:rsidRDefault="002F6095" w:rsidP="007950E4">
      <w:pPr>
        <w:pStyle w:val="ListParagraph"/>
        <w:spacing w:after="0" w:line="240" w:lineRule="auto"/>
        <w:ind w:left="0" w:firstLine="709"/>
        <w:jc w:val="both"/>
        <w:rPr>
          <w:rFonts w:asciiTheme="majorBidi" w:hAnsiTheme="majorBidi" w:cstheme="majorBidi"/>
        </w:rPr>
      </w:pPr>
      <w:r w:rsidRPr="002F18EF">
        <w:rPr>
          <w:rFonts w:asciiTheme="majorBidi" w:hAnsiTheme="majorBidi" w:cstheme="majorBidi"/>
        </w:rPr>
        <w:t xml:space="preserve">Kewajiban pencatatan perkawinan beda agama luar negeri di Indonesia, juga dapat didasarkan pada asas </w:t>
      </w:r>
      <w:proofErr w:type="spellStart"/>
      <w:r w:rsidRPr="002F18EF">
        <w:rPr>
          <w:rFonts w:asciiTheme="majorBidi" w:hAnsiTheme="majorBidi" w:cstheme="majorBidi"/>
          <w:i/>
          <w:iCs/>
        </w:rPr>
        <w:t>comitas</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gentium</w:t>
      </w:r>
      <w:proofErr w:type="spellEnd"/>
      <w:r w:rsidR="00661AFC" w:rsidRPr="002F18EF">
        <w:rPr>
          <w:rStyle w:val="FootnoteReference"/>
          <w:rFonts w:asciiTheme="majorBidi" w:hAnsiTheme="majorBidi" w:cstheme="majorBidi"/>
        </w:rPr>
        <w:footnoteReference w:id="69"/>
      </w:r>
      <w:r w:rsidRPr="002F18EF">
        <w:rPr>
          <w:rFonts w:asciiTheme="majorBidi" w:hAnsiTheme="majorBidi" w:cstheme="majorBidi"/>
        </w:rPr>
        <w:t xml:space="preserve"> (sopan santun). </w:t>
      </w:r>
      <w:r w:rsidR="00602018" w:rsidRPr="002F18EF">
        <w:rPr>
          <w:rFonts w:asciiTheme="majorBidi" w:hAnsiTheme="majorBidi" w:cstheme="majorBidi"/>
        </w:rPr>
        <w:t>Berdasarkan</w:t>
      </w:r>
      <w:r w:rsidRPr="002F18EF">
        <w:rPr>
          <w:rFonts w:asciiTheme="majorBidi" w:hAnsiTheme="majorBidi" w:cstheme="majorBidi"/>
        </w:rPr>
        <w:t xml:space="preserve"> alasan sopan santun antar negara (</w:t>
      </w:r>
      <w:proofErr w:type="spellStart"/>
      <w:r w:rsidRPr="002F18EF">
        <w:rPr>
          <w:rFonts w:asciiTheme="majorBidi" w:hAnsiTheme="majorBidi" w:cstheme="majorBidi"/>
          <w:i/>
          <w:iCs/>
        </w:rPr>
        <w:t>comitas</w:t>
      </w:r>
      <w:proofErr w:type="spellEnd"/>
      <w:r w:rsidRPr="002F18EF">
        <w:rPr>
          <w:rFonts w:asciiTheme="majorBidi" w:hAnsiTheme="majorBidi" w:cstheme="majorBidi"/>
          <w:i/>
          <w:iCs/>
        </w:rPr>
        <w:t xml:space="preserve"> </w:t>
      </w:r>
      <w:proofErr w:type="spellStart"/>
      <w:r w:rsidRPr="002F18EF">
        <w:rPr>
          <w:rFonts w:asciiTheme="majorBidi" w:hAnsiTheme="majorBidi" w:cstheme="majorBidi"/>
          <w:i/>
          <w:iCs/>
        </w:rPr>
        <w:t>gentium</w:t>
      </w:r>
      <w:proofErr w:type="spellEnd"/>
      <w:r w:rsidRPr="002F18EF">
        <w:rPr>
          <w:rFonts w:asciiTheme="majorBidi" w:hAnsiTheme="majorBidi" w:cstheme="majorBidi"/>
        </w:rPr>
        <w:t>), diakui pula bahwa setiap pemerintah negara yang berdaulat mengakui bahwa hukum yang sudah berlaku di negara asalnya akan tetap memiliki kekuatan berlaku dimana-mana sejauh tidak bertentangan dengan kepentingan subyek hukum.</w:t>
      </w:r>
      <w:r w:rsidR="00142294">
        <w:rPr>
          <w:rStyle w:val="FootnoteReference"/>
          <w:rFonts w:asciiTheme="majorBidi" w:hAnsiTheme="majorBidi" w:cstheme="majorBidi"/>
        </w:rPr>
        <w:footnoteReference w:id="70"/>
      </w:r>
    </w:p>
    <w:p w14:paraId="534DC190" w14:textId="30BB0AB4" w:rsidR="002F6095" w:rsidRPr="002F18EF" w:rsidRDefault="00661AFC" w:rsidP="007950E4">
      <w:pPr>
        <w:pStyle w:val="ListParagraph"/>
        <w:spacing w:after="0" w:line="240" w:lineRule="auto"/>
        <w:ind w:left="0" w:firstLine="709"/>
        <w:jc w:val="both"/>
        <w:rPr>
          <w:rFonts w:asciiTheme="majorBidi" w:hAnsiTheme="majorBidi" w:cstheme="majorBidi"/>
        </w:rPr>
      </w:pPr>
      <w:r w:rsidRPr="002F18EF">
        <w:rPr>
          <w:rFonts w:asciiTheme="majorBidi" w:hAnsiTheme="majorBidi" w:cstheme="majorBidi"/>
        </w:rPr>
        <w:t xml:space="preserve">Setiap </w:t>
      </w:r>
      <w:r w:rsidR="00C95540" w:rsidRPr="002F18EF">
        <w:rPr>
          <w:rFonts w:asciiTheme="majorBidi" w:hAnsiTheme="majorBidi" w:cstheme="majorBidi"/>
        </w:rPr>
        <w:t xml:space="preserve">negara memiliki kedaulatan, sehingga negara memiliki kewenangan penuh untuk menetapkan kaidah-kaidah HPI-nya, tetapi dalam kenyataan, negara-negara itu tidak dapat bertindak secara bebas, dalam arti bahwa berdasarkan asas </w:t>
      </w:r>
      <w:proofErr w:type="spellStart"/>
      <w:r w:rsidR="001D2FD9" w:rsidRPr="001D2FD9">
        <w:rPr>
          <w:rFonts w:asciiTheme="majorBidi" w:hAnsiTheme="majorBidi" w:cstheme="majorBidi"/>
          <w:i/>
          <w:iCs/>
        </w:rPr>
        <w:t>comitas</w:t>
      </w:r>
      <w:proofErr w:type="spellEnd"/>
      <w:r w:rsidR="001D2FD9" w:rsidRPr="001D2FD9">
        <w:rPr>
          <w:rFonts w:asciiTheme="majorBidi" w:hAnsiTheme="majorBidi" w:cstheme="majorBidi"/>
          <w:i/>
          <w:iCs/>
        </w:rPr>
        <w:t xml:space="preserve"> </w:t>
      </w:r>
      <w:proofErr w:type="spellStart"/>
      <w:r w:rsidR="001D2FD9" w:rsidRPr="001D2FD9">
        <w:rPr>
          <w:rFonts w:asciiTheme="majorBidi" w:hAnsiTheme="majorBidi" w:cstheme="majorBidi"/>
          <w:i/>
          <w:iCs/>
        </w:rPr>
        <w:t>gentium</w:t>
      </w:r>
      <w:proofErr w:type="spellEnd"/>
      <w:r w:rsidR="001D2FD9" w:rsidRPr="002F18EF">
        <w:rPr>
          <w:rFonts w:asciiTheme="majorBidi" w:hAnsiTheme="majorBidi" w:cstheme="majorBidi"/>
        </w:rPr>
        <w:t xml:space="preserve"> </w:t>
      </w:r>
      <w:r w:rsidR="00C95540" w:rsidRPr="002F18EF">
        <w:rPr>
          <w:rFonts w:asciiTheme="majorBidi" w:hAnsiTheme="majorBidi" w:cstheme="majorBidi"/>
        </w:rPr>
        <w:t>negara itu harus mengakui pelaksanaan suatu hak yang telah diperoleh secara sah di negara lain.</w:t>
      </w:r>
      <w:r w:rsidR="00142294">
        <w:rPr>
          <w:rStyle w:val="FootnoteReference"/>
          <w:rFonts w:asciiTheme="majorBidi" w:hAnsiTheme="majorBidi" w:cstheme="majorBidi"/>
        </w:rPr>
        <w:footnoteReference w:id="71"/>
      </w:r>
    </w:p>
    <w:p w14:paraId="5991FCA4" w14:textId="1C101674" w:rsidR="00DE620D" w:rsidRPr="002F18EF" w:rsidRDefault="00C95540"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Asas pelanjutan keadaan hukum, reprositas dan </w:t>
      </w:r>
      <w:proofErr w:type="spellStart"/>
      <w:r w:rsidRPr="001D2FD9">
        <w:rPr>
          <w:rFonts w:asciiTheme="majorBidi" w:hAnsiTheme="majorBidi" w:cstheme="majorBidi"/>
          <w:i/>
          <w:iCs/>
        </w:rPr>
        <w:t>comitas</w:t>
      </w:r>
      <w:proofErr w:type="spellEnd"/>
      <w:r w:rsidRPr="001D2FD9">
        <w:rPr>
          <w:rFonts w:asciiTheme="majorBidi" w:hAnsiTheme="majorBidi" w:cstheme="majorBidi"/>
          <w:i/>
          <w:iCs/>
        </w:rPr>
        <w:t xml:space="preserve"> </w:t>
      </w:r>
      <w:proofErr w:type="spellStart"/>
      <w:r w:rsidRPr="001D2FD9">
        <w:rPr>
          <w:rFonts w:asciiTheme="majorBidi" w:hAnsiTheme="majorBidi" w:cstheme="majorBidi"/>
          <w:i/>
          <w:iCs/>
        </w:rPr>
        <w:t>gentium</w:t>
      </w:r>
      <w:proofErr w:type="spellEnd"/>
      <w:r w:rsidRPr="002F18EF">
        <w:rPr>
          <w:rFonts w:asciiTheme="majorBidi" w:hAnsiTheme="majorBidi" w:cstheme="majorBidi"/>
        </w:rPr>
        <w:t xml:space="preserve"> </w:t>
      </w:r>
      <w:r w:rsidR="001D2FD9">
        <w:rPr>
          <w:rFonts w:asciiTheme="majorBidi" w:hAnsiTheme="majorBidi" w:cstheme="majorBidi"/>
        </w:rPr>
        <w:t xml:space="preserve">di atas adalah </w:t>
      </w:r>
      <w:r w:rsidRPr="002F18EF">
        <w:rPr>
          <w:rFonts w:asciiTheme="majorBidi" w:hAnsiTheme="majorBidi" w:cstheme="majorBidi"/>
        </w:rPr>
        <w:t xml:space="preserve">argumentasi rasional kewajiban negara Indonesia untuk mengakui, mencatat perkawinan beda agama yang dilakukan di luar </w:t>
      </w:r>
      <w:r w:rsidR="00661AFC" w:rsidRPr="002F18EF">
        <w:rPr>
          <w:rFonts w:asciiTheme="majorBidi" w:hAnsiTheme="majorBidi" w:cstheme="majorBidi"/>
        </w:rPr>
        <w:t>negeri</w:t>
      </w:r>
      <w:r w:rsidRPr="002F18EF">
        <w:rPr>
          <w:rFonts w:asciiTheme="majorBidi" w:hAnsiTheme="majorBidi" w:cstheme="majorBidi"/>
        </w:rPr>
        <w:t>. Ketiga asas ini</w:t>
      </w:r>
      <w:r w:rsidR="001D2FD9">
        <w:rPr>
          <w:rFonts w:asciiTheme="majorBidi" w:hAnsiTheme="majorBidi" w:cstheme="majorBidi"/>
        </w:rPr>
        <w:t xml:space="preserve"> dapat dijadikan</w:t>
      </w:r>
      <w:r w:rsidRPr="002F18EF">
        <w:rPr>
          <w:rFonts w:asciiTheme="majorBidi" w:hAnsiTheme="majorBidi" w:cstheme="majorBidi"/>
        </w:rPr>
        <w:t xml:space="preserve"> basis </w:t>
      </w:r>
      <w:r w:rsidR="001D2FD9">
        <w:rPr>
          <w:rFonts w:asciiTheme="majorBidi" w:hAnsiTheme="majorBidi" w:cstheme="majorBidi"/>
        </w:rPr>
        <w:t>bagi</w:t>
      </w:r>
      <w:r w:rsidRPr="002F18EF">
        <w:rPr>
          <w:rFonts w:asciiTheme="majorBidi" w:hAnsiTheme="majorBidi" w:cstheme="majorBidi"/>
        </w:rPr>
        <w:t xml:space="preserve"> </w:t>
      </w:r>
      <w:proofErr w:type="spellStart"/>
      <w:r w:rsidRPr="001D2FD9">
        <w:rPr>
          <w:rFonts w:asciiTheme="majorBidi" w:hAnsiTheme="majorBidi" w:cstheme="majorBidi"/>
          <w:i/>
          <w:iCs/>
        </w:rPr>
        <w:t>interlegality</w:t>
      </w:r>
      <w:proofErr w:type="spellEnd"/>
      <w:r w:rsidRPr="002F18EF">
        <w:rPr>
          <w:rFonts w:asciiTheme="majorBidi" w:hAnsiTheme="majorBidi" w:cstheme="majorBidi"/>
        </w:rPr>
        <w:t xml:space="preserve"> perkawinan tersebut, sehingga keabsahannya bersifat transnasional.</w:t>
      </w:r>
      <w:r w:rsidR="00CB5F17" w:rsidRPr="002F18EF">
        <w:rPr>
          <w:rFonts w:asciiTheme="majorBidi" w:hAnsiTheme="majorBidi" w:cstheme="majorBidi"/>
        </w:rPr>
        <w:t xml:space="preserve"> Oleh karena itu dalam konteks ini, </w:t>
      </w:r>
      <w:proofErr w:type="spellStart"/>
      <w:r w:rsidR="00CB5F17" w:rsidRPr="001D2FD9">
        <w:rPr>
          <w:rFonts w:asciiTheme="majorBidi" w:hAnsiTheme="majorBidi" w:cstheme="majorBidi"/>
          <w:i/>
          <w:iCs/>
        </w:rPr>
        <w:t>interlagality</w:t>
      </w:r>
      <w:proofErr w:type="spellEnd"/>
      <w:r w:rsidR="00CB5F17" w:rsidRPr="002F18EF">
        <w:rPr>
          <w:rFonts w:asciiTheme="majorBidi" w:hAnsiTheme="majorBidi" w:cstheme="majorBidi"/>
        </w:rPr>
        <w:t xml:space="preserve"> menjadi jalan untuk mencari solusi hukum</w:t>
      </w:r>
      <w:r w:rsidR="001D2FD9">
        <w:rPr>
          <w:rFonts w:asciiTheme="majorBidi" w:hAnsiTheme="majorBidi" w:cstheme="majorBidi"/>
        </w:rPr>
        <w:t xml:space="preserve"> untuk kebasahan perkawinan dimaksud di hadapan sistem hukum banyak negara, sehingga </w:t>
      </w:r>
      <w:r w:rsidR="00CB5F17" w:rsidRPr="002F18EF">
        <w:rPr>
          <w:rFonts w:asciiTheme="majorBidi" w:hAnsiTheme="majorBidi" w:cstheme="majorBidi"/>
        </w:rPr>
        <w:t>solusi ini tertanam dalam hukum dan dibenarkan oleh hukum</w:t>
      </w:r>
      <w:r w:rsidR="001D2FD9">
        <w:rPr>
          <w:rFonts w:asciiTheme="majorBidi" w:hAnsiTheme="majorBidi" w:cstheme="majorBidi"/>
        </w:rPr>
        <w:t xml:space="preserve"> itu sendiri</w:t>
      </w:r>
      <w:r w:rsidR="00CB5F17" w:rsidRPr="002F18EF">
        <w:rPr>
          <w:rFonts w:asciiTheme="majorBidi" w:hAnsiTheme="majorBidi" w:cstheme="majorBidi"/>
        </w:rPr>
        <w:t>.</w:t>
      </w:r>
      <w:r w:rsidR="00FC163A" w:rsidRPr="002F18EF">
        <w:rPr>
          <w:rStyle w:val="FootnoteReference"/>
          <w:rFonts w:asciiTheme="majorBidi" w:hAnsiTheme="majorBidi" w:cstheme="majorBidi"/>
        </w:rPr>
        <w:footnoteReference w:id="72"/>
      </w:r>
    </w:p>
    <w:p w14:paraId="68718ED5" w14:textId="236EC7BF" w:rsidR="00025DF4" w:rsidRPr="002F18EF" w:rsidRDefault="00025DF4" w:rsidP="007950E4">
      <w:pPr>
        <w:pStyle w:val="ListParagraph"/>
        <w:spacing w:after="0" w:line="240" w:lineRule="auto"/>
        <w:ind w:left="0" w:firstLine="567"/>
        <w:jc w:val="both"/>
        <w:rPr>
          <w:rFonts w:asciiTheme="majorBidi" w:hAnsiTheme="majorBidi" w:cstheme="majorBidi"/>
          <w:kern w:val="0"/>
        </w:rPr>
      </w:pPr>
      <w:proofErr w:type="spellStart"/>
      <w:r w:rsidRPr="002F18EF">
        <w:rPr>
          <w:rFonts w:asciiTheme="majorBidi" w:hAnsiTheme="majorBidi" w:cstheme="majorBidi"/>
        </w:rPr>
        <w:t>Interlegalitas</w:t>
      </w:r>
      <w:proofErr w:type="spellEnd"/>
      <w:r w:rsidRPr="002F18EF">
        <w:rPr>
          <w:rFonts w:asciiTheme="majorBidi" w:hAnsiTheme="majorBidi" w:cstheme="majorBidi"/>
        </w:rPr>
        <w:t xml:space="preserve"> hukum merupakan translasi dari bahasa Inggri</w:t>
      </w:r>
      <w:r w:rsidR="00B5360E" w:rsidRPr="002F18EF">
        <w:rPr>
          <w:rFonts w:asciiTheme="majorBidi" w:hAnsiTheme="majorBidi" w:cstheme="majorBidi"/>
        </w:rPr>
        <w:t>s</w:t>
      </w:r>
      <w:r w:rsidRPr="002F18EF">
        <w:rPr>
          <w:rFonts w:asciiTheme="majorBidi" w:hAnsiTheme="majorBidi" w:cstheme="majorBidi"/>
        </w:rPr>
        <w:t xml:space="preserve"> </w:t>
      </w:r>
      <w:proofErr w:type="spellStart"/>
      <w:r w:rsidRPr="002F18EF">
        <w:rPr>
          <w:rFonts w:asciiTheme="majorBidi" w:hAnsiTheme="majorBidi" w:cstheme="majorBidi"/>
          <w:i/>
          <w:iCs/>
        </w:rPr>
        <w:t>interlegality</w:t>
      </w:r>
      <w:proofErr w:type="spellEnd"/>
      <w:r w:rsidRPr="002F18EF">
        <w:rPr>
          <w:rFonts w:asciiTheme="majorBidi" w:hAnsiTheme="majorBidi" w:cstheme="majorBidi"/>
          <w:i/>
          <w:iCs/>
        </w:rPr>
        <w:t>.</w:t>
      </w:r>
      <w:r w:rsidRPr="002F18EF">
        <w:rPr>
          <w:rFonts w:asciiTheme="majorBidi" w:hAnsiTheme="majorBidi" w:cstheme="majorBidi"/>
        </w:rPr>
        <w:t xml:space="preserve"> Kata </w:t>
      </w:r>
      <w:proofErr w:type="spellStart"/>
      <w:r w:rsidRPr="002F18EF">
        <w:rPr>
          <w:rFonts w:asciiTheme="majorBidi" w:hAnsiTheme="majorBidi" w:cstheme="majorBidi"/>
        </w:rPr>
        <w:t>i</w:t>
      </w:r>
      <w:r w:rsidRPr="001D2FD9">
        <w:rPr>
          <w:rFonts w:asciiTheme="majorBidi" w:hAnsiTheme="majorBidi" w:cstheme="majorBidi"/>
          <w:i/>
          <w:iCs/>
        </w:rPr>
        <w:t>ntergality</w:t>
      </w:r>
      <w:proofErr w:type="spellEnd"/>
      <w:r w:rsidRPr="001D2FD9">
        <w:rPr>
          <w:rFonts w:asciiTheme="majorBidi" w:hAnsiTheme="majorBidi" w:cstheme="majorBidi"/>
          <w:i/>
          <w:iCs/>
        </w:rPr>
        <w:t xml:space="preserve"> </w:t>
      </w:r>
      <w:r w:rsidRPr="002F18EF">
        <w:rPr>
          <w:rFonts w:asciiTheme="majorBidi" w:hAnsiTheme="majorBidi" w:cstheme="majorBidi"/>
        </w:rPr>
        <w:t xml:space="preserve">dalam pandangan </w:t>
      </w:r>
      <w:proofErr w:type="spellStart"/>
      <w:r w:rsidRPr="002F18EF">
        <w:rPr>
          <w:rFonts w:asciiTheme="majorBidi" w:hAnsiTheme="majorBidi" w:cstheme="majorBidi"/>
        </w:rPr>
        <w:t>Marc</w:t>
      </w:r>
      <w:proofErr w:type="spellEnd"/>
      <w:r w:rsidRPr="002F18EF">
        <w:rPr>
          <w:rFonts w:asciiTheme="majorBidi" w:hAnsiTheme="majorBidi" w:cstheme="majorBidi"/>
        </w:rPr>
        <w:t xml:space="preserve"> </w:t>
      </w:r>
      <w:proofErr w:type="spellStart"/>
      <w:r w:rsidRPr="002F18EF">
        <w:rPr>
          <w:rFonts w:asciiTheme="majorBidi" w:hAnsiTheme="majorBidi" w:cstheme="majorBidi"/>
        </w:rPr>
        <w:t>Amstutz</w:t>
      </w:r>
      <w:proofErr w:type="spellEnd"/>
      <w:r w:rsidRPr="002F18EF">
        <w:rPr>
          <w:rStyle w:val="FootnoteReference"/>
          <w:rFonts w:asciiTheme="majorBidi" w:hAnsiTheme="majorBidi" w:cstheme="majorBidi"/>
        </w:rPr>
        <w:footnoteReference w:id="73"/>
      </w:r>
      <w:r w:rsidRPr="002F18EF">
        <w:rPr>
          <w:rFonts w:asciiTheme="majorBidi" w:hAnsiTheme="majorBidi" w:cstheme="majorBidi"/>
        </w:rPr>
        <w:t xml:space="preserve">, Andre J. </w:t>
      </w:r>
      <w:proofErr w:type="spellStart"/>
      <w:r w:rsidRPr="002F18EF">
        <w:rPr>
          <w:rFonts w:asciiTheme="majorBidi" w:hAnsiTheme="majorBidi" w:cstheme="majorBidi"/>
        </w:rPr>
        <w:t>Hoekema</w:t>
      </w:r>
      <w:proofErr w:type="spellEnd"/>
      <w:r w:rsidR="008A60B3" w:rsidRPr="002F18EF">
        <w:rPr>
          <w:rStyle w:val="FootnoteReference"/>
          <w:rFonts w:asciiTheme="majorBidi" w:hAnsiTheme="majorBidi" w:cstheme="majorBidi"/>
        </w:rPr>
        <w:footnoteReference w:id="74"/>
      </w:r>
      <w:r w:rsidRPr="002F18EF">
        <w:rPr>
          <w:rFonts w:asciiTheme="majorBidi" w:hAnsiTheme="majorBidi" w:cstheme="majorBidi"/>
        </w:rPr>
        <w:t>, Robert Wai,</w:t>
      </w:r>
      <w:r w:rsidRPr="002F18EF">
        <w:rPr>
          <w:rStyle w:val="FootnoteReference"/>
          <w:rFonts w:asciiTheme="majorBidi" w:hAnsiTheme="majorBidi" w:cstheme="majorBidi"/>
        </w:rPr>
        <w:footnoteReference w:id="75"/>
      </w:r>
      <w:r w:rsidRPr="002F18EF">
        <w:rPr>
          <w:rFonts w:asciiTheme="majorBidi" w:hAnsiTheme="majorBidi" w:cstheme="majorBidi"/>
        </w:rPr>
        <w:t xml:space="preserve"> Mel Kenny, dan Jan </w:t>
      </w:r>
      <w:proofErr w:type="spellStart"/>
      <w:r w:rsidRPr="002F18EF">
        <w:rPr>
          <w:rFonts w:asciiTheme="majorBidi" w:hAnsiTheme="majorBidi" w:cstheme="majorBidi"/>
        </w:rPr>
        <w:lastRenderedPageBreak/>
        <w:t>Klabbers</w:t>
      </w:r>
      <w:proofErr w:type="spellEnd"/>
      <w:r w:rsidRPr="002F18EF">
        <w:rPr>
          <w:rFonts w:asciiTheme="majorBidi" w:hAnsiTheme="majorBidi" w:cstheme="majorBidi"/>
        </w:rPr>
        <w:t xml:space="preserve"> dan </w:t>
      </w:r>
      <w:proofErr w:type="spellStart"/>
      <w:r w:rsidRPr="002F18EF">
        <w:rPr>
          <w:rFonts w:asciiTheme="majorBidi" w:hAnsiTheme="majorBidi" w:cstheme="majorBidi"/>
        </w:rPr>
        <w:t>Gianluigi</w:t>
      </w:r>
      <w:proofErr w:type="spellEnd"/>
      <w:r w:rsidRPr="002F18EF">
        <w:rPr>
          <w:rFonts w:asciiTheme="majorBidi" w:hAnsiTheme="majorBidi" w:cstheme="majorBidi"/>
        </w:rPr>
        <w:t xml:space="preserve"> </w:t>
      </w:r>
      <w:proofErr w:type="spellStart"/>
      <w:r w:rsidRPr="002F18EF">
        <w:rPr>
          <w:rFonts w:asciiTheme="majorBidi" w:hAnsiTheme="majorBidi" w:cstheme="majorBidi"/>
        </w:rPr>
        <w:t>Palombella</w:t>
      </w:r>
      <w:proofErr w:type="spellEnd"/>
      <w:r w:rsidRPr="002F18EF">
        <w:rPr>
          <w:rFonts w:asciiTheme="majorBidi" w:hAnsiTheme="majorBidi" w:cstheme="majorBidi"/>
        </w:rPr>
        <w:t>,</w:t>
      </w:r>
      <w:r w:rsidRPr="002F18EF">
        <w:rPr>
          <w:rStyle w:val="FootnoteReference"/>
          <w:rFonts w:asciiTheme="majorBidi" w:hAnsiTheme="majorBidi" w:cstheme="majorBidi"/>
        </w:rPr>
        <w:footnoteReference w:id="76"/>
      </w:r>
      <w:r w:rsidR="00B5360E" w:rsidRPr="002F18EF">
        <w:rPr>
          <w:rFonts w:asciiTheme="majorBidi" w:hAnsiTheme="majorBidi" w:cstheme="majorBidi"/>
        </w:rPr>
        <w:t xml:space="preserve"> pertama kali diintroduksi oleh </w:t>
      </w:r>
      <w:proofErr w:type="spellStart"/>
      <w:r w:rsidR="00B5360E" w:rsidRPr="002F18EF">
        <w:rPr>
          <w:rFonts w:asciiTheme="majorBidi" w:hAnsiTheme="majorBidi" w:cstheme="majorBidi"/>
        </w:rPr>
        <w:t>Bounventura</w:t>
      </w:r>
      <w:proofErr w:type="spellEnd"/>
      <w:r w:rsidR="00B5360E" w:rsidRPr="002F18EF">
        <w:rPr>
          <w:rFonts w:asciiTheme="majorBidi" w:hAnsiTheme="majorBidi" w:cstheme="majorBidi"/>
        </w:rPr>
        <w:t xml:space="preserve"> </w:t>
      </w:r>
      <w:proofErr w:type="spellStart"/>
      <w:r w:rsidR="00B5360E" w:rsidRPr="002F18EF">
        <w:rPr>
          <w:rFonts w:asciiTheme="majorBidi" w:hAnsiTheme="majorBidi" w:cstheme="majorBidi"/>
        </w:rPr>
        <w:t>de</w:t>
      </w:r>
      <w:proofErr w:type="spellEnd"/>
      <w:r w:rsidR="00B5360E" w:rsidRPr="002F18EF">
        <w:rPr>
          <w:rFonts w:asciiTheme="majorBidi" w:hAnsiTheme="majorBidi" w:cstheme="majorBidi"/>
        </w:rPr>
        <w:t xml:space="preserve"> </w:t>
      </w:r>
      <w:proofErr w:type="spellStart"/>
      <w:r w:rsidR="00B5360E" w:rsidRPr="002F18EF">
        <w:rPr>
          <w:rFonts w:asciiTheme="majorBidi" w:hAnsiTheme="majorBidi" w:cstheme="majorBidi"/>
        </w:rPr>
        <w:t>Sousa</w:t>
      </w:r>
      <w:proofErr w:type="spellEnd"/>
      <w:r w:rsidR="00B5360E" w:rsidRPr="002F18EF">
        <w:rPr>
          <w:rFonts w:asciiTheme="majorBidi" w:hAnsiTheme="majorBidi" w:cstheme="majorBidi"/>
        </w:rPr>
        <w:t xml:space="preserve"> Santos untuk </w:t>
      </w:r>
      <w:proofErr w:type="spellStart"/>
      <w:r w:rsidR="00B5360E" w:rsidRPr="002F18EF">
        <w:rPr>
          <w:rFonts w:asciiTheme="majorBidi" w:hAnsiTheme="majorBidi" w:cstheme="majorBidi"/>
        </w:rPr>
        <w:t>mengeksplanasi</w:t>
      </w:r>
      <w:proofErr w:type="spellEnd"/>
      <w:r w:rsidR="00B5360E" w:rsidRPr="002F18EF">
        <w:rPr>
          <w:rFonts w:asciiTheme="majorBidi" w:hAnsiTheme="majorBidi" w:cstheme="majorBidi"/>
        </w:rPr>
        <w:t xml:space="preserve"> </w:t>
      </w:r>
      <w:proofErr w:type="spellStart"/>
      <w:r w:rsidR="00B5360E" w:rsidRPr="002F18EF">
        <w:rPr>
          <w:rFonts w:asciiTheme="majorBidi" w:hAnsiTheme="majorBidi" w:cstheme="majorBidi"/>
        </w:rPr>
        <w:t>kesatupaduan</w:t>
      </w:r>
      <w:proofErr w:type="spellEnd"/>
      <w:r w:rsidR="00B5360E" w:rsidRPr="002F18EF">
        <w:rPr>
          <w:rFonts w:asciiTheme="majorBidi" w:hAnsiTheme="majorBidi" w:cstheme="majorBidi"/>
        </w:rPr>
        <w:t xml:space="preserve"> antara norma hukum dengan norma hukum lainnya dalam satu fakta kehidupan sosial </w:t>
      </w:r>
      <w:r w:rsidR="001D2FD9">
        <w:rPr>
          <w:rFonts w:asciiTheme="majorBidi" w:hAnsiTheme="majorBidi" w:cstheme="majorBidi"/>
        </w:rPr>
        <w:t>yang ter</w:t>
      </w:r>
      <w:r w:rsidR="00B5360E" w:rsidRPr="002F18EF">
        <w:rPr>
          <w:rFonts w:asciiTheme="majorBidi" w:hAnsiTheme="majorBidi" w:cstheme="majorBidi"/>
        </w:rPr>
        <w:t>dapat keragaman hukum.</w:t>
      </w:r>
      <w:r w:rsidR="004E7417" w:rsidRPr="002F18EF">
        <w:rPr>
          <w:rFonts w:asciiTheme="majorBidi" w:hAnsiTheme="majorBidi" w:cstheme="majorBidi"/>
        </w:rPr>
        <w:t xml:space="preserve"> Gagasan ini oleh </w:t>
      </w:r>
      <w:proofErr w:type="spellStart"/>
      <w:r w:rsidR="004E7417" w:rsidRPr="002F18EF">
        <w:rPr>
          <w:rFonts w:asciiTheme="majorBidi" w:hAnsiTheme="majorBidi" w:cstheme="majorBidi"/>
        </w:rPr>
        <w:t>Sousa</w:t>
      </w:r>
      <w:proofErr w:type="spellEnd"/>
      <w:r w:rsidR="004E7417" w:rsidRPr="002F18EF">
        <w:rPr>
          <w:rFonts w:asciiTheme="majorBidi" w:hAnsiTheme="majorBidi" w:cstheme="majorBidi"/>
        </w:rPr>
        <w:t xml:space="preserve"> dituangkan dalam bukunya yang berjudul </w:t>
      </w:r>
      <w:r w:rsidR="004E7417" w:rsidRPr="002F18EF">
        <w:rPr>
          <w:rFonts w:asciiTheme="majorBidi" w:hAnsiTheme="majorBidi" w:cstheme="majorBidi"/>
          <w:i/>
          <w:noProof/>
        </w:rPr>
        <w:t>Toward a New Legal Common Sense: Law, Globalization, and Emancipation.</w:t>
      </w:r>
      <w:r w:rsidR="004E7417" w:rsidRPr="002F18EF">
        <w:rPr>
          <w:rStyle w:val="FootnoteReference"/>
          <w:rFonts w:asciiTheme="majorBidi" w:hAnsiTheme="majorBidi" w:cstheme="majorBidi"/>
        </w:rPr>
        <w:t xml:space="preserve"> </w:t>
      </w:r>
      <w:r w:rsidR="004E7417" w:rsidRPr="002F18EF">
        <w:rPr>
          <w:rStyle w:val="FootnoteReference"/>
          <w:rFonts w:asciiTheme="majorBidi" w:hAnsiTheme="majorBidi" w:cstheme="majorBidi"/>
        </w:rPr>
        <w:footnoteReference w:id="77"/>
      </w:r>
      <w:r w:rsidR="004E7417" w:rsidRPr="002F18EF">
        <w:rPr>
          <w:rFonts w:asciiTheme="majorBidi" w:hAnsiTheme="majorBidi" w:cstheme="majorBidi"/>
        </w:rPr>
        <w:t xml:space="preserve"> </w:t>
      </w:r>
      <w:r w:rsidR="004E7417" w:rsidRPr="002F18EF">
        <w:rPr>
          <w:rFonts w:asciiTheme="majorBidi" w:hAnsiTheme="majorBidi" w:cstheme="majorBidi"/>
          <w:kern w:val="0"/>
        </w:rPr>
        <w:t>Bagi</w:t>
      </w:r>
      <w:r w:rsidR="00E94F53" w:rsidRPr="002F18EF">
        <w:rPr>
          <w:rFonts w:asciiTheme="majorBidi" w:hAnsiTheme="majorBidi" w:cstheme="majorBidi"/>
          <w:kern w:val="0"/>
        </w:rPr>
        <w:t xml:space="preserve"> </w:t>
      </w:r>
      <w:proofErr w:type="spellStart"/>
      <w:r w:rsidR="004E7417" w:rsidRPr="002F18EF">
        <w:rPr>
          <w:rFonts w:asciiTheme="majorBidi" w:hAnsiTheme="majorBidi" w:cstheme="majorBidi"/>
          <w:kern w:val="0"/>
        </w:rPr>
        <w:t>de</w:t>
      </w:r>
      <w:proofErr w:type="spellEnd"/>
      <w:r w:rsidR="004E7417" w:rsidRPr="002F18EF">
        <w:rPr>
          <w:rFonts w:asciiTheme="majorBidi" w:hAnsiTheme="majorBidi" w:cstheme="majorBidi"/>
          <w:kern w:val="0"/>
        </w:rPr>
        <w:t xml:space="preserve"> </w:t>
      </w:r>
      <w:proofErr w:type="spellStart"/>
      <w:r w:rsidR="004E7417" w:rsidRPr="002F18EF">
        <w:rPr>
          <w:rFonts w:asciiTheme="majorBidi" w:hAnsiTheme="majorBidi" w:cstheme="majorBidi"/>
          <w:kern w:val="0"/>
        </w:rPr>
        <w:t>Sousa</w:t>
      </w:r>
      <w:proofErr w:type="spellEnd"/>
      <w:r w:rsidR="004E7417" w:rsidRPr="002F18EF">
        <w:rPr>
          <w:rFonts w:asciiTheme="majorBidi" w:hAnsiTheme="majorBidi" w:cstheme="majorBidi"/>
          <w:kern w:val="0"/>
        </w:rPr>
        <w:t xml:space="preserve"> </w:t>
      </w:r>
      <w:r w:rsidR="004E7417" w:rsidRPr="002F18EF">
        <w:rPr>
          <w:rFonts w:asciiTheme="majorBidi" w:hAnsiTheme="majorBidi" w:cstheme="majorBidi"/>
        </w:rPr>
        <w:t>Santos</w:t>
      </w:r>
      <w:r w:rsidR="004E7417" w:rsidRPr="002F18EF">
        <w:rPr>
          <w:rFonts w:asciiTheme="majorBidi" w:hAnsiTheme="majorBidi" w:cstheme="majorBidi"/>
          <w:kern w:val="0"/>
        </w:rPr>
        <w:t xml:space="preserve">, </w:t>
      </w:r>
      <w:proofErr w:type="spellStart"/>
      <w:r w:rsidR="004E7417" w:rsidRPr="002F18EF">
        <w:rPr>
          <w:rFonts w:asciiTheme="majorBidi" w:hAnsiTheme="majorBidi" w:cstheme="majorBidi"/>
          <w:kern w:val="0"/>
        </w:rPr>
        <w:t>interlegalitas</w:t>
      </w:r>
      <w:proofErr w:type="spellEnd"/>
      <w:r w:rsidR="004E7417" w:rsidRPr="002F18EF">
        <w:rPr>
          <w:rFonts w:asciiTheme="majorBidi" w:hAnsiTheme="majorBidi" w:cstheme="majorBidi"/>
          <w:kern w:val="0"/>
        </w:rPr>
        <w:t xml:space="preserve"> tidak terlalu menjadi tantangan, tetapi justru</w:t>
      </w:r>
      <w:r w:rsidR="00E94F53" w:rsidRPr="002F18EF">
        <w:rPr>
          <w:rFonts w:asciiTheme="majorBidi" w:hAnsiTheme="majorBidi" w:cstheme="majorBidi"/>
          <w:kern w:val="0"/>
        </w:rPr>
        <w:t xml:space="preserve"> </w:t>
      </w:r>
      <w:r w:rsidR="004E7417" w:rsidRPr="002F18EF">
        <w:rPr>
          <w:rFonts w:asciiTheme="majorBidi" w:hAnsiTheme="majorBidi" w:cstheme="majorBidi"/>
          <w:kern w:val="0"/>
        </w:rPr>
        <w:t>menjadi peluang</w:t>
      </w:r>
      <w:r w:rsidR="005B1D70">
        <w:rPr>
          <w:rFonts w:asciiTheme="majorBidi" w:hAnsiTheme="majorBidi" w:cstheme="majorBidi"/>
          <w:kern w:val="0"/>
        </w:rPr>
        <w:t>,</w:t>
      </w:r>
      <w:r w:rsidR="004E7417" w:rsidRPr="002F18EF">
        <w:rPr>
          <w:rFonts w:asciiTheme="majorBidi" w:hAnsiTheme="majorBidi" w:cstheme="majorBidi"/>
          <w:kern w:val="0"/>
        </w:rPr>
        <w:t xml:space="preserve"> porositas tatanan hukum memungkinkan orang untuk</w:t>
      </w:r>
      <w:r w:rsidR="00E94F53" w:rsidRPr="002F18EF">
        <w:rPr>
          <w:rFonts w:asciiTheme="majorBidi" w:hAnsiTheme="majorBidi" w:cstheme="majorBidi"/>
          <w:kern w:val="0"/>
        </w:rPr>
        <w:t xml:space="preserve"> </w:t>
      </w:r>
      <w:r w:rsidR="004E7417" w:rsidRPr="002F18EF">
        <w:rPr>
          <w:rFonts w:asciiTheme="majorBidi" w:hAnsiTheme="majorBidi" w:cstheme="majorBidi"/>
          <w:kern w:val="0"/>
        </w:rPr>
        <w:t>memilih tatanan hukum mana yang akan digunakan, dan biasanya, mereka</w:t>
      </w:r>
      <w:r w:rsidR="00E94F53" w:rsidRPr="002F18EF">
        <w:rPr>
          <w:rFonts w:asciiTheme="majorBidi" w:hAnsiTheme="majorBidi" w:cstheme="majorBidi"/>
          <w:kern w:val="0"/>
        </w:rPr>
        <w:t xml:space="preserve"> </w:t>
      </w:r>
      <w:r w:rsidR="004E7417" w:rsidRPr="002F18EF">
        <w:rPr>
          <w:rFonts w:asciiTheme="majorBidi" w:hAnsiTheme="majorBidi" w:cstheme="majorBidi"/>
          <w:kern w:val="0"/>
        </w:rPr>
        <w:t>akan menggunakan tatanan hukum yang paling selaras dengan klaim atau</w:t>
      </w:r>
      <w:r w:rsidR="00E94F53" w:rsidRPr="002F18EF">
        <w:rPr>
          <w:rFonts w:asciiTheme="majorBidi" w:hAnsiTheme="majorBidi" w:cstheme="majorBidi"/>
          <w:kern w:val="0"/>
        </w:rPr>
        <w:t xml:space="preserve"> </w:t>
      </w:r>
      <w:r w:rsidR="004E7417" w:rsidRPr="002F18EF">
        <w:rPr>
          <w:rFonts w:asciiTheme="majorBidi" w:hAnsiTheme="majorBidi" w:cstheme="majorBidi"/>
          <w:kern w:val="0"/>
        </w:rPr>
        <w:t>keluhan mereka.</w:t>
      </w:r>
      <w:r w:rsidR="005B1D70">
        <w:rPr>
          <w:rFonts w:asciiTheme="majorBidi" w:hAnsiTheme="majorBidi" w:cstheme="majorBidi"/>
          <w:kern w:val="0"/>
        </w:rPr>
        <w:t xml:space="preserve"> Berdasarkan hal ini, maka </w:t>
      </w:r>
      <w:proofErr w:type="spellStart"/>
      <w:r w:rsidR="005B1D70">
        <w:rPr>
          <w:rFonts w:asciiTheme="majorBidi" w:hAnsiTheme="majorBidi" w:cstheme="majorBidi"/>
          <w:kern w:val="0"/>
        </w:rPr>
        <w:t>interlegalitas</w:t>
      </w:r>
      <w:proofErr w:type="spellEnd"/>
      <w:r w:rsidR="005B1D70">
        <w:rPr>
          <w:rFonts w:asciiTheme="majorBidi" w:hAnsiTheme="majorBidi" w:cstheme="majorBidi"/>
          <w:kern w:val="0"/>
        </w:rPr>
        <w:t xml:space="preserve"> mendukung proses penyelundupan, yaitu mencari tatanan hukum yang selaras dengan keinginan pelaku, seperti yang terjadi dalam perkawinan beda agama ini.</w:t>
      </w:r>
    </w:p>
    <w:p w14:paraId="337AB71F" w14:textId="4578FF99" w:rsidR="004E7417" w:rsidRPr="002F18EF" w:rsidRDefault="004E7417" w:rsidP="007950E4">
      <w:pPr>
        <w:pStyle w:val="ListParagraph"/>
        <w:spacing w:after="0" w:line="240" w:lineRule="auto"/>
        <w:ind w:left="0" w:firstLine="567"/>
        <w:jc w:val="both"/>
        <w:rPr>
          <w:rFonts w:asciiTheme="majorBidi" w:hAnsiTheme="majorBidi" w:cstheme="majorBidi"/>
          <w:kern w:val="0"/>
        </w:rPr>
      </w:pPr>
      <w:r w:rsidRPr="002F18EF">
        <w:rPr>
          <w:rFonts w:asciiTheme="majorBidi" w:hAnsiTheme="majorBidi" w:cstheme="majorBidi"/>
          <w:kern w:val="0"/>
        </w:rPr>
        <w:t xml:space="preserve">Gagasan tentang </w:t>
      </w:r>
      <w:proofErr w:type="spellStart"/>
      <w:r w:rsidRPr="002F18EF">
        <w:rPr>
          <w:rFonts w:asciiTheme="majorBidi" w:hAnsiTheme="majorBidi" w:cstheme="majorBidi"/>
          <w:kern w:val="0"/>
        </w:rPr>
        <w:t>interlegalitas</w:t>
      </w:r>
      <w:proofErr w:type="spellEnd"/>
      <w:r w:rsidRPr="002F18EF">
        <w:rPr>
          <w:rFonts w:asciiTheme="majorBidi" w:hAnsiTheme="majorBidi" w:cstheme="majorBidi"/>
          <w:kern w:val="0"/>
        </w:rPr>
        <w:t xml:space="preserve"> diangkat oleh William </w:t>
      </w:r>
      <w:proofErr w:type="spellStart"/>
      <w:r w:rsidRPr="002F18EF">
        <w:rPr>
          <w:rFonts w:asciiTheme="majorBidi" w:hAnsiTheme="majorBidi" w:cstheme="majorBidi"/>
          <w:kern w:val="0"/>
        </w:rPr>
        <w:t>Twining</w:t>
      </w:r>
      <w:proofErr w:type="spellEnd"/>
      <w:r w:rsidRPr="002F18EF">
        <w:rPr>
          <w:rFonts w:asciiTheme="majorBidi" w:hAnsiTheme="majorBidi" w:cstheme="majorBidi"/>
          <w:kern w:val="0"/>
        </w:rPr>
        <w:t xml:space="preserve"> dalam</w:t>
      </w:r>
      <w:r w:rsidR="00E94F53" w:rsidRPr="002F18EF">
        <w:rPr>
          <w:rFonts w:asciiTheme="majorBidi" w:hAnsiTheme="majorBidi" w:cstheme="majorBidi"/>
          <w:kern w:val="0"/>
        </w:rPr>
        <w:t xml:space="preserve"> </w:t>
      </w:r>
      <w:r w:rsidRPr="002F18EF">
        <w:rPr>
          <w:rFonts w:asciiTheme="majorBidi" w:hAnsiTheme="majorBidi" w:cstheme="majorBidi"/>
          <w:kern w:val="0"/>
        </w:rPr>
        <w:t>berbagai kesempatan, namun sekali lagi tanpa menghubungkan kata tersebut</w:t>
      </w:r>
      <w:r w:rsidR="00E94F53" w:rsidRPr="002F18EF">
        <w:rPr>
          <w:rFonts w:asciiTheme="majorBidi" w:hAnsiTheme="majorBidi" w:cstheme="majorBidi"/>
          <w:kern w:val="0"/>
        </w:rPr>
        <w:t xml:space="preserve"> </w:t>
      </w:r>
      <w:r w:rsidRPr="002F18EF">
        <w:rPr>
          <w:rFonts w:asciiTheme="majorBidi" w:hAnsiTheme="majorBidi" w:cstheme="majorBidi"/>
          <w:kern w:val="0"/>
        </w:rPr>
        <w:t>dengan inovasi aktual dalam struktur deskriptif atau normatif wacana hukum.</w:t>
      </w:r>
      <w:r w:rsidR="00E94F53" w:rsidRPr="002F18EF">
        <w:rPr>
          <w:rFonts w:asciiTheme="majorBidi" w:hAnsiTheme="majorBidi" w:cstheme="majorBidi"/>
          <w:kern w:val="0"/>
        </w:rPr>
        <w:t xml:space="preserve"> </w:t>
      </w:r>
      <w:r w:rsidRPr="002F18EF">
        <w:rPr>
          <w:rFonts w:asciiTheme="majorBidi" w:hAnsiTheme="majorBidi" w:cstheme="majorBidi"/>
          <w:kern w:val="0"/>
        </w:rPr>
        <w:t xml:space="preserve">Dalam bukunya </w:t>
      </w:r>
      <w:proofErr w:type="spellStart"/>
      <w:r w:rsidRPr="002F18EF">
        <w:rPr>
          <w:rFonts w:asciiTheme="majorBidi" w:hAnsiTheme="majorBidi" w:cstheme="majorBidi"/>
          <w:i/>
          <w:iCs/>
          <w:kern w:val="0"/>
        </w:rPr>
        <w:t>Globalisation</w:t>
      </w:r>
      <w:proofErr w:type="spellEnd"/>
      <w:r w:rsidRPr="002F18EF">
        <w:rPr>
          <w:rFonts w:asciiTheme="majorBidi" w:hAnsiTheme="majorBidi" w:cstheme="majorBidi"/>
          <w:i/>
          <w:iCs/>
          <w:kern w:val="0"/>
        </w:rPr>
        <w:t xml:space="preserve"> </w:t>
      </w:r>
      <w:proofErr w:type="spellStart"/>
      <w:r w:rsidRPr="002F18EF">
        <w:rPr>
          <w:rFonts w:asciiTheme="majorBidi" w:hAnsiTheme="majorBidi" w:cstheme="majorBidi"/>
          <w:i/>
          <w:iCs/>
          <w:kern w:val="0"/>
        </w:rPr>
        <w:t>and</w:t>
      </w:r>
      <w:proofErr w:type="spellEnd"/>
      <w:r w:rsidRPr="002F18EF">
        <w:rPr>
          <w:rFonts w:asciiTheme="majorBidi" w:hAnsiTheme="majorBidi" w:cstheme="majorBidi"/>
          <w:i/>
          <w:iCs/>
          <w:kern w:val="0"/>
        </w:rPr>
        <w:t xml:space="preserve"> Legal </w:t>
      </w:r>
      <w:proofErr w:type="spellStart"/>
      <w:r w:rsidRPr="002F18EF">
        <w:rPr>
          <w:rFonts w:asciiTheme="majorBidi" w:hAnsiTheme="majorBidi" w:cstheme="majorBidi"/>
          <w:i/>
          <w:iCs/>
          <w:kern w:val="0"/>
        </w:rPr>
        <w:t>Theory</w:t>
      </w:r>
      <w:proofErr w:type="spellEnd"/>
      <w:r w:rsidRPr="002F18EF">
        <w:rPr>
          <w:rFonts w:asciiTheme="majorBidi" w:hAnsiTheme="majorBidi" w:cstheme="majorBidi"/>
          <w:kern w:val="0"/>
        </w:rPr>
        <w:t xml:space="preserve">, </w:t>
      </w:r>
      <w:proofErr w:type="spellStart"/>
      <w:r w:rsidRPr="002F18EF">
        <w:rPr>
          <w:rFonts w:asciiTheme="majorBidi" w:hAnsiTheme="majorBidi" w:cstheme="majorBidi"/>
          <w:kern w:val="0"/>
        </w:rPr>
        <w:t>Twining</w:t>
      </w:r>
      <w:proofErr w:type="spellEnd"/>
      <w:r w:rsidRPr="002F18EF">
        <w:rPr>
          <w:rFonts w:asciiTheme="majorBidi" w:hAnsiTheme="majorBidi" w:cstheme="majorBidi"/>
          <w:kern w:val="0"/>
        </w:rPr>
        <w:t xml:space="preserve"> menyarankan</w:t>
      </w:r>
      <w:r w:rsidR="00E94F53" w:rsidRPr="002F18EF">
        <w:rPr>
          <w:rFonts w:asciiTheme="majorBidi" w:hAnsiTheme="majorBidi" w:cstheme="majorBidi"/>
          <w:kern w:val="0"/>
        </w:rPr>
        <w:t xml:space="preserve"> </w:t>
      </w:r>
      <w:r w:rsidRPr="002F18EF">
        <w:rPr>
          <w:rFonts w:asciiTheme="majorBidi" w:hAnsiTheme="majorBidi" w:cstheme="majorBidi"/>
          <w:kern w:val="0"/>
        </w:rPr>
        <w:t xml:space="preserve">bahwa </w:t>
      </w:r>
      <w:proofErr w:type="spellStart"/>
      <w:r w:rsidRPr="002F18EF">
        <w:rPr>
          <w:rFonts w:asciiTheme="majorBidi" w:hAnsiTheme="majorBidi" w:cstheme="majorBidi"/>
          <w:kern w:val="0"/>
        </w:rPr>
        <w:t>interlegalitas</w:t>
      </w:r>
      <w:proofErr w:type="spellEnd"/>
      <w:r w:rsidRPr="002F18EF">
        <w:rPr>
          <w:rFonts w:asciiTheme="majorBidi" w:hAnsiTheme="majorBidi" w:cstheme="majorBidi"/>
          <w:kern w:val="0"/>
        </w:rPr>
        <w:t xml:space="preserve"> dapat memberikan kerangka kerja yang berguna untuk</w:t>
      </w:r>
      <w:r w:rsidR="00E94F53" w:rsidRPr="002F18EF">
        <w:rPr>
          <w:rFonts w:asciiTheme="majorBidi" w:hAnsiTheme="majorBidi" w:cstheme="majorBidi"/>
          <w:kern w:val="0"/>
        </w:rPr>
        <w:t xml:space="preserve"> </w:t>
      </w:r>
      <w:r w:rsidRPr="002F18EF">
        <w:rPr>
          <w:rFonts w:asciiTheme="majorBidi" w:hAnsiTheme="majorBidi" w:cstheme="majorBidi"/>
          <w:kern w:val="0"/>
        </w:rPr>
        <w:t>penelitian lebih lanjut, dan kemudian menyajikan sesuatu yang bersifat garis</w:t>
      </w:r>
      <w:r w:rsidR="00E94F53" w:rsidRPr="002F18EF">
        <w:rPr>
          <w:rFonts w:asciiTheme="majorBidi" w:hAnsiTheme="majorBidi" w:cstheme="majorBidi"/>
          <w:kern w:val="0"/>
        </w:rPr>
        <w:t xml:space="preserve"> </w:t>
      </w:r>
      <w:r w:rsidRPr="002F18EF">
        <w:rPr>
          <w:rFonts w:asciiTheme="majorBidi" w:hAnsiTheme="majorBidi" w:cstheme="majorBidi"/>
          <w:kern w:val="0"/>
        </w:rPr>
        <w:t>besar sebelum mendalami perdebatan yang berbeda.</w:t>
      </w:r>
      <w:r w:rsidR="00C026D8" w:rsidRPr="002F18EF">
        <w:rPr>
          <w:rStyle w:val="FootnoteReference"/>
          <w:rFonts w:asciiTheme="majorBidi" w:hAnsiTheme="majorBidi" w:cstheme="majorBidi"/>
          <w:kern w:val="0"/>
        </w:rPr>
        <w:footnoteReference w:id="78"/>
      </w:r>
      <w:r w:rsidRPr="002F18EF">
        <w:rPr>
          <w:rFonts w:asciiTheme="majorBidi" w:hAnsiTheme="majorBidi" w:cstheme="majorBidi"/>
          <w:kern w:val="0"/>
        </w:rPr>
        <w:t xml:space="preserve"> </w:t>
      </w:r>
      <w:r w:rsidR="005B1D70" w:rsidRPr="002F18EF">
        <w:rPr>
          <w:rFonts w:asciiTheme="majorBidi" w:hAnsiTheme="majorBidi" w:cstheme="majorBidi"/>
          <w:kern w:val="0"/>
        </w:rPr>
        <w:t xml:space="preserve">Dalam </w:t>
      </w:r>
      <w:r w:rsidRPr="002F18EF">
        <w:rPr>
          <w:rFonts w:asciiTheme="majorBidi" w:hAnsiTheme="majorBidi" w:cstheme="majorBidi"/>
          <w:kern w:val="0"/>
        </w:rPr>
        <w:t>sebuah</w:t>
      </w:r>
      <w:r w:rsidR="00E94F53" w:rsidRPr="002F18EF">
        <w:rPr>
          <w:rFonts w:asciiTheme="majorBidi" w:hAnsiTheme="majorBidi" w:cstheme="majorBidi"/>
          <w:kern w:val="0"/>
        </w:rPr>
        <w:t xml:space="preserve"> </w:t>
      </w:r>
      <w:r w:rsidRPr="002F18EF">
        <w:rPr>
          <w:rFonts w:asciiTheme="majorBidi" w:hAnsiTheme="majorBidi" w:cstheme="majorBidi"/>
          <w:kern w:val="0"/>
        </w:rPr>
        <w:t xml:space="preserve">artikel singkat, </w:t>
      </w:r>
      <w:proofErr w:type="spellStart"/>
      <w:r w:rsidRPr="002F18EF">
        <w:rPr>
          <w:rFonts w:asciiTheme="majorBidi" w:hAnsiTheme="majorBidi" w:cstheme="majorBidi"/>
          <w:kern w:val="0"/>
        </w:rPr>
        <w:t>Twining</w:t>
      </w:r>
      <w:proofErr w:type="spellEnd"/>
      <w:r w:rsidRPr="002F18EF">
        <w:rPr>
          <w:rFonts w:asciiTheme="majorBidi" w:hAnsiTheme="majorBidi" w:cstheme="majorBidi"/>
          <w:kern w:val="0"/>
        </w:rPr>
        <w:t xml:space="preserve"> mencurahkan perhatian untuk</w:t>
      </w:r>
      <w:r w:rsidR="00E94F53" w:rsidRPr="002F18EF">
        <w:rPr>
          <w:rFonts w:asciiTheme="majorBidi" w:hAnsiTheme="majorBidi" w:cstheme="majorBidi"/>
          <w:kern w:val="0"/>
        </w:rPr>
        <w:t xml:space="preserve"> </w:t>
      </w:r>
      <w:r w:rsidRPr="002F18EF">
        <w:rPr>
          <w:rFonts w:asciiTheme="majorBidi" w:hAnsiTheme="majorBidi" w:cstheme="majorBidi"/>
          <w:kern w:val="0"/>
        </w:rPr>
        <w:t xml:space="preserve">mengklasifikasikan </w:t>
      </w:r>
      <w:proofErr w:type="spellStart"/>
      <w:r w:rsidRPr="002F18EF">
        <w:rPr>
          <w:rFonts w:asciiTheme="majorBidi" w:hAnsiTheme="majorBidi" w:cstheme="majorBidi"/>
          <w:kern w:val="0"/>
        </w:rPr>
        <w:t>interlegalitas</w:t>
      </w:r>
      <w:proofErr w:type="spellEnd"/>
      <w:r w:rsidRPr="002F18EF">
        <w:rPr>
          <w:rFonts w:asciiTheme="majorBidi" w:hAnsiTheme="majorBidi" w:cstheme="majorBidi"/>
          <w:kern w:val="0"/>
        </w:rPr>
        <w:t>, mengamati (antara lain) bahwa tatanan atau</w:t>
      </w:r>
      <w:r w:rsidR="00E94F53" w:rsidRPr="002F18EF">
        <w:rPr>
          <w:rFonts w:asciiTheme="majorBidi" w:hAnsiTheme="majorBidi" w:cstheme="majorBidi"/>
          <w:kern w:val="0"/>
        </w:rPr>
        <w:t xml:space="preserve"> </w:t>
      </w:r>
      <w:r w:rsidRPr="002F18EF">
        <w:rPr>
          <w:rFonts w:asciiTheme="majorBidi" w:hAnsiTheme="majorBidi" w:cstheme="majorBidi"/>
          <w:kern w:val="0"/>
        </w:rPr>
        <w:t>ruang yang berbeda dapat hidup dalam konflik tetapi juga dalam harmoni</w:t>
      </w:r>
      <w:r w:rsidR="00E94F53" w:rsidRPr="002F18EF">
        <w:rPr>
          <w:rFonts w:asciiTheme="majorBidi" w:hAnsiTheme="majorBidi" w:cstheme="majorBidi"/>
          <w:kern w:val="0"/>
        </w:rPr>
        <w:t xml:space="preserve"> </w:t>
      </w:r>
      <w:r w:rsidRPr="002F18EF">
        <w:rPr>
          <w:rFonts w:asciiTheme="majorBidi" w:hAnsiTheme="majorBidi" w:cstheme="majorBidi"/>
          <w:kern w:val="0"/>
        </w:rPr>
        <w:t>satu sama lain.</w:t>
      </w:r>
      <w:r w:rsidR="00C026D8" w:rsidRPr="002F18EF">
        <w:rPr>
          <w:rStyle w:val="FootnoteReference"/>
          <w:rFonts w:asciiTheme="majorBidi" w:hAnsiTheme="majorBidi" w:cstheme="majorBidi"/>
          <w:kern w:val="0"/>
        </w:rPr>
        <w:footnoteReference w:id="79"/>
      </w:r>
      <w:r w:rsidRPr="002F18EF">
        <w:rPr>
          <w:rFonts w:asciiTheme="majorBidi" w:hAnsiTheme="majorBidi" w:cstheme="majorBidi"/>
          <w:kern w:val="0"/>
        </w:rPr>
        <w:t xml:space="preserve"> Sebagai dukungan, penulis lain, tanpa menggunakan</w:t>
      </w:r>
      <w:r w:rsidR="00E94F53" w:rsidRPr="002F18EF">
        <w:rPr>
          <w:rFonts w:asciiTheme="majorBidi" w:hAnsiTheme="majorBidi" w:cstheme="majorBidi"/>
          <w:kern w:val="0"/>
        </w:rPr>
        <w:t xml:space="preserve"> </w:t>
      </w:r>
      <w:r w:rsidRPr="002F18EF">
        <w:rPr>
          <w:rFonts w:asciiTheme="majorBidi" w:hAnsiTheme="majorBidi" w:cstheme="majorBidi"/>
          <w:kern w:val="0"/>
        </w:rPr>
        <w:t xml:space="preserve">kosakata </w:t>
      </w:r>
      <w:r w:rsidR="005B1D70" w:rsidRPr="002F18EF">
        <w:rPr>
          <w:rFonts w:asciiTheme="majorBidi" w:hAnsiTheme="majorBidi" w:cstheme="majorBidi"/>
          <w:kern w:val="0"/>
        </w:rPr>
        <w:t>antar legalitas</w:t>
      </w:r>
      <w:r w:rsidRPr="002F18EF">
        <w:rPr>
          <w:rFonts w:asciiTheme="majorBidi" w:hAnsiTheme="majorBidi" w:cstheme="majorBidi"/>
          <w:kern w:val="0"/>
        </w:rPr>
        <w:t>, telah menyarankan bahwa, misalnya, banyak hukum</w:t>
      </w:r>
      <w:r w:rsidR="00E94F53" w:rsidRPr="002F18EF">
        <w:rPr>
          <w:rFonts w:asciiTheme="majorBidi" w:hAnsiTheme="majorBidi" w:cstheme="majorBidi"/>
          <w:kern w:val="0"/>
        </w:rPr>
        <w:t xml:space="preserve"> </w:t>
      </w:r>
      <w:r w:rsidR="005B1D70">
        <w:rPr>
          <w:rFonts w:asciiTheme="majorBidi" w:hAnsiTheme="majorBidi" w:cstheme="majorBidi"/>
          <w:kern w:val="0"/>
        </w:rPr>
        <w:t>transnasional yang</w:t>
      </w:r>
      <w:r w:rsidRPr="002F18EF">
        <w:rPr>
          <w:rFonts w:asciiTheme="majorBidi" w:hAnsiTheme="majorBidi" w:cstheme="majorBidi"/>
          <w:kern w:val="0"/>
        </w:rPr>
        <w:t xml:space="preserve"> bergantung pada hukum nasional untuk implementasinya, dan</w:t>
      </w:r>
      <w:r w:rsidR="00E94F53" w:rsidRPr="002F18EF">
        <w:rPr>
          <w:rFonts w:asciiTheme="majorBidi" w:hAnsiTheme="majorBidi" w:cstheme="majorBidi"/>
          <w:kern w:val="0"/>
        </w:rPr>
        <w:t xml:space="preserve"> </w:t>
      </w:r>
      <w:r w:rsidRPr="002F18EF">
        <w:rPr>
          <w:rFonts w:asciiTheme="majorBidi" w:hAnsiTheme="majorBidi" w:cstheme="majorBidi"/>
          <w:kern w:val="0"/>
        </w:rPr>
        <w:t>dengan demikian hukum internasional dan domestik dapat bersama-sama</w:t>
      </w:r>
      <w:r w:rsidR="00E94F53" w:rsidRPr="002F18EF">
        <w:rPr>
          <w:rFonts w:asciiTheme="majorBidi" w:hAnsiTheme="majorBidi" w:cstheme="majorBidi"/>
          <w:kern w:val="0"/>
        </w:rPr>
        <w:t xml:space="preserve"> </w:t>
      </w:r>
      <w:r w:rsidRPr="002F18EF">
        <w:rPr>
          <w:rFonts w:asciiTheme="majorBidi" w:hAnsiTheme="majorBidi" w:cstheme="majorBidi"/>
          <w:kern w:val="0"/>
        </w:rPr>
        <w:t>membangun argumen hukum yang kuat.</w:t>
      </w:r>
    </w:p>
    <w:p w14:paraId="5CFCBE00" w14:textId="37282973" w:rsidR="00F45515" w:rsidRPr="002F18EF" w:rsidRDefault="00F45515"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Menurut Andre, pendekatan </w:t>
      </w:r>
      <w:proofErr w:type="spellStart"/>
      <w:r w:rsidRPr="002F18EF">
        <w:rPr>
          <w:rFonts w:asciiTheme="majorBidi" w:hAnsiTheme="majorBidi" w:cstheme="majorBidi"/>
          <w:i/>
          <w:iCs/>
        </w:rPr>
        <w:t>interlegality</w:t>
      </w:r>
      <w:proofErr w:type="spellEnd"/>
      <w:r w:rsidRPr="002F18EF">
        <w:rPr>
          <w:rFonts w:asciiTheme="majorBidi" w:hAnsiTheme="majorBidi" w:cstheme="majorBidi"/>
        </w:rPr>
        <w:t xml:space="preserve"> ini adalah pendekatan baru di tahun 2000-an. Ini mencoba mengungkapkan dua aspek penting penelitian hukum</w:t>
      </w:r>
      <w:r w:rsidR="005B1D70">
        <w:rPr>
          <w:rFonts w:asciiTheme="majorBidi" w:hAnsiTheme="majorBidi" w:cstheme="majorBidi"/>
        </w:rPr>
        <w:t xml:space="preserve">, yaitu </w:t>
      </w:r>
      <w:r w:rsidRPr="002F18EF">
        <w:rPr>
          <w:rFonts w:asciiTheme="majorBidi" w:hAnsiTheme="majorBidi" w:cstheme="majorBidi"/>
        </w:rPr>
        <w:t>proses dan hasil  dalam menyelesaikan masalah atau konflik hukum yang terjadi dalam masyarakat. Selama proses ini, terjadi adaptasi antara otoritas hukum nasional dan internasional yang mendominasi otoritas hukum lokal. Hasilnya</w:t>
      </w:r>
      <w:r w:rsidR="005B1D70">
        <w:rPr>
          <w:rFonts w:asciiTheme="majorBidi" w:hAnsiTheme="majorBidi" w:cstheme="majorBidi"/>
        </w:rPr>
        <w:t xml:space="preserve"> </w:t>
      </w:r>
      <w:r w:rsidRPr="002F18EF">
        <w:rPr>
          <w:rFonts w:asciiTheme="majorBidi" w:hAnsiTheme="majorBidi" w:cstheme="majorBidi"/>
        </w:rPr>
        <w:t>adalah perkawinan yang berhasil antara keduanya.</w:t>
      </w:r>
      <w:r w:rsidRPr="002F18EF">
        <w:rPr>
          <w:rStyle w:val="FootnoteReference"/>
          <w:rFonts w:asciiTheme="majorBidi" w:hAnsiTheme="majorBidi" w:cstheme="majorBidi"/>
        </w:rPr>
        <w:footnoteReference w:id="80"/>
      </w:r>
    </w:p>
    <w:p w14:paraId="7F7D889E" w14:textId="3AE03355" w:rsidR="00F45515" w:rsidRPr="002F18EF" w:rsidRDefault="00F45515" w:rsidP="007950E4">
      <w:pPr>
        <w:pStyle w:val="ListParagraph"/>
        <w:spacing w:after="0" w:line="240" w:lineRule="auto"/>
        <w:ind w:left="0" w:firstLine="567"/>
        <w:jc w:val="both"/>
        <w:rPr>
          <w:rFonts w:asciiTheme="majorBidi" w:hAnsiTheme="majorBidi" w:cstheme="majorBidi"/>
        </w:rPr>
      </w:pPr>
      <w:r w:rsidRPr="002F18EF">
        <w:rPr>
          <w:rFonts w:asciiTheme="majorBidi" w:hAnsiTheme="majorBidi" w:cstheme="majorBidi"/>
        </w:rPr>
        <w:t xml:space="preserve">Pada dasarnya, Santos menggunakan istilah </w:t>
      </w:r>
      <w:r w:rsidR="00602018" w:rsidRPr="002F18EF">
        <w:rPr>
          <w:rFonts w:asciiTheme="majorBidi" w:hAnsiTheme="majorBidi" w:cstheme="majorBidi"/>
        </w:rPr>
        <w:t>“</w:t>
      </w:r>
      <w:proofErr w:type="spellStart"/>
      <w:r w:rsidRPr="005B1D70">
        <w:rPr>
          <w:rFonts w:asciiTheme="majorBidi" w:hAnsiTheme="majorBidi" w:cstheme="majorBidi"/>
          <w:i/>
          <w:iCs/>
        </w:rPr>
        <w:t>interlegality</w:t>
      </w:r>
      <w:proofErr w:type="spellEnd"/>
      <w:r w:rsidR="00602018" w:rsidRPr="002F18EF">
        <w:rPr>
          <w:rFonts w:asciiTheme="majorBidi" w:hAnsiTheme="majorBidi" w:cstheme="majorBidi"/>
        </w:rPr>
        <w:t>”</w:t>
      </w:r>
      <w:r w:rsidRPr="002F18EF">
        <w:rPr>
          <w:rFonts w:asciiTheme="majorBidi" w:hAnsiTheme="majorBidi" w:cstheme="majorBidi"/>
        </w:rPr>
        <w:t xml:space="preserve"> untuk menjelaskan keberagaman hukum, atau </w:t>
      </w:r>
      <w:proofErr w:type="spellStart"/>
      <w:r w:rsidRPr="002F18EF">
        <w:rPr>
          <w:rFonts w:asciiTheme="majorBidi" w:hAnsiTheme="majorBidi" w:cstheme="majorBidi"/>
        </w:rPr>
        <w:t>pluralitas</w:t>
      </w:r>
      <w:proofErr w:type="spellEnd"/>
      <w:r w:rsidRPr="002F18EF">
        <w:rPr>
          <w:rFonts w:asciiTheme="majorBidi" w:hAnsiTheme="majorBidi" w:cstheme="majorBidi"/>
        </w:rPr>
        <w:t xml:space="preserve"> hukum, yang terjadi setiap hari dalam kehidupan bermasyarakat. Dalam kehidupan sehari-hari, satu hukum dengan norma hukum lainnya hidup berdampingan dalam masyarakat,</w:t>
      </w:r>
      <w:r w:rsidR="00FD0051" w:rsidRPr="002F18EF">
        <w:rPr>
          <w:rStyle w:val="FootnoteReference"/>
          <w:rFonts w:asciiTheme="majorBidi" w:hAnsiTheme="majorBidi" w:cstheme="majorBidi"/>
        </w:rPr>
        <w:footnoteReference w:id="81"/>
      </w:r>
      <w:r w:rsidRPr="002F18EF">
        <w:rPr>
          <w:rFonts w:asciiTheme="majorBidi" w:hAnsiTheme="majorBidi" w:cstheme="majorBidi"/>
        </w:rPr>
        <w:t xml:space="preserve"> yang menghendaki satu norma hukum dengan norma hukum lainnya saling mengawini (</w:t>
      </w:r>
      <w:proofErr w:type="spellStart"/>
      <w:r w:rsidRPr="005B1D70">
        <w:rPr>
          <w:rFonts w:asciiTheme="majorBidi" w:hAnsiTheme="majorBidi" w:cstheme="majorBidi"/>
          <w:i/>
          <w:iCs/>
        </w:rPr>
        <w:t>cross</w:t>
      </w:r>
      <w:proofErr w:type="spellEnd"/>
      <w:r w:rsidRPr="002F18EF">
        <w:rPr>
          <w:rFonts w:asciiTheme="majorBidi" w:hAnsiTheme="majorBidi" w:cstheme="majorBidi"/>
        </w:rPr>
        <w:t>), melakukan penetrasi (</w:t>
      </w:r>
      <w:proofErr w:type="spellStart"/>
      <w:r w:rsidRPr="002F18EF">
        <w:rPr>
          <w:rFonts w:asciiTheme="majorBidi" w:hAnsiTheme="majorBidi" w:cstheme="majorBidi"/>
          <w:i/>
          <w:iCs/>
        </w:rPr>
        <w:t>interpenetration</w:t>
      </w:r>
      <w:proofErr w:type="spellEnd"/>
      <w:r w:rsidRPr="002F18EF">
        <w:rPr>
          <w:rFonts w:asciiTheme="majorBidi" w:hAnsiTheme="majorBidi" w:cstheme="majorBidi"/>
        </w:rPr>
        <w:t>), atau mempengaruhi satu sama lain, atau saling melengkapi atau mengimbangi (</w:t>
      </w:r>
      <w:proofErr w:type="spellStart"/>
      <w:r w:rsidRPr="002F18EF">
        <w:rPr>
          <w:rFonts w:asciiTheme="majorBidi" w:hAnsiTheme="majorBidi" w:cstheme="majorBidi"/>
          <w:i/>
          <w:iCs/>
        </w:rPr>
        <w:t>complementary</w:t>
      </w:r>
      <w:proofErr w:type="spellEnd"/>
      <w:r w:rsidRPr="002F18EF">
        <w:rPr>
          <w:rFonts w:asciiTheme="majorBidi" w:hAnsiTheme="majorBidi" w:cstheme="majorBidi"/>
        </w:rPr>
        <w:t xml:space="preserve">). Pendekatan </w:t>
      </w:r>
      <w:proofErr w:type="spellStart"/>
      <w:r w:rsidRPr="005B1D70">
        <w:rPr>
          <w:rFonts w:asciiTheme="majorBidi" w:hAnsiTheme="majorBidi" w:cstheme="majorBidi"/>
          <w:i/>
          <w:iCs/>
        </w:rPr>
        <w:t>interlegality</w:t>
      </w:r>
      <w:proofErr w:type="spellEnd"/>
      <w:r w:rsidRPr="002F18EF">
        <w:rPr>
          <w:rFonts w:asciiTheme="majorBidi" w:hAnsiTheme="majorBidi" w:cstheme="majorBidi"/>
        </w:rPr>
        <w:t xml:space="preserve"> ini mengakui bahwa konflik dan kontestasi atau pertarungan norma hukum terjadi ketika ada pluralisme atau keragaman hukum.</w:t>
      </w:r>
      <w:r w:rsidR="00FD0051" w:rsidRPr="002F18EF">
        <w:rPr>
          <w:rStyle w:val="FootnoteReference"/>
          <w:rFonts w:asciiTheme="majorBidi" w:hAnsiTheme="majorBidi" w:cstheme="majorBidi"/>
        </w:rPr>
        <w:footnoteReference w:id="82"/>
      </w:r>
      <w:r w:rsidRPr="002F18EF">
        <w:rPr>
          <w:rFonts w:asciiTheme="majorBidi" w:hAnsiTheme="majorBidi" w:cstheme="majorBidi"/>
        </w:rPr>
        <w:t xml:space="preserve"> Wai berpendapat bahwa kontestasi hukum adalah komponen penting yang akan mendorong munculnya komitmen kolektif untuk mewujudkan norma yang mencakup lebih dari satu negara.</w:t>
      </w:r>
      <w:r w:rsidR="00FD0051" w:rsidRPr="002F18EF">
        <w:rPr>
          <w:rStyle w:val="FootnoteReference"/>
          <w:rFonts w:asciiTheme="majorBidi" w:hAnsiTheme="majorBidi" w:cstheme="majorBidi"/>
        </w:rPr>
        <w:footnoteReference w:id="83"/>
      </w:r>
    </w:p>
    <w:p w14:paraId="3BB2AEDE" w14:textId="56E57AD6" w:rsidR="008508A1" w:rsidRPr="002F18EF" w:rsidRDefault="002B19AB" w:rsidP="007950E4">
      <w:pPr>
        <w:pStyle w:val="ListParagraph"/>
        <w:spacing w:after="0" w:line="240" w:lineRule="auto"/>
        <w:ind w:left="0" w:firstLine="567"/>
        <w:jc w:val="both"/>
        <w:rPr>
          <w:rFonts w:asciiTheme="majorBidi" w:hAnsiTheme="majorBidi" w:cstheme="majorBidi"/>
        </w:rPr>
      </w:pPr>
      <w:proofErr w:type="spellStart"/>
      <w:r w:rsidRPr="002F18EF">
        <w:rPr>
          <w:rFonts w:asciiTheme="majorBidi" w:hAnsiTheme="majorBidi" w:cstheme="majorBidi"/>
        </w:rPr>
        <w:lastRenderedPageBreak/>
        <w:t>Interlegalitas</w:t>
      </w:r>
      <w:proofErr w:type="spellEnd"/>
      <w:r w:rsidRPr="002F18EF">
        <w:rPr>
          <w:rFonts w:asciiTheme="majorBidi" w:hAnsiTheme="majorBidi" w:cstheme="majorBidi"/>
        </w:rPr>
        <w:t xml:space="preserve"> </w:t>
      </w:r>
      <w:r w:rsidR="008508A1" w:rsidRPr="002F18EF">
        <w:rPr>
          <w:rFonts w:asciiTheme="majorBidi" w:hAnsiTheme="majorBidi" w:cstheme="majorBidi"/>
        </w:rPr>
        <w:t xml:space="preserve">bukanlah </w:t>
      </w:r>
      <w:r w:rsidRPr="002F18EF">
        <w:rPr>
          <w:rFonts w:asciiTheme="majorBidi" w:hAnsiTheme="majorBidi" w:cstheme="majorBidi"/>
          <w:i/>
          <w:iCs/>
        </w:rPr>
        <w:t xml:space="preserve">forum </w:t>
      </w:r>
      <w:proofErr w:type="spellStart"/>
      <w:r w:rsidRPr="002F18EF">
        <w:rPr>
          <w:rFonts w:asciiTheme="majorBidi" w:hAnsiTheme="majorBidi" w:cstheme="majorBidi"/>
          <w:i/>
          <w:iCs/>
        </w:rPr>
        <w:t>shopping</w:t>
      </w:r>
      <w:proofErr w:type="spellEnd"/>
      <w:r w:rsidR="00057CBD">
        <w:rPr>
          <w:rStyle w:val="FootnoteReference"/>
          <w:rFonts w:asciiTheme="majorBidi" w:hAnsiTheme="majorBidi" w:cstheme="majorBidi"/>
          <w:i/>
          <w:iCs/>
        </w:rPr>
        <w:footnoteReference w:id="84"/>
      </w:r>
      <w:r w:rsidRPr="002F18EF">
        <w:rPr>
          <w:rFonts w:asciiTheme="majorBidi" w:hAnsiTheme="majorBidi" w:cstheme="majorBidi"/>
        </w:rPr>
        <w:t xml:space="preserve"> bagi</w:t>
      </w:r>
      <w:r w:rsidR="008508A1" w:rsidRPr="002F18EF">
        <w:rPr>
          <w:rFonts w:asciiTheme="majorBidi" w:hAnsiTheme="majorBidi" w:cstheme="majorBidi"/>
        </w:rPr>
        <w:t xml:space="preserve"> individu dan kelompok yang tidak puas yang dapat mencari</w:t>
      </w:r>
      <w:r w:rsidRPr="002F18EF">
        <w:rPr>
          <w:rFonts w:asciiTheme="majorBidi" w:hAnsiTheme="majorBidi" w:cstheme="majorBidi"/>
        </w:rPr>
        <w:t xml:space="preserve"> </w:t>
      </w:r>
      <w:r w:rsidR="008508A1" w:rsidRPr="002F18EF">
        <w:rPr>
          <w:rFonts w:asciiTheme="majorBidi" w:hAnsiTheme="majorBidi" w:cstheme="majorBidi"/>
        </w:rPr>
        <w:t>yurisdiksi yang paling menguntungkan bagi klaim mereka</w:t>
      </w:r>
      <w:r w:rsidR="00CD250D">
        <w:rPr>
          <w:rFonts w:asciiTheme="majorBidi" w:hAnsiTheme="majorBidi" w:cstheme="majorBidi"/>
        </w:rPr>
        <w:t>,</w:t>
      </w:r>
      <w:r w:rsidR="00CD250D">
        <w:rPr>
          <w:rStyle w:val="FootnoteReference"/>
          <w:rFonts w:asciiTheme="majorBidi" w:hAnsiTheme="majorBidi" w:cstheme="majorBidi"/>
        </w:rPr>
        <w:footnoteReference w:id="85"/>
      </w:r>
      <w:r w:rsidR="00CD250D">
        <w:rPr>
          <w:rFonts w:asciiTheme="majorBidi" w:hAnsiTheme="majorBidi" w:cstheme="majorBidi"/>
        </w:rPr>
        <w:t xml:space="preserve"> tidak</w:t>
      </w:r>
      <w:r w:rsidRPr="002F18EF">
        <w:rPr>
          <w:rFonts w:asciiTheme="majorBidi" w:hAnsiTheme="majorBidi" w:cstheme="majorBidi"/>
        </w:rPr>
        <w:t xml:space="preserve"> seperti halnya penyelundupan hukum dalam melakukan perkawinan beda agama di luar negeri.</w:t>
      </w:r>
      <w:r w:rsidR="008508A1" w:rsidRPr="002F18EF">
        <w:rPr>
          <w:rFonts w:asciiTheme="majorBidi" w:hAnsiTheme="majorBidi" w:cstheme="majorBidi"/>
        </w:rPr>
        <w:t xml:space="preserve"> </w:t>
      </w:r>
      <w:r w:rsidRPr="002F18EF">
        <w:rPr>
          <w:rFonts w:asciiTheme="majorBidi" w:hAnsiTheme="majorBidi" w:cstheme="majorBidi"/>
        </w:rPr>
        <w:t xml:space="preserve">Justru hal ini dapat dihindari dengan adanya </w:t>
      </w:r>
      <w:proofErr w:type="spellStart"/>
      <w:r w:rsidRPr="002F18EF">
        <w:rPr>
          <w:rFonts w:asciiTheme="majorBidi" w:hAnsiTheme="majorBidi" w:cstheme="majorBidi"/>
        </w:rPr>
        <w:t>interlegalitas</w:t>
      </w:r>
      <w:proofErr w:type="spellEnd"/>
      <w:r w:rsidR="004E2D9B" w:rsidRPr="002F18EF">
        <w:rPr>
          <w:rFonts w:asciiTheme="majorBidi" w:hAnsiTheme="majorBidi" w:cstheme="majorBidi"/>
        </w:rPr>
        <w:t xml:space="preserve"> tersebut</w:t>
      </w:r>
      <w:r w:rsidRPr="002F18EF">
        <w:rPr>
          <w:rFonts w:asciiTheme="majorBidi" w:hAnsiTheme="majorBidi" w:cstheme="majorBidi"/>
        </w:rPr>
        <w:t>. I</w:t>
      </w:r>
      <w:r w:rsidR="008508A1" w:rsidRPr="002F18EF">
        <w:rPr>
          <w:rFonts w:asciiTheme="majorBidi" w:hAnsiTheme="majorBidi" w:cstheme="majorBidi"/>
        </w:rPr>
        <w:t>nti</w:t>
      </w:r>
      <w:r w:rsidRPr="002F18EF">
        <w:rPr>
          <w:rFonts w:asciiTheme="majorBidi" w:hAnsiTheme="majorBidi" w:cstheme="majorBidi"/>
        </w:rPr>
        <w:t xml:space="preserve"> </w:t>
      </w:r>
      <w:r w:rsidR="008508A1" w:rsidRPr="002F18EF">
        <w:rPr>
          <w:rFonts w:asciiTheme="majorBidi" w:hAnsiTheme="majorBidi" w:cstheme="majorBidi"/>
        </w:rPr>
        <w:t xml:space="preserve">dari </w:t>
      </w:r>
      <w:proofErr w:type="spellStart"/>
      <w:r w:rsidR="008508A1" w:rsidRPr="002F18EF">
        <w:rPr>
          <w:rFonts w:asciiTheme="majorBidi" w:hAnsiTheme="majorBidi" w:cstheme="majorBidi"/>
        </w:rPr>
        <w:t>interlegalitas</w:t>
      </w:r>
      <w:proofErr w:type="spellEnd"/>
      <w:r w:rsidR="008508A1" w:rsidRPr="002F18EF">
        <w:rPr>
          <w:rFonts w:asciiTheme="majorBidi" w:hAnsiTheme="majorBidi" w:cstheme="majorBidi"/>
        </w:rPr>
        <w:t xml:space="preserve"> adalah bahwa hukum mungkin akan menunjukkan solusi</w:t>
      </w:r>
      <w:r w:rsidRPr="002F18EF">
        <w:rPr>
          <w:rFonts w:asciiTheme="majorBidi" w:hAnsiTheme="majorBidi" w:cstheme="majorBidi"/>
        </w:rPr>
        <w:t xml:space="preserve"> </w:t>
      </w:r>
      <w:r w:rsidR="008508A1" w:rsidRPr="002F18EF">
        <w:rPr>
          <w:rFonts w:asciiTheme="majorBidi" w:hAnsiTheme="majorBidi" w:cstheme="majorBidi"/>
        </w:rPr>
        <w:t>untuk suatu perselisihan bukan dengan mengambil perspektif satu yurisdiksi</w:t>
      </w:r>
      <w:r w:rsidRPr="002F18EF">
        <w:rPr>
          <w:rFonts w:asciiTheme="majorBidi" w:hAnsiTheme="majorBidi" w:cstheme="majorBidi"/>
        </w:rPr>
        <w:t xml:space="preserve"> </w:t>
      </w:r>
      <w:r w:rsidR="008508A1" w:rsidRPr="002F18EF">
        <w:rPr>
          <w:rFonts w:asciiTheme="majorBidi" w:hAnsiTheme="majorBidi" w:cstheme="majorBidi"/>
        </w:rPr>
        <w:t>pada satu waktu tetapi</w:t>
      </w:r>
      <w:r w:rsidRPr="002F18EF">
        <w:rPr>
          <w:rFonts w:asciiTheme="majorBidi" w:hAnsiTheme="majorBidi" w:cstheme="majorBidi"/>
        </w:rPr>
        <w:t xml:space="preserve"> </w:t>
      </w:r>
      <w:r w:rsidR="008508A1" w:rsidRPr="002F18EF">
        <w:rPr>
          <w:rFonts w:asciiTheme="majorBidi" w:hAnsiTheme="majorBidi" w:cstheme="majorBidi"/>
        </w:rPr>
        <w:t>dengan menunjukkan relevansi</w:t>
      </w:r>
      <w:r w:rsidR="00602018" w:rsidRPr="002F18EF">
        <w:rPr>
          <w:rFonts w:asciiTheme="majorBidi" w:hAnsiTheme="majorBidi" w:cstheme="majorBidi"/>
        </w:rPr>
        <w:t xml:space="preserve"> </w:t>
      </w:r>
      <w:r w:rsidR="008508A1" w:rsidRPr="002F18EF">
        <w:rPr>
          <w:rFonts w:asciiTheme="majorBidi" w:hAnsiTheme="majorBidi" w:cstheme="majorBidi"/>
        </w:rPr>
        <w:t>dan kepedulian terhadap semua norma</w:t>
      </w:r>
      <w:r w:rsidRPr="002F18EF">
        <w:rPr>
          <w:rFonts w:asciiTheme="majorBidi" w:hAnsiTheme="majorBidi" w:cstheme="majorBidi"/>
        </w:rPr>
        <w:t xml:space="preserve"> </w:t>
      </w:r>
      <w:r w:rsidR="008508A1" w:rsidRPr="002F18EF">
        <w:rPr>
          <w:rFonts w:asciiTheme="majorBidi" w:hAnsiTheme="majorBidi" w:cstheme="majorBidi"/>
        </w:rPr>
        <w:t>yang relevan yang sebenarnya mengendalikan kasus tersebut. Pilihannya,</w:t>
      </w:r>
      <w:r w:rsidRPr="002F18EF">
        <w:rPr>
          <w:rFonts w:asciiTheme="majorBidi" w:hAnsiTheme="majorBidi" w:cstheme="majorBidi"/>
        </w:rPr>
        <w:t xml:space="preserve"> </w:t>
      </w:r>
      <w:r w:rsidR="008508A1" w:rsidRPr="002F18EF">
        <w:rPr>
          <w:rFonts w:asciiTheme="majorBidi" w:hAnsiTheme="majorBidi" w:cstheme="majorBidi"/>
        </w:rPr>
        <w:t>pada akhirnya, tergantung pada bagaimana keadaan nyata memungkinkan</w:t>
      </w:r>
      <w:r w:rsidRPr="002F18EF">
        <w:rPr>
          <w:rFonts w:asciiTheme="majorBidi" w:hAnsiTheme="majorBidi" w:cstheme="majorBidi"/>
        </w:rPr>
        <w:t xml:space="preserve"> </w:t>
      </w:r>
      <w:r w:rsidR="008508A1" w:rsidRPr="002F18EF">
        <w:rPr>
          <w:rFonts w:asciiTheme="majorBidi" w:hAnsiTheme="majorBidi" w:cstheme="majorBidi"/>
        </w:rPr>
        <w:t>terciptanya keseimbangan keadilan di antara hukum positif yang bersaing</w:t>
      </w:r>
      <w:r w:rsidRPr="002F18EF">
        <w:rPr>
          <w:rFonts w:asciiTheme="majorBidi" w:hAnsiTheme="majorBidi" w:cstheme="majorBidi"/>
        </w:rPr>
        <w:t xml:space="preserve"> </w:t>
      </w:r>
      <w:r w:rsidR="008508A1" w:rsidRPr="002F18EF">
        <w:rPr>
          <w:rFonts w:asciiTheme="majorBidi" w:hAnsiTheme="majorBidi" w:cstheme="majorBidi"/>
        </w:rPr>
        <w:t>dalam mengatur isu-isu tersebut.</w:t>
      </w:r>
    </w:p>
    <w:p w14:paraId="55B59069" w14:textId="41FC0938" w:rsidR="006D40FD" w:rsidRPr="002F18EF" w:rsidRDefault="00020B12" w:rsidP="007950E4">
      <w:pPr>
        <w:pStyle w:val="ListParagraph"/>
        <w:spacing w:after="0" w:line="240" w:lineRule="auto"/>
        <w:ind w:left="0" w:firstLine="567"/>
        <w:jc w:val="both"/>
        <w:rPr>
          <w:rFonts w:asciiTheme="majorBidi" w:hAnsiTheme="majorBidi" w:cstheme="majorBidi"/>
        </w:rPr>
      </w:pPr>
      <w:r>
        <w:rPr>
          <w:rFonts w:asciiTheme="majorBidi" w:hAnsiTheme="majorBidi" w:cstheme="majorBidi"/>
        </w:rPr>
        <w:t>Berdasarkan pemaparan di atas, maka a</w:t>
      </w:r>
      <w:r w:rsidR="00602018" w:rsidRPr="002F18EF">
        <w:rPr>
          <w:rFonts w:asciiTheme="majorBidi" w:hAnsiTheme="majorBidi" w:cstheme="majorBidi"/>
        </w:rPr>
        <w:t xml:space="preserve">sas hak-hak yang diperoleh, asas reprositas dan asas </w:t>
      </w:r>
      <w:proofErr w:type="spellStart"/>
      <w:r w:rsidR="00602018" w:rsidRPr="002F18EF">
        <w:rPr>
          <w:rFonts w:asciiTheme="majorBidi" w:hAnsiTheme="majorBidi" w:cstheme="majorBidi"/>
          <w:i/>
          <w:iCs/>
        </w:rPr>
        <w:t>comitas</w:t>
      </w:r>
      <w:proofErr w:type="spellEnd"/>
      <w:r w:rsidR="00602018" w:rsidRPr="002F18EF">
        <w:rPr>
          <w:rFonts w:asciiTheme="majorBidi" w:hAnsiTheme="majorBidi" w:cstheme="majorBidi"/>
          <w:i/>
          <w:iCs/>
        </w:rPr>
        <w:t xml:space="preserve"> </w:t>
      </w:r>
      <w:proofErr w:type="spellStart"/>
      <w:r w:rsidR="00602018" w:rsidRPr="002F18EF">
        <w:rPr>
          <w:rFonts w:asciiTheme="majorBidi" w:hAnsiTheme="majorBidi" w:cstheme="majorBidi"/>
          <w:i/>
          <w:iCs/>
        </w:rPr>
        <w:t>gentium</w:t>
      </w:r>
      <w:proofErr w:type="spellEnd"/>
      <w:r w:rsidR="00602018" w:rsidRPr="002F18EF">
        <w:rPr>
          <w:rFonts w:asciiTheme="majorBidi" w:hAnsiTheme="majorBidi" w:cstheme="majorBidi"/>
        </w:rPr>
        <w:t xml:space="preserve"> adalah </w:t>
      </w:r>
      <w:r>
        <w:rPr>
          <w:rFonts w:asciiTheme="majorBidi" w:hAnsiTheme="majorBidi" w:cstheme="majorBidi"/>
        </w:rPr>
        <w:t>asas-asas yang melandasi</w:t>
      </w:r>
      <w:r w:rsidR="00602018" w:rsidRPr="002F18EF">
        <w:rPr>
          <w:rFonts w:asciiTheme="majorBidi" w:hAnsiTheme="majorBidi" w:cstheme="majorBidi"/>
        </w:rPr>
        <w:t xml:space="preserve"> </w:t>
      </w:r>
      <w:proofErr w:type="spellStart"/>
      <w:r w:rsidR="00602018" w:rsidRPr="002F18EF">
        <w:rPr>
          <w:rFonts w:asciiTheme="majorBidi" w:hAnsiTheme="majorBidi" w:cstheme="majorBidi"/>
        </w:rPr>
        <w:t>interlegalitas</w:t>
      </w:r>
      <w:proofErr w:type="spellEnd"/>
      <w:r w:rsidR="00602018" w:rsidRPr="002F18EF">
        <w:rPr>
          <w:rFonts w:asciiTheme="majorBidi" w:hAnsiTheme="majorBidi" w:cstheme="majorBidi"/>
        </w:rPr>
        <w:t xml:space="preserve"> perkawinan beda agama</w:t>
      </w:r>
      <w:r>
        <w:rPr>
          <w:rFonts w:asciiTheme="majorBidi" w:hAnsiTheme="majorBidi" w:cstheme="majorBidi"/>
        </w:rPr>
        <w:t>, sehingga perkawinan tersebut mendapat legalitas antar sistem hukum yang menimbulkan kewajiban pada sistem hukum tertentu untuk mengakui akibat hukumnya</w:t>
      </w:r>
      <w:r w:rsidR="00602018" w:rsidRPr="002F18EF">
        <w:rPr>
          <w:rFonts w:asciiTheme="majorBidi" w:hAnsiTheme="majorBidi" w:cstheme="majorBidi"/>
        </w:rPr>
        <w:t xml:space="preserve"> di luar negeri untuk dapat dicatatkan di Indonesia tanpa harus menunggu penetapan pengadilan terlebih dahulu. Hal ini tentunya lebih dapat mewujudkan keadilan kepada para pihak atas dasar persamaan di depan hukum, daripada harus memaksakan SEMA untuk diberlakukan. Dengan perlakuan yang demikian, maka akan terwujud jalinan hubungan internasional dalam bingkai kesopanan karena terdapat rasa saling menghargai, mengakui dan menghormati akibat hukum dari masing-masing negara, selama hal tersebut tidak menabrak hal-hal yang sifatnya asasi.</w:t>
      </w:r>
      <w:r w:rsidR="006D40FD" w:rsidRPr="002F18EF">
        <w:rPr>
          <w:rFonts w:asciiTheme="majorBidi" w:hAnsiTheme="majorBidi" w:cstheme="majorBidi"/>
        </w:rPr>
        <w:t xml:space="preserve"> Seperti </w:t>
      </w:r>
      <w:r w:rsidR="0039135C">
        <w:rPr>
          <w:rFonts w:asciiTheme="majorBidi" w:hAnsiTheme="majorBidi" w:cstheme="majorBidi"/>
        </w:rPr>
        <w:t xml:space="preserve">halnya </w:t>
      </w:r>
      <w:r w:rsidR="006D40FD" w:rsidRPr="002F18EF">
        <w:rPr>
          <w:rFonts w:asciiTheme="majorBidi" w:hAnsiTheme="majorBidi" w:cstheme="majorBidi"/>
        </w:rPr>
        <w:t xml:space="preserve">perkawinan sesama jenis, hal ini sampai kapan pun tidak akan mendapatkan legalisasi di Indonesia karena menyalahi </w:t>
      </w:r>
      <w:r w:rsidR="0039135C">
        <w:rPr>
          <w:rFonts w:asciiTheme="majorBidi" w:hAnsiTheme="majorBidi" w:cstheme="majorBidi"/>
        </w:rPr>
        <w:t xml:space="preserve">hal yang </w:t>
      </w:r>
      <w:r w:rsidR="006D40FD" w:rsidRPr="002F18EF">
        <w:rPr>
          <w:rFonts w:asciiTheme="majorBidi" w:hAnsiTheme="majorBidi" w:cstheme="majorBidi"/>
        </w:rPr>
        <w:t>esensi</w:t>
      </w:r>
      <w:r w:rsidR="0039135C">
        <w:rPr>
          <w:rFonts w:asciiTheme="majorBidi" w:hAnsiTheme="majorBidi" w:cstheme="majorBidi"/>
        </w:rPr>
        <w:t>al</w:t>
      </w:r>
      <w:r w:rsidR="006D40FD" w:rsidRPr="002F18EF">
        <w:rPr>
          <w:rFonts w:asciiTheme="majorBidi" w:hAnsiTheme="majorBidi" w:cstheme="majorBidi"/>
        </w:rPr>
        <w:t xml:space="preserve"> </w:t>
      </w:r>
      <w:r w:rsidR="0039135C">
        <w:rPr>
          <w:rFonts w:asciiTheme="majorBidi" w:hAnsiTheme="majorBidi" w:cstheme="majorBidi"/>
        </w:rPr>
        <w:t xml:space="preserve">dalam </w:t>
      </w:r>
      <w:r w:rsidR="006D40FD" w:rsidRPr="002F18EF">
        <w:rPr>
          <w:rFonts w:asciiTheme="majorBidi" w:hAnsiTheme="majorBidi" w:cstheme="majorBidi"/>
        </w:rPr>
        <w:t xml:space="preserve">perkawinan sebagaimana disebutkan dalam Pasal 1 </w:t>
      </w:r>
      <w:proofErr w:type="spellStart"/>
      <w:r w:rsidR="006D40FD" w:rsidRPr="002F18EF">
        <w:rPr>
          <w:rFonts w:asciiTheme="majorBidi" w:hAnsiTheme="majorBidi" w:cstheme="majorBidi"/>
        </w:rPr>
        <w:t>Undang-Undang</w:t>
      </w:r>
      <w:proofErr w:type="spellEnd"/>
      <w:r w:rsidR="006D40FD" w:rsidRPr="002F18EF">
        <w:rPr>
          <w:rFonts w:asciiTheme="majorBidi" w:hAnsiTheme="majorBidi" w:cstheme="majorBidi"/>
        </w:rPr>
        <w:t xml:space="preserve"> Nomor 1 Tahun 1974 tentang Perkawinan, </w:t>
      </w:r>
      <w:r w:rsidR="0039135C">
        <w:rPr>
          <w:rFonts w:asciiTheme="majorBidi" w:hAnsiTheme="majorBidi" w:cstheme="majorBidi"/>
        </w:rPr>
        <w:t xml:space="preserve">bahwa </w:t>
      </w:r>
      <w:r w:rsidR="006D40FD" w:rsidRPr="002F18EF">
        <w:rPr>
          <w:rFonts w:asciiTheme="majorBidi" w:hAnsiTheme="majorBidi" w:cstheme="majorBidi"/>
        </w:rPr>
        <w:t>perkawinan adalah ikatan lahir batin antara seorang pria dan seorang wanita dengan tujuan membentuk keluarga (rumah tangga) yang bahagia dan kekal berdasarkan Ketuhanan Yang Maha Esa.</w:t>
      </w:r>
    </w:p>
    <w:p w14:paraId="6B9C566E" w14:textId="77777777" w:rsidR="00C10DD2" w:rsidRDefault="00C10DD2" w:rsidP="008508A1">
      <w:pPr>
        <w:pStyle w:val="ListParagraph"/>
        <w:spacing w:after="0" w:line="240" w:lineRule="auto"/>
        <w:ind w:left="284"/>
        <w:jc w:val="both"/>
        <w:rPr>
          <w:rFonts w:asciiTheme="majorBidi" w:hAnsiTheme="majorBidi" w:cstheme="majorBidi"/>
        </w:rPr>
      </w:pPr>
    </w:p>
    <w:p w14:paraId="1C19EADE" w14:textId="43AF75AF" w:rsidR="00F6627D" w:rsidRDefault="00F6627D" w:rsidP="00F6627D">
      <w:pPr>
        <w:pStyle w:val="ListParagraph"/>
        <w:spacing w:after="0" w:line="240" w:lineRule="auto"/>
        <w:ind w:left="0"/>
        <w:jc w:val="both"/>
        <w:rPr>
          <w:rFonts w:asciiTheme="majorBidi" w:hAnsiTheme="majorBidi" w:cstheme="majorBidi"/>
          <w:b/>
          <w:bCs/>
          <w:sz w:val="26"/>
          <w:szCs w:val="26"/>
        </w:rPr>
      </w:pPr>
      <w:r w:rsidRPr="00F6627D">
        <w:rPr>
          <w:rFonts w:asciiTheme="majorBidi" w:hAnsiTheme="majorBidi" w:cstheme="majorBidi"/>
          <w:b/>
          <w:bCs/>
          <w:sz w:val="26"/>
          <w:szCs w:val="26"/>
        </w:rPr>
        <w:t>DAFTAR PUSATAKA</w:t>
      </w:r>
    </w:p>
    <w:p w14:paraId="1B97CFC0" w14:textId="499A4EAF"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Pr>
          <w:rFonts w:asciiTheme="majorBidi" w:hAnsiTheme="majorBidi" w:cstheme="majorBidi"/>
          <w:b/>
          <w:bCs/>
          <w:sz w:val="26"/>
          <w:szCs w:val="26"/>
        </w:rPr>
        <w:fldChar w:fldCharType="begin" w:fldLock="1"/>
      </w:r>
      <w:r>
        <w:rPr>
          <w:rFonts w:asciiTheme="majorBidi" w:hAnsiTheme="majorBidi" w:cstheme="majorBidi"/>
          <w:b/>
          <w:bCs/>
          <w:sz w:val="26"/>
          <w:szCs w:val="26"/>
        </w:rPr>
        <w:instrText xml:space="preserve">ADDIN Mendeley Bibliography CSL_BIBLIOGRAPHY </w:instrText>
      </w:r>
      <w:r>
        <w:rPr>
          <w:rFonts w:asciiTheme="majorBidi" w:hAnsiTheme="majorBidi" w:cstheme="majorBidi"/>
          <w:b/>
          <w:bCs/>
          <w:sz w:val="26"/>
          <w:szCs w:val="26"/>
        </w:rPr>
        <w:fldChar w:fldCharType="separate"/>
      </w:r>
      <w:r w:rsidRPr="00F6627D">
        <w:rPr>
          <w:rFonts w:ascii="Times New Roman" w:hAnsi="Times New Roman" w:cs="Times New Roman"/>
          <w:noProof/>
          <w:kern w:val="0"/>
        </w:rPr>
        <w:t xml:space="preserve">Allagan, Tiurma M. P. “Indonesian Private International Law:The Development After More Than a Century.” </w:t>
      </w:r>
      <w:r w:rsidRPr="00F6627D">
        <w:rPr>
          <w:rFonts w:ascii="Times New Roman" w:hAnsi="Times New Roman" w:cs="Times New Roman"/>
          <w:i/>
          <w:iCs/>
          <w:noProof/>
          <w:kern w:val="0"/>
        </w:rPr>
        <w:t>Indonesian Journal of International Law</w:t>
      </w:r>
      <w:r w:rsidRPr="00F6627D">
        <w:rPr>
          <w:rFonts w:ascii="Times New Roman" w:hAnsi="Times New Roman" w:cs="Times New Roman"/>
          <w:noProof/>
          <w:kern w:val="0"/>
        </w:rPr>
        <w:t xml:space="preserve"> 14, no. 3 (2017): 381. https://doi.org/10.17304/ijil.vol14.3.700.</w:t>
      </w:r>
    </w:p>
    <w:p w14:paraId="2A09AB07"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Amiruddin dan Zainal Asikin. </w:t>
      </w:r>
      <w:r w:rsidRPr="00F6627D">
        <w:rPr>
          <w:rFonts w:ascii="Times New Roman" w:hAnsi="Times New Roman" w:cs="Times New Roman"/>
          <w:i/>
          <w:iCs/>
          <w:noProof/>
          <w:kern w:val="0"/>
        </w:rPr>
        <w:t>Pengantar Penelitian Hukum</w:t>
      </w:r>
      <w:r w:rsidRPr="00F6627D">
        <w:rPr>
          <w:rFonts w:ascii="Times New Roman" w:hAnsi="Times New Roman" w:cs="Times New Roman"/>
          <w:noProof/>
          <w:kern w:val="0"/>
        </w:rPr>
        <w:t>. Jakarta: Rajawali Press, 2018.</w:t>
      </w:r>
    </w:p>
    <w:p w14:paraId="4FF300D0"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Amstutz, Marc. “In-Between Worlds: Marleasing and the Emergence of Interlegality in Legal Reasoning.” </w:t>
      </w:r>
      <w:r w:rsidRPr="00F6627D">
        <w:rPr>
          <w:rFonts w:ascii="Times New Roman" w:hAnsi="Times New Roman" w:cs="Times New Roman"/>
          <w:i/>
          <w:iCs/>
          <w:noProof/>
          <w:kern w:val="0"/>
        </w:rPr>
        <w:t>European Law Journal</w:t>
      </w:r>
      <w:r w:rsidRPr="00F6627D">
        <w:rPr>
          <w:rFonts w:ascii="Times New Roman" w:hAnsi="Times New Roman" w:cs="Times New Roman"/>
          <w:noProof/>
          <w:kern w:val="0"/>
        </w:rPr>
        <w:t xml:space="preserve"> 11, no. 6 (2005): 437.</w:t>
      </w:r>
    </w:p>
    <w:p w14:paraId="3872FA2A"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Arstein-Kerslake, Anna. </w:t>
      </w:r>
      <w:r w:rsidRPr="00F6627D">
        <w:rPr>
          <w:rFonts w:ascii="Times New Roman" w:hAnsi="Times New Roman" w:cs="Times New Roman"/>
          <w:i/>
          <w:iCs/>
          <w:noProof/>
          <w:kern w:val="0"/>
        </w:rPr>
        <w:t>Restoring Voice to People with Cognitive Disabilities: Realizing the Right to Equal Recognition Before the Law</w:t>
      </w:r>
      <w:r w:rsidRPr="00F6627D">
        <w:rPr>
          <w:rFonts w:ascii="Times New Roman" w:hAnsi="Times New Roman" w:cs="Times New Roman"/>
          <w:noProof/>
          <w:kern w:val="0"/>
        </w:rPr>
        <w:t>. United Kingdom: Cahaya Atma Pustaka, 2017. https://doi.org/10.1017/9781316493526.</w:t>
      </w:r>
    </w:p>
    <w:p w14:paraId="2DF3E57D"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Atmadja, I Dewa Gede, I Nyoman Putu Budiarta. </w:t>
      </w:r>
      <w:r w:rsidRPr="00F6627D">
        <w:rPr>
          <w:rFonts w:ascii="Times New Roman" w:hAnsi="Times New Roman" w:cs="Times New Roman"/>
          <w:i/>
          <w:iCs/>
          <w:noProof/>
          <w:kern w:val="0"/>
        </w:rPr>
        <w:t>Teori-Teori Hukum</w:t>
      </w:r>
      <w:r w:rsidRPr="00F6627D">
        <w:rPr>
          <w:rFonts w:ascii="Times New Roman" w:hAnsi="Times New Roman" w:cs="Times New Roman"/>
          <w:noProof/>
          <w:kern w:val="0"/>
        </w:rPr>
        <w:t>. Malang: Setara Press, 2018. http://repository.warmadewa.ac.id/id/eprint/441/.</w:t>
      </w:r>
    </w:p>
    <w:p w14:paraId="00B7CA26"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AUDA, JASSER. </w:t>
      </w:r>
      <w:r w:rsidRPr="00F6627D">
        <w:rPr>
          <w:rFonts w:ascii="Times New Roman" w:hAnsi="Times New Roman" w:cs="Times New Roman"/>
          <w:i/>
          <w:iCs/>
          <w:noProof/>
          <w:kern w:val="0"/>
        </w:rPr>
        <w:t>Maqasid Al-Shariah as Philosophy of Islamic Law A Systems Approach</w:t>
      </w:r>
      <w:r w:rsidRPr="00F6627D">
        <w:rPr>
          <w:rFonts w:ascii="Times New Roman" w:hAnsi="Times New Roman" w:cs="Times New Roman"/>
          <w:noProof/>
          <w:kern w:val="0"/>
        </w:rPr>
        <w:t>. London Washington: the international institute of islamic thought, 2019. https://doi.org/10.2307/j.ctvkc67tg.8.</w:t>
      </w:r>
    </w:p>
    <w:p w14:paraId="25D2D033"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Ávila, Humberto. </w:t>
      </w:r>
      <w:r w:rsidRPr="00F6627D">
        <w:rPr>
          <w:rFonts w:ascii="Times New Roman" w:hAnsi="Times New Roman" w:cs="Times New Roman"/>
          <w:i/>
          <w:iCs/>
          <w:noProof/>
          <w:kern w:val="0"/>
        </w:rPr>
        <w:t>Certainty in Law</w:t>
      </w:r>
      <w:r w:rsidRPr="00F6627D">
        <w:rPr>
          <w:rFonts w:ascii="Times New Roman" w:hAnsi="Times New Roman" w:cs="Times New Roman"/>
          <w:noProof/>
          <w:kern w:val="0"/>
        </w:rPr>
        <w:t>. Edited by Frederick Schauer and Torben Spaak Laporta, Francisco J. Switzerland: Springer International Publishing, 2016.</w:t>
      </w:r>
    </w:p>
    <w:p w14:paraId="2389F771"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B.A Garner. </w:t>
      </w:r>
      <w:r w:rsidRPr="00F6627D">
        <w:rPr>
          <w:rFonts w:ascii="Times New Roman" w:hAnsi="Times New Roman" w:cs="Times New Roman"/>
          <w:i/>
          <w:iCs/>
          <w:noProof/>
          <w:kern w:val="0"/>
        </w:rPr>
        <w:t>Black’s Law Dictionary</w:t>
      </w:r>
      <w:r w:rsidRPr="00F6627D">
        <w:rPr>
          <w:rFonts w:ascii="Times New Roman" w:hAnsi="Times New Roman" w:cs="Times New Roman"/>
          <w:noProof/>
          <w:kern w:val="0"/>
        </w:rPr>
        <w:t>. 8th editio. St Paul Minnessota: West Publishing Co, 2004.</w:t>
      </w:r>
    </w:p>
    <w:p w14:paraId="7EE670E4"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lastRenderedPageBreak/>
        <w:t xml:space="preserve">Bayu Seto Hardjowahono. </w:t>
      </w:r>
      <w:r w:rsidRPr="00F6627D">
        <w:rPr>
          <w:rFonts w:ascii="Times New Roman" w:hAnsi="Times New Roman" w:cs="Times New Roman"/>
          <w:i/>
          <w:iCs/>
          <w:noProof/>
          <w:kern w:val="0"/>
        </w:rPr>
        <w:t>Dasar-Dasar Hukum Perdata Internasional Buku Kesatu</w:t>
      </w:r>
      <w:r w:rsidRPr="00F6627D">
        <w:rPr>
          <w:rFonts w:ascii="Times New Roman" w:hAnsi="Times New Roman" w:cs="Times New Roman"/>
          <w:noProof/>
          <w:kern w:val="0"/>
        </w:rPr>
        <w:t>. Edisi Keem. Bandung, 2006.</w:t>
      </w:r>
    </w:p>
    <w:p w14:paraId="6985E448"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Bernard L.Tanya, Yoan N. Simanjuntak, &amp; Markus Y. Hage. </w:t>
      </w:r>
      <w:r w:rsidRPr="00F6627D">
        <w:rPr>
          <w:rFonts w:ascii="Times New Roman" w:hAnsi="Times New Roman" w:cs="Times New Roman"/>
          <w:i/>
          <w:iCs/>
          <w:noProof/>
          <w:kern w:val="0"/>
        </w:rPr>
        <w:t>Teori Hukum. Strategi Tertib Manusia Lintas Ruang Generasi</w:t>
      </w:r>
      <w:r w:rsidRPr="00F6627D">
        <w:rPr>
          <w:rFonts w:ascii="Times New Roman" w:hAnsi="Times New Roman" w:cs="Times New Roman"/>
          <w:noProof/>
          <w:kern w:val="0"/>
        </w:rPr>
        <w:t>. Yogyakarta: Genta Publishing, 2010.</w:t>
      </w:r>
    </w:p>
    <w:p w14:paraId="509393B8"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Blerton SINANI. “Constitution As the Highest Legal-Political Act.” </w:t>
      </w:r>
      <w:r w:rsidRPr="00F6627D">
        <w:rPr>
          <w:rFonts w:ascii="Times New Roman" w:hAnsi="Times New Roman" w:cs="Times New Roman"/>
          <w:i/>
          <w:iCs/>
          <w:noProof/>
          <w:kern w:val="0"/>
        </w:rPr>
        <w:t>A Critical-Legal Overview of the Concept of Constitution</w:t>
      </w:r>
      <w:r w:rsidRPr="00F6627D">
        <w:rPr>
          <w:rFonts w:ascii="Times New Roman" w:hAnsi="Times New Roman" w:cs="Times New Roman"/>
          <w:noProof/>
          <w:kern w:val="0"/>
        </w:rPr>
        <w:t xml:space="preserve"> 10 (2019): 2441–63.</w:t>
      </w:r>
    </w:p>
    <w:p w14:paraId="4896D375"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Bounventura de Sousa Santos. </w:t>
      </w:r>
      <w:r w:rsidRPr="00F6627D">
        <w:rPr>
          <w:rFonts w:ascii="Times New Roman" w:hAnsi="Times New Roman" w:cs="Times New Roman"/>
          <w:i/>
          <w:iCs/>
          <w:noProof/>
          <w:kern w:val="0"/>
        </w:rPr>
        <w:t>Toward a New Legal Common Sense: Law, Globalization, and Emancipation</w:t>
      </w:r>
      <w:r w:rsidRPr="00F6627D">
        <w:rPr>
          <w:rFonts w:ascii="Times New Roman" w:hAnsi="Times New Roman" w:cs="Times New Roman"/>
          <w:noProof/>
          <w:kern w:val="0"/>
        </w:rPr>
        <w:t xml:space="preserve">. Edited by Third Edition. </w:t>
      </w:r>
      <w:r w:rsidRPr="00F6627D">
        <w:rPr>
          <w:rFonts w:ascii="Times New Roman" w:hAnsi="Times New Roman" w:cs="Times New Roman"/>
          <w:i/>
          <w:iCs/>
          <w:noProof/>
          <w:kern w:val="0"/>
        </w:rPr>
        <w:t>Leading Works on the Legal Profession</w:t>
      </w:r>
      <w:r w:rsidRPr="00F6627D">
        <w:rPr>
          <w:rFonts w:ascii="Times New Roman" w:hAnsi="Times New Roman" w:cs="Times New Roman"/>
          <w:noProof/>
          <w:kern w:val="0"/>
        </w:rPr>
        <w:t>. United Kingdom: Cambridge University Press, 2020. https://doi.org/10.4324/9781003253778-3.</w:t>
      </w:r>
    </w:p>
    <w:p w14:paraId="5D3B12A2"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Cavan, Ruth Shonle. “Concepts and Terminology in Interreligious Marriage.” </w:t>
      </w:r>
      <w:r w:rsidRPr="00F6627D">
        <w:rPr>
          <w:rFonts w:ascii="Times New Roman" w:hAnsi="Times New Roman" w:cs="Times New Roman"/>
          <w:i/>
          <w:iCs/>
          <w:noProof/>
          <w:kern w:val="0"/>
        </w:rPr>
        <w:t>Journal for the Scientific Study of Religion</w:t>
      </w:r>
      <w:r w:rsidRPr="00F6627D">
        <w:rPr>
          <w:rFonts w:ascii="Times New Roman" w:hAnsi="Times New Roman" w:cs="Times New Roman"/>
          <w:noProof/>
          <w:kern w:val="0"/>
        </w:rPr>
        <w:t xml:space="preserve"> 9, no. 4 (1970): 311–20.</w:t>
      </w:r>
    </w:p>
    <w:p w14:paraId="3E46B69B"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CST Kansil Dkk. </w:t>
      </w:r>
      <w:r w:rsidRPr="00F6627D">
        <w:rPr>
          <w:rFonts w:ascii="Times New Roman" w:hAnsi="Times New Roman" w:cs="Times New Roman"/>
          <w:i/>
          <w:iCs/>
          <w:noProof/>
          <w:kern w:val="0"/>
        </w:rPr>
        <w:t>Kamus Istilah Hukum</w:t>
      </w:r>
      <w:r w:rsidRPr="00F6627D">
        <w:rPr>
          <w:rFonts w:ascii="Times New Roman" w:hAnsi="Times New Roman" w:cs="Times New Roman"/>
          <w:noProof/>
          <w:kern w:val="0"/>
        </w:rPr>
        <w:t>. Jakarta: Jala Permata, 2009.</w:t>
      </w:r>
    </w:p>
    <w:p w14:paraId="39D82569"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Eddy O.S Hiariej. </w:t>
      </w:r>
      <w:r w:rsidRPr="00F6627D">
        <w:rPr>
          <w:rFonts w:ascii="Times New Roman" w:hAnsi="Times New Roman" w:cs="Times New Roman"/>
          <w:i/>
          <w:iCs/>
          <w:noProof/>
          <w:kern w:val="0"/>
        </w:rPr>
        <w:t>Prinsip-Prinsip Hukum Pidana</w:t>
      </w:r>
      <w:r w:rsidRPr="00F6627D">
        <w:rPr>
          <w:rFonts w:ascii="Times New Roman" w:hAnsi="Times New Roman" w:cs="Times New Roman"/>
          <w:noProof/>
          <w:kern w:val="0"/>
        </w:rPr>
        <w:t>. Edisi Revi. Yogyakarta: Cahaya Atma Pustaka, 2016.</w:t>
      </w:r>
    </w:p>
    <w:p w14:paraId="34200377"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Fawcett, J. J. “Evasion of Law and Mandatory Rules in Private International Law.” </w:t>
      </w:r>
      <w:r w:rsidRPr="00F6627D">
        <w:rPr>
          <w:rFonts w:ascii="Times New Roman" w:hAnsi="Times New Roman" w:cs="Times New Roman"/>
          <w:i/>
          <w:iCs/>
          <w:noProof/>
          <w:kern w:val="0"/>
        </w:rPr>
        <w:t>The Cambridge Law Journal</w:t>
      </w:r>
      <w:r w:rsidRPr="00F6627D">
        <w:rPr>
          <w:rFonts w:ascii="Times New Roman" w:hAnsi="Times New Roman" w:cs="Times New Roman"/>
          <w:noProof/>
          <w:kern w:val="0"/>
        </w:rPr>
        <w:t xml:space="preserve"> 49, no. 1 (1990): 44–62.</w:t>
      </w:r>
    </w:p>
    <w:p w14:paraId="4B31A94C"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G. Liet-Veaux. “JURISPRUDENCE ADMINISTRATIVE: Réflexions Sur Les Droits Acquis d ’une Décis.” </w:t>
      </w:r>
      <w:r w:rsidRPr="00F6627D">
        <w:rPr>
          <w:rFonts w:ascii="Times New Roman" w:hAnsi="Times New Roman" w:cs="Times New Roman"/>
          <w:i/>
          <w:iCs/>
          <w:noProof/>
          <w:kern w:val="0"/>
        </w:rPr>
        <w:t>La Revue Administrative</w:t>
      </w:r>
      <w:r w:rsidRPr="00F6627D">
        <w:rPr>
          <w:rFonts w:ascii="Times New Roman" w:hAnsi="Times New Roman" w:cs="Times New Roman"/>
          <w:noProof/>
          <w:kern w:val="0"/>
        </w:rPr>
        <w:t xml:space="preserve"> 188, no. 188 (2023): 146–48.</w:t>
      </w:r>
    </w:p>
    <w:p w14:paraId="4B38A3DF"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Goodrich, Herbert F. “Foreign Marriages and the Conflict of Laws.” </w:t>
      </w:r>
      <w:r w:rsidRPr="00F6627D">
        <w:rPr>
          <w:rFonts w:ascii="Times New Roman" w:hAnsi="Times New Roman" w:cs="Times New Roman"/>
          <w:i/>
          <w:iCs/>
          <w:noProof/>
          <w:kern w:val="0"/>
        </w:rPr>
        <w:t>University of Michigan Law School Scholarship Repository Articles</w:t>
      </w:r>
      <w:r w:rsidRPr="00F6627D">
        <w:rPr>
          <w:rFonts w:ascii="Times New Roman" w:hAnsi="Times New Roman" w:cs="Times New Roman"/>
          <w:noProof/>
          <w:kern w:val="0"/>
        </w:rPr>
        <w:t xml:space="preserve"> 21 (1922).</w:t>
      </w:r>
    </w:p>
    <w:p w14:paraId="56F384FE"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Grant, Evadné. “Human Rights, Cultural Diversity and Customary Law in South Africa.” </w:t>
      </w:r>
      <w:r w:rsidRPr="00F6627D">
        <w:rPr>
          <w:rFonts w:ascii="Times New Roman" w:hAnsi="Times New Roman" w:cs="Times New Roman"/>
          <w:i/>
          <w:iCs/>
          <w:noProof/>
          <w:kern w:val="0"/>
        </w:rPr>
        <w:t>Journal of African Law</w:t>
      </w:r>
      <w:r w:rsidRPr="00F6627D">
        <w:rPr>
          <w:rFonts w:ascii="Times New Roman" w:hAnsi="Times New Roman" w:cs="Times New Roman"/>
          <w:noProof/>
          <w:kern w:val="0"/>
        </w:rPr>
        <w:t xml:space="preserve"> 50, no. 1 (2006): 2–23. https://doi.org/10.1017/S0021855306000039.</w:t>
      </w:r>
    </w:p>
    <w:p w14:paraId="5741DC17"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Hoekema, André J. “European Legal Encounters between Minority and Majority Cultures: Cases of Interlegality.” </w:t>
      </w:r>
      <w:r w:rsidRPr="00F6627D">
        <w:rPr>
          <w:rFonts w:ascii="Times New Roman" w:hAnsi="Times New Roman" w:cs="Times New Roman"/>
          <w:i/>
          <w:iCs/>
          <w:noProof/>
          <w:kern w:val="0"/>
        </w:rPr>
        <w:t>Journal of Legal Pluralism and Unofficial Law</w:t>
      </w:r>
      <w:r w:rsidRPr="00F6627D">
        <w:rPr>
          <w:rFonts w:ascii="Times New Roman" w:hAnsi="Times New Roman" w:cs="Times New Roman"/>
          <w:noProof/>
          <w:kern w:val="0"/>
        </w:rPr>
        <w:t xml:space="preserve"> 37, no. 51 (2005): 1–28. https://doi.org/10.1080/07329113.2005.10756585.</w:t>
      </w:r>
    </w:p>
    <w:p w14:paraId="14A533B4"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Indaryanto, Wisnu. “Kedaulatan Indonesia Diantara Virus Corona Versus Asas Resiprositas Dan Asas Manfaat (Tinjauan Yuridis Perturan Presiden Nomor 21 Tahun 2016 Tentang Bebas Visa Kunjungan).” </w:t>
      </w:r>
      <w:r w:rsidRPr="00F6627D">
        <w:rPr>
          <w:rFonts w:ascii="Times New Roman" w:hAnsi="Times New Roman" w:cs="Times New Roman"/>
          <w:i/>
          <w:iCs/>
          <w:noProof/>
          <w:kern w:val="0"/>
        </w:rPr>
        <w:t>Jurnal Legislasi Indonesia</w:t>
      </w:r>
      <w:r w:rsidRPr="00F6627D">
        <w:rPr>
          <w:rFonts w:ascii="Times New Roman" w:hAnsi="Times New Roman" w:cs="Times New Roman"/>
          <w:noProof/>
          <w:kern w:val="0"/>
        </w:rPr>
        <w:t xml:space="preserve"> 17, no. 2 (2020): 121. https://doi.org/10.54629/jli.v17i2.654.</w:t>
      </w:r>
    </w:p>
    <w:p w14:paraId="20BD2F99"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Jan Klabbers, Gianluigi Palombella. “Situating Inter-Legality.” In </w:t>
      </w:r>
      <w:r w:rsidRPr="00F6627D">
        <w:rPr>
          <w:rFonts w:ascii="Times New Roman" w:hAnsi="Times New Roman" w:cs="Times New Roman"/>
          <w:i/>
          <w:iCs/>
          <w:noProof/>
          <w:kern w:val="0"/>
        </w:rPr>
        <w:t>The Challenge of Inter-Legality</w:t>
      </w:r>
      <w:r w:rsidRPr="00F6627D">
        <w:rPr>
          <w:rFonts w:ascii="Times New Roman" w:hAnsi="Times New Roman" w:cs="Times New Roman"/>
          <w:noProof/>
          <w:kern w:val="0"/>
        </w:rPr>
        <w:t>, edited by Gianluigi Palombella Jan Klabbers, 1–20. United Kingdom: Cambridge University Press, 2019.</w:t>
      </w:r>
    </w:p>
    <w:p w14:paraId="14D7C4B2"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Jasser Audah. </w:t>
      </w:r>
      <w:r w:rsidRPr="00F6627D">
        <w:rPr>
          <w:rFonts w:ascii="Times New Roman" w:hAnsi="Times New Roman" w:cs="Times New Roman"/>
          <w:i/>
          <w:iCs/>
          <w:noProof/>
          <w:kern w:val="0"/>
        </w:rPr>
        <w:t>Maqashid Al-Shariah A Beginners Guide</w:t>
      </w:r>
      <w:r w:rsidRPr="00F6627D">
        <w:rPr>
          <w:rFonts w:ascii="Times New Roman" w:hAnsi="Times New Roman" w:cs="Times New Roman"/>
          <w:noProof/>
          <w:kern w:val="0"/>
        </w:rPr>
        <w:t>. London Washington: tʜe ɪɴteʀɴatɪoɴaʟ ɪɴstɪtute of ɪsʟamɪc tʜouɢʜt, 2014.</w:t>
      </w:r>
    </w:p>
    <w:p w14:paraId="34A19869"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John Finnis. </w:t>
      </w:r>
      <w:r w:rsidRPr="00F6627D">
        <w:rPr>
          <w:rFonts w:ascii="Times New Roman" w:hAnsi="Times New Roman" w:cs="Times New Roman"/>
          <w:i/>
          <w:iCs/>
          <w:noProof/>
          <w:kern w:val="0"/>
        </w:rPr>
        <w:t>Natural Law and Natural Rights</w:t>
      </w:r>
      <w:r w:rsidRPr="00F6627D">
        <w:rPr>
          <w:rFonts w:ascii="Times New Roman" w:hAnsi="Times New Roman" w:cs="Times New Roman"/>
          <w:noProof/>
          <w:kern w:val="0"/>
        </w:rPr>
        <w:t>. United Kingdom: Oxford University, 2011.</w:t>
      </w:r>
    </w:p>
    <w:p w14:paraId="3660D361"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Komara, Stevani. “Penerapan Asas Resiprositas (Timbal Balik) Dalam Proses Ekstradisi: Studi Kasus Maria Lumowa.” </w:t>
      </w:r>
      <w:r w:rsidRPr="00F6627D">
        <w:rPr>
          <w:rFonts w:ascii="Times New Roman" w:hAnsi="Times New Roman" w:cs="Times New Roman"/>
          <w:i/>
          <w:iCs/>
          <w:noProof/>
          <w:kern w:val="0"/>
        </w:rPr>
        <w:t>JISIP (Jurnal Ilmu Sosial Dan Pendidikan)</w:t>
      </w:r>
      <w:r w:rsidRPr="00F6627D">
        <w:rPr>
          <w:rFonts w:ascii="Times New Roman" w:hAnsi="Times New Roman" w:cs="Times New Roman"/>
          <w:noProof/>
          <w:kern w:val="0"/>
        </w:rPr>
        <w:t xml:space="preserve"> 5, no. 1 (2021): 374–78. https://doi.org/10.36312/jisip.v5i1.1726.</w:t>
      </w:r>
    </w:p>
    <w:p w14:paraId="3B9A04E8"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Koos, Stefan. “Digital Globalization and Law.” </w:t>
      </w:r>
      <w:r w:rsidRPr="00F6627D">
        <w:rPr>
          <w:rFonts w:ascii="Times New Roman" w:hAnsi="Times New Roman" w:cs="Times New Roman"/>
          <w:i/>
          <w:iCs/>
          <w:noProof/>
          <w:kern w:val="0"/>
        </w:rPr>
        <w:t>Lex Scientia Law Review</w:t>
      </w:r>
      <w:r w:rsidRPr="00F6627D">
        <w:rPr>
          <w:rFonts w:ascii="Times New Roman" w:hAnsi="Times New Roman" w:cs="Times New Roman"/>
          <w:noProof/>
          <w:kern w:val="0"/>
        </w:rPr>
        <w:t xml:space="preserve"> 6, no. 1 (2022): 33–68. https://doi.org/10.15294/lesrev.v6i1.55092.</w:t>
      </w:r>
    </w:p>
    <w:p w14:paraId="1EBB1BDD"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Lili Rasjidi dan Ira Thania Rasjidi. </w:t>
      </w:r>
      <w:r w:rsidRPr="00F6627D">
        <w:rPr>
          <w:rFonts w:ascii="Times New Roman" w:hAnsi="Times New Roman" w:cs="Times New Roman"/>
          <w:i/>
          <w:iCs/>
          <w:noProof/>
          <w:kern w:val="0"/>
        </w:rPr>
        <w:t>Dasar Dasar Filsafat Dan Teori Hukum</w:t>
      </w:r>
      <w:r w:rsidRPr="00F6627D">
        <w:rPr>
          <w:rFonts w:ascii="Times New Roman" w:hAnsi="Times New Roman" w:cs="Times New Roman"/>
          <w:noProof/>
          <w:kern w:val="0"/>
        </w:rPr>
        <w:t>. Cetakan ke. Bandung: Citra Aditya Bakti, 2007.</w:t>
      </w:r>
    </w:p>
    <w:p w14:paraId="0B28B020"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Lund, Christian. “Forum Shopping and Shopping Forums: Another 40-Year Anniversary.” </w:t>
      </w:r>
      <w:r w:rsidRPr="00F6627D">
        <w:rPr>
          <w:rFonts w:ascii="Times New Roman" w:hAnsi="Times New Roman" w:cs="Times New Roman"/>
          <w:i/>
          <w:iCs/>
          <w:noProof/>
          <w:kern w:val="0"/>
        </w:rPr>
        <w:t>Journal of Legal Pluralism and Unofficial Law</w:t>
      </w:r>
      <w:r w:rsidRPr="00F6627D">
        <w:rPr>
          <w:rFonts w:ascii="Times New Roman" w:hAnsi="Times New Roman" w:cs="Times New Roman"/>
          <w:noProof/>
          <w:kern w:val="0"/>
        </w:rPr>
        <w:t xml:space="preserve"> 53, no. 3 (2021): 414–18. https://doi.org/10.1080/07329113.2021.1996075.</w:t>
      </w:r>
    </w:p>
    <w:p w14:paraId="32F97000"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M. Quraish Shihab. </w:t>
      </w:r>
      <w:r w:rsidRPr="00F6627D">
        <w:rPr>
          <w:rFonts w:ascii="Times New Roman" w:hAnsi="Times New Roman" w:cs="Times New Roman"/>
          <w:i/>
          <w:iCs/>
          <w:noProof/>
          <w:kern w:val="0"/>
        </w:rPr>
        <w:t>Perempuan</w:t>
      </w:r>
      <w:r w:rsidRPr="00F6627D">
        <w:rPr>
          <w:rFonts w:ascii="Times New Roman" w:hAnsi="Times New Roman" w:cs="Times New Roman"/>
          <w:noProof/>
          <w:kern w:val="0"/>
        </w:rPr>
        <w:t>. Jakarta: Lentera Hati, 2006.</w:t>
      </w:r>
    </w:p>
    <w:p w14:paraId="264A8891"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Maddox, Graham. “A Note on the Meaning of ‘Constitution.’” </w:t>
      </w:r>
      <w:r w:rsidRPr="00F6627D">
        <w:rPr>
          <w:rFonts w:ascii="Times New Roman" w:hAnsi="Times New Roman" w:cs="Times New Roman"/>
          <w:i/>
          <w:iCs/>
          <w:noProof/>
          <w:kern w:val="0"/>
        </w:rPr>
        <w:t>American Political Science Review</w:t>
      </w:r>
      <w:r w:rsidRPr="00F6627D">
        <w:rPr>
          <w:rFonts w:ascii="Times New Roman" w:hAnsi="Times New Roman" w:cs="Times New Roman"/>
          <w:noProof/>
          <w:kern w:val="0"/>
        </w:rPr>
        <w:t xml:space="preserve"> 76, no. 4 (1982): 805–9. https://doi.org/10.1017/S0003055400189622.</w:t>
      </w:r>
    </w:p>
    <w:p w14:paraId="1465F0FB"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Malekian, Farhad. “Principles of Islamic International Law.” In </w:t>
      </w:r>
      <w:r w:rsidRPr="00F6627D">
        <w:rPr>
          <w:rFonts w:ascii="Times New Roman" w:hAnsi="Times New Roman" w:cs="Times New Roman"/>
          <w:i/>
          <w:iCs/>
          <w:noProof/>
          <w:kern w:val="0"/>
        </w:rPr>
        <w:t>Principles of Islamic International Criminal Law: A Comparative Search</w:t>
      </w:r>
      <w:r w:rsidRPr="00F6627D">
        <w:rPr>
          <w:rFonts w:ascii="Times New Roman" w:hAnsi="Times New Roman" w:cs="Times New Roman"/>
          <w:noProof/>
          <w:kern w:val="0"/>
        </w:rPr>
        <w:t>. Leiden: Brill, 2011.</w:t>
      </w:r>
    </w:p>
    <w:p w14:paraId="25DA798B"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lastRenderedPageBreak/>
        <w:t xml:space="preserve">Marwan Mas. </w:t>
      </w:r>
      <w:r w:rsidRPr="00F6627D">
        <w:rPr>
          <w:rFonts w:ascii="Times New Roman" w:hAnsi="Times New Roman" w:cs="Times New Roman"/>
          <w:i/>
          <w:iCs/>
          <w:noProof/>
          <w:kern w:val="0"/>
        </w:rPr>
        <w:t>Pengantar Ilmu Hukum</w:t>
      </w:r>
      <w:r w:rsidRPr="00F6627D">
        <w:rPr>
          <w:rFonts w:ascii="Times New Roman" w:hAnsi="Times New Roman" w:cs="Times New Roman"/>
          <w:noProof/>
          <w:kern w:val="0"/>
        </w:rPr>
        <w:t>. Jakarta: Galia Indonesia, 2004.</w:t>
      </w:r>
    </w:p>
    <w:p w14:paraId="4975915A"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Murdan. </w:t>
      </w:r>
      <w:r w:rsidRPr="00F6627D">
        <w:rPr>
          <w:rFonts w:ascii="Times New Roman" w:hAnsi="Times New Roman" w:cs="Times New Roman"/>
          <w:i/>
          <w:iCs/>
          <w:noProof/>
          <w:kern w:val="0"/>
        </w:rPr>
        <w:t>Pluralisme Hukum Di Indonesia: Interlegality Dalam Perkawinan Masyarakat Islam Sasak</w:t>
      </w:r>
      <w:r w:rsidRPr="00F6627D">
        <w:rPr>
          <w:rFonts w:ascii="Times New Roman" w:hAnsi="Times New Roman" w:cs="Times New Roman"/>
          <w:noProof/>
          <w:kern w:val="0"/>
        </w:rPr>
        <w:t>. Yogyakarta: Program pascasarjana UIN Sunan Kalijaga, 2020.</w:t>
      </w:r>
    </w:p>
    <w:p w14:paraId="3E560AF4"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Muttaqin, Muhammad Ngizzul. “Unregistered Marriage Between Indonesian Citizens and Foreign Citizens With the Legal Perspective of Marriage in Indonesia.” </w:t>
      </w:r>
      <w:r w:rsidRPr="00F6627D">
        <w:rPr>
          <w:rFonts w:ascii="Times New Roman" w:hAnsi="Times New Roman" w:cs="Times New Roman"/>
          <w:i/>
          <w:iCs/>
          <w:noProof/>
          <w:kern w:val="0"/>
        </w:rPr>
        <w:t>Jurnal Ilmiah Mizani: Wacana Hukum, Ekonomi Dan Keagamaan</w:t>
      </w:r>
      <w:r w:rsidRPr="00F6627D">
        <w:rPr>
          <w:rFonts w:ascii="Times New Roman" w:hAnsi="Times New Roman" w:cs="Times New Roman"/>
          <w:noProof/>
          <w:kern w:val="0"/>
        </w:rPr>
        <w:t xml:space="preserve"> 7, no. 2 (2020): 149. https://doi.org/10.29300/mzn.v7i2.3396.</w:t>
      </w:r>
    </w:p>
    <w:p w14:paraId="05EF03A4"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Peter Fitzpatrick. “Being Social in Socio-Legal Studies.” </w:t>
      </w:r>
      <w:r w:rsidRPr="00F6627D">
        <w:rPr>
          <w:rFonts w:ascii="Times New Roman" w:hAnsi="Times New Roman" w:cs="Times New Roman"/>
          <w:i/>
          <w:iCs/>
          <w:noProof/>
          <w:kern w:val="0"/>
        </w:rPr>
        <w:t>Journal of Law and Society</w:t>
      </w:r>
      <w:r w:rsidRPr="00F6627D">
        <w:rPr>
          <w:rFonts w:ascii="Times New Roman" w:hAnsi="Times New Roman" w:cs="Times New Roman"/>
          <w:noProof/>
          <w:kern w:val="0"/>
        </w:rPr>
        <w:t xml:space="preserve"> 22, no. 1 (1995): 105–12.</w:t>
      </w:r>
    </w:p>
    <w:p w14:paraId="3D6B6B9E"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Peter Mahmud Marzuki. </w:t>
      </w:r>
      <w:r w:rsidRPr="00F6627D">
        <w:rPr>
          <w:rFonts w:ascii="Times New Roman" w:hAnsi="Times New Roman" w:cs="Times New Roman"/>
          <w:i/>
          <w:iCs/>
          <w:noProof/>
          <w:kern w:val="0"/>
        </w:rPr>
        <w:t>Penelitian Hukum</w:t>
      </w:r>
      <w:r w:rsidRPr="00F6627D">
        <w:rPr>
          <w:rFonts w:ascii="Times New Roman" w:hAnsi="Times New Roman" w:cs="Times New Roman"/>
          <w:noProof/>
          <w:kern w:val="0"/>
        </w:rPr>
        <w:t>. Jakarta: Prenada Media Group, 2010.</w:t>
      </w:r>
    </w:p>
    <w:p w14:paraId="5D0C5959"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Petersen, Niels. “The Implicit Taxonomy of the Equality Jurisprudence of the UN Human Rights Committee.” </w:t>
      </w:r>
      <w:r w:rsidRPr="00F6627D">
        <w:rPr>
          <w:rFonts w:ascii="Times New Roman" w:hAnsi="Times New Roman" w:cs="Times New Roman"/>
          <w:i/>
          <w:iCs/>
          <w:noProof/>
          <w:kern w:val="0"/>
        </w:rPr>
        <w:t>Leiden Journal of International Law</w:t>
      </w:r>
      <w:r w:rsidRPr="00F6627D">
        <w:rPr>
          <w:rFonts w:ascii="Times New Roman" w:hAnsi="Times New Roman" w:cs="Times New Roman"/>
          <w:noProof/>
          <w:kern w:val="0"/>
        </w:rPr>
        <w:t xml:space="preserve"> 34, no. 2 (2021): 421–40. https://doi.org/10.1017/S092215652100008X.</w:t>
      </w:r>
    </w:p>
    <w:p w14:paraId="3DCC9A14"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R. D. Carswell. “The Doctrine of Vested Rights in Private International Law.” </w:t>
      </w:r>
      <w:r w:rsidRPr="00F6627D">
        <w:rPr>
          <w:rFonts w:ascii="Times New Roman" w:hAnsi="Times New Roman" w:cs="Times New Roman"/>
          <w:i/>
          <w:iCs/>
          <w:noProof/>
          <w:kern w:val="0"/>
        </w:rPr>
        <w:t>The International and Comparative Law Quarterly</w:t>
      </w:r>
      <w:r w:rsidRPr="00F6627D">
        <w:rPr>
          <w:rFonts w:ascii="Times New Roman" w:hAnsi="Times New Roman" w:cs="Times New Roman"/>
          <w:noProof/>
          <w:kern w:val="0"/>
        </w:rPr>
        <w:t xml:space="preserve"> 8, no. 2 (1959): 268–88.</w:t>
      </w:r>
    </w:p>
    <w:p w14:paraId="6D3FB692"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Recep Çiğdem. “Interfaith Marriage in Comparative Perspective.” </w:t>
      </w:r>
      <w:r w:rsidRPr="00F6627D">
        <w:rPr>
          <w:rFonts w:ascii="Times New Roman" w:hAnsi="Times New Roman" w:cs="Times New Roman"/>
          <w:i/>
          <w:iCs/>
          <w:noProof/>
          <w:kern w:val="0"/>
        </w:rPr>
        <w:t>Acta Orientalia Academiae Scientiarum Hungaricae</w:t>
      </w:r>
      <w:r w:rsidRPr="00F6627D">
        <w:rPr>
          <w:rFonts w:ascii="Times New Roman" w:hAnsi="Times New Roman" w:cs="Times New Roman"/>
          <w:noProof/>
          <w:kern w:val="0"/>
        </w:rPr>
        <w:t xml:space="preserve"> 68, no. 1 (2015): 59–86.</w:t>
      </w:r>
    </w:p>
    <w:p w14:paraId="404BFFEB"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Review, Virginia Law. “Conflict of Laws. Validity of Foreign Marriages. Evasion of Law of Domicile.” </w:t>
      </w:r>
      <w:r w:rsidRPr="00F6627D">
        <w:rPr>
          <w:rFonts w:ascii="Times New Roman" w:hAnsi="Times New Roman" w:cs="Times New Roman"/>
          <w:i/>
          <w:iCs/>
          <w:noProof/>
          <w:kern w:val="0"/>
        </w:rPr>
        <w:t>Virginia Law Review</w:t>
      </w:r>
      <w:r w:rsidRPr="00F6627D">
        <w:rPr>
          <w:rFonts w:ascii="Times New Roman" w:hAnsi="Times New Roman" w:cs="Times New Roman"/>
          <w:noProof/>
          <w:kern w:val="0"/>
        </w:rPr>
        <w:t xml:space="preserve"> 4, no. 2 (1916): 144. https://doi.org/10.2307/1063624.</w:t>
      </w:r>
    </w:p>
    <w:p w14:paraId="3EA59E08"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Ridwan Khairandy. </w:t>
      </w:r>
      <w:r w:rsidRPr="00F6627D">
        <w:rPr>
          <w:rFonts w:ascii="Times New Roman" w:hAnsi="Times New Roman" w:cs="Times New Roman"/>
          <w:i/>
          <w:iCs/>
          <w:noProof/>
          <w:kern w:val="0"/>
        </w:rPr>
        <w:t>Pengantar Hukum Perdata Internasional</w:t>
      </w:r>
      <w:r w:rsidRPr="00F6627D">
        <w:rPr>
          <w:rFonts w:ascii="Times New Roman" w:hAnsi="Times New Roman" w:cs="Times New Roman"/>
          <w:noProof/>
          <w:kern w:val="0"/>
        </w:rPr>
        <w:t>. Yogyakarta: UII Press, 2007.</w:t>
      </w:r>
    </w:p>
    <w:p w14:paraId="72AC7391"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Salim. HS. </w:t>
      </w:r>
      <w:r w:rsidRPr="00F6627D">
        <w:rPr>
          <w:rFonts w:ascii="Times New Roman" w:hAnsi="Times New Roman" w:cs="Times New Roman"/>
          <w:i/>
          <w:iCs/>
          <w:noProof/>
          <w:kern w:val="0"/>
        </w:rPr>
        <w:t>Perkembangan Teori Dalam Ilmu Hukum</w:t>
      </w:r>
      <w:r w:rsidRPr="00F6627D">
        <w:rPr>
          <w:rFonts w:ascii="Times New Roman" w:hAnsi="Times New Roman" w:cs="Times New Roman"/>
          <w:noProof/>
          <w:kern w:val="0"/>
        </w:rPr>
        <w:t>. Jakarta: Raja Grafindo Persada, 2010.</w:t>
      </w:r>
    </w:p>
    <w:p w14:paraId="5CDA79A2"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Seagrave, S. Adam. “Cicero , Aquinas , and Contemporary Issues in Natural Law Theory.” </w:t>
      </w:r>
      <w:r w:rsidRPr="00F6627D">
        <w:rPr>
          <w:rFonts w:ascii="Times New Roman" w:hAnsi="Times New Roman" w:cs="Times New Roman"/>
          <w:i/>
          <w:iCs/>
          <w:noProof/>
          <w:kern w:val="0"/>
        </w:rPr>
        <w:t>The Review of Metaphysics</w:t>
      </w:r>
      <w:r w:rsidRPr="00F6627D">
        <w:rPr>
          <w:rFonts w:ascii="Times New Roman" w:hAnsi="Times New Roman" w:cs="Times New Roman"/>
          <w:noProof/>
          <w:kern w:val="0"/>
        </w:rPr>
        <w:t xml:space="preserve"> 62, no. 3 (2009): 491–523.</w:t>
      </w:r>
    </w:p>
    <w:p w14:paraId="447934B6"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Seagrave, S Adam. “How Old Are Modern Rights ? On the Lockean Roots of Contemporary Human Rights Discourse.” </w:t>
      </w:r>
      <w:r w:rsidRPr="00F6627D">
        <w:rPr>
          <w:rFonts w:ascii="Times New Roman" w:hAnsi="Times New Roman" w:cs="Times New Roman"/>
          <w:i/>
          <w:iCs/>
          <w:noProof/>
          <w:kern w:val="0"/>
        </w:rPr>
        <w:t>Journal of the History of Ideas</w:t>
      </w:r>
      <w:r w:rsidRPr="00F6627D">
        <w:rPr>
          <w:rFonts w:ascii="Times New Roman" w:hAnsi="Times New Roman" w:cs="Times New Roman"/>
          <w:noProof/>
          <w:kern w:val="0"/>
        </w:rPr>
        <w:t xml:space="preserve"> 72, no. 2 (2019): 305–27.</w:t>
      </w:r>
    </w:p>
    <w:p w14:paraId="78E8036E"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Sewenet, Alex Minichele, Fasil Merawi Tessagaye, and Getnet Tadele. “Interreligious Marriage : Social and Religious Perspectives,” no. 6 (2017).</w:t>
      </w:r>
    </w:p>
    <w:p w14:paraId="77D88094"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Shahar, Ido. “Legal Pluralism and the Study of Shari’a Courts.” </w:t>
      </w:r>
      <w:r w:rsidRPr="00F6627D">
        <w:rPr>
          <w:rFonts w:ascii="Times New Roman" w:hAnsi="Times New Roman" w:cs="Times New Roman"/>
          <w:i/>
          <w:iCs/>
          <w:noProof/>
          <w:kern w:val="0"/>
        </w:rPr>
        <w:t>Islamic Law and Society</w:t>
      </w:r>
      <w:r w:rsidRPr="00F6627D">
        <w:rPr>
          <w:rFonts w:ascii="Times New Roman" w:hAnsi="Times New Roman" w:cs="Times New Roman"/>
          <w:noProof/>
          <w:kern w:val="0"/>
        </w:rPr>
        <w:t xml:space="preserve"> 15, no. 1 (2008): 112–41. https://doi.org/10.1163/156851908X287280.</w:t>
      </w:r>
    </w:p>
    <w:p w14:paraId="47C9A414"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Shimon Shetreet. “Judicial Independence and Accountability in Israel.” </w:t>
      </w:r>
      <w:r w:rsidRPr="00F6627D">
        <w:rPr>
          <w:rFonts w:ascii="Times New Roman" w:hAnsi="Times New Roman" w:cs="Times New Roman"/>
          <w:i/>
          <w:iCs/>
          <w:noProof/>
          <w:kern w:val="0"/>
        </w:rPr>
        <w:t>The International and Comparative Law Quarterly</w:t>
      </w:r>
      <w:r w:rsidRPr="00F6627D">
        <w:rPr>
          <w:rFonts w:ascii="Times New Roman" w:hAnsi="Times New Roman" w:cs="Times New Roman"/>
          <w:noProof/>
          <w:kern w:val="0"/>
        </w:rPr>
        <w:t xml:space="preserve"> 33, no. 4 (1984): 979–1012.</w:t>
      </w:r>
    </w:p>
    <w:p w14:paraId="1DA865EA"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Siburian, H M Sahat Radot. “Constitution Formulation and Amendment in Indonesian and American Legal System: A Comparative Study.” </w:t>
      </w:r>
      <w:r w:rsidRPr="00F6627D">
        <w:rPr>
          <w:rFonts w:ascii="Times New Roman" w:hAnsi="Times New Roman" w:cs="Times New Roman"/>
          <w:i/>
          <w:iCs/>
          <w:noProof/>
          <w:kern w:val="0"/>
        </w:rPr>
        <w:t>Journal of Law and Legal Reform</w:t>
      </w:r>
      <w:r w:rsidRPr="00F6627D">
        <w:rPr>
          <w:rFonts w:ascii="Times New Roman" w:hAnsi="Times New Roman" w:cs="Times New Roman"/>
          <w:noProof/>
          <w:kern w:val="0"/>
        </w:rPr>
        <w:t xml:space="preserve"> 3, no. 1 (2022): 39–66. https://doi.org/10.15294/jllr.v3i1.49536.</w:t>
      </w:r>
    </w:p>
    <w:p w14:paraId="605A82E5"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Stone, Jason. “Review Ubi Jus Incertum , Ibi Jus Nullum : Where the Right Is Uncertain , There Is No Right : United States v . Navajo Nation.” </w:t>
      </w:r>
      <w:r w:rsidRPr="00F6627D">
        <w:rPr>
          <w:rFonts w:ascii="Times New Roman" w:hAnsi="Times New Roman" w:cs="Times New Roman"/>
          <w:i/>
          <w:iCs/>
          <w:noProof/>
          <w:kern w:val="0"/>
        </w:rPr>
        <w:t>Public Land &amp; Resources Law Review Volume</w:t>
      </w:r>
      <w:r w:rsidRPr="00F6627D">
        <w:rPr>
          <w:rFonts w:ascii="Times New Roman" w:hAnsi="Times New Roman" w:cs="Times New Roman"/>
          <w:noProof/>
          <w:kern w:val="0"/>
        </w:rPr>
        <w:t xml:space="preserve"> 27, no. June (2006).</w:t>
      </w:r>
    </w:p>
    <w:p w14:paraId="0B5C7093"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Sudargo Gautama. </w:t>
      </w:r>
      <w:r w:rsidRPr="00F6627D">
        <w:rPr>
          <w:rFonts w:ascii="Times New Roman" w:hAnsi="Times New Roman" w:cs="Times New Roman"/>
          <w:i/>
          <w:iCs/>
          <w:noProof/>
          <w:kern w:val="0"/>
        </w:rPr>
        <w:t>Hukum Perdata Internasional Indonesia, Buku Kelima</w:t>
      </w:r>
      <w:r w:rsidRPr="00F6627D">
        <w:rPr>
          <w:rFonts w:ascii="Times New Roman" w:hAnsi="Times New Roman" w:cs="Times New Roman"/>
          <w:noProof/>
          <w:kern w:val="0"/>
        </w:rPr>
        <w:t>. 2nd ed. Bandung: Alumni, 1998.</w:t>
      </w:r>
    </w:p>
    <w:p w14:paraId="745761A9"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 </w:t>
      </w:r>
      <w:r w:rsidRPr="00F6627D">
        <w:rPr>
          <w:rFonts w:ascii="Times New Roman" w:hAnsi="Times New Roman" w:cs="Times New Roman"/>
          <w:i/>
          <w:iCs/>
          <w:noProof/>
          <w:kern w:val="0"/>
        </w:rPr>
        <w:t>Pengantar Hukum Perdata Internasional Indonesia</w:t>
      </w:r>
      <w:r w:rsidRPr="00F6627D">
        <w:rPr>
          <w:rFonts w:ascii="Times New Roman" w:hAnsi="Times New Roman" w:cs="Times New Roman"/>
          <w:noProof/>
          <w:kern w:val="0"/>
        </w:rPr>
        <w:t>. Cetakan ke. Bandung: Binacipta, 1987.</w:t>
      </w:r>
    </w:p>
    <w:p w14:paraId="574A7B51"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 </w:t>
      </w:r>
      <w:r w:rsidRPr="00F6627D">
        <w:rPr>
          <w:rFonts w:ascii="Times New Roman" w:hAnsi="Times New Roman" w:cs="Times New Roman"/>
          <w:i/>
          <w:iCs/>
          <w:noProof/>
          <w:kern w:val="0"/>
        </w:rPr>
        <w:t>Pengantar Hukum Perdata Internasional Indonesia (Buku 6)</w:t>
      </w:r>
      <w:r w:rsidRPr="00F6627D">
        <w:rPr>
          <w:rFonts w:ascii="Times New Roman" w:hAnsi="Times New Roman" w:cs="Times New Roman"/>
          <w:noProof/>
          <w:kern w:val="0"/>
        </w:rPr>
        <w:t>. Bandung: Bina Cipta, 2018.</w:t>
      </w:r>
    </w:p>
    <w:p w14:paraId="5F69B40E"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Sulfian, A. Sultan. “The Urgency of Marriage Registration in the Perspective of Indonesian Marriage Law and Islamic Law.” </w:t>
      </w:r>
      <w:r w:rsidRPr="00F6627D">
        <w:rPr>
          <w:rFonts w:ascii="Times New Roman" w:hAnsi="Times New Roman" w:cs="Times New Roman"/>
          <w:i/>
          <w:iCs/>
          <w:noProof/>
          <w:kern w:val="0"/>
        </w:rPr>
        <w:t>Jurnal Al-Dustur</w:t>
      </w:r>
      <w:r w:rsidRPr="00F6627D">
        <w:rPr>
          <w:rFonts w:ascii="Times New Roman" w:hAnsi="Times New Roman" w:cs="Times New Roman"/>
          <w:noProof/>
          <w:kern w:val="0"/>
        </w:rPr>
        <w:t xml:space="preserve"> 6, no. 1 (2023): 72–90. https://doi.org/10.30863/aldustur.v6i1.4224.</w:t>
      </w:r>
    </w:p>
    <w:p w14:paraId="752D70EC"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Susilo, A P, and H W Aminah. “Aspek Asas Resiprositas Dalam Pengakuan Sahnya Perkawinan Campuran Antara Warga Negara Indonesia Dengan Warga Negara Asing.” </w:t>
      </w:r>
      <w:r w:rsidRPr="00F6627D">
        <w:rPr>
          <w:rFonts w:ascii="Times New Roman" w:hAnsi="Times New Roman" w:cs="Times New Roman"/>
          <w:i/>
          <w:iCs/>
          <w:noProof/>
          <w:kern w:val="0"/>
        </w:rPr>
        <w:t>Diponegoro Law Journal</w:t>
      </w:r>
      <w:r w:rsidRPr="00F6627D">
        <w:rPr>
          <w:rFonts w:ascii="Times New Roman" w:hAnsi="Times New Roman" w:cs="Times New Roman"/>
          <w:noProof/>
          <w:kern w:val="0"/>
        </w:rPr>
        <w:t xml:space="preserve"> 6, no. 1 (2017): 1–13. https://ejournal3.undip.ac.id/index.php/dlr/article/view/15665.</w:t>
      </w:r>
    </w:p>
    <w:p w14:paraId="6B5206E4"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Tierney, Brian. “Natural Law and Natural Rights: Old Problems and Recent Approaches.” </w:t>
      </w:r>
      <w:r w:rsidRPr="00F6627D">
        <w:rPr>
          <w:rFonts w:ascii="Times New Roman" w:hAnsi="Times New Roman" w:cs="Times New Roman"/>
          <w:i/>
          <w:iCs/>
          <w:noProof/>
          <w:kern w:val="0"/>
        </w:rPr>
        <w:t xml:space="preserve">Review </w:t>
      </w:r>
      <w:r w:rsidRPr="00F6627D">
        <w:rPr>
          <w:rFonts w:ascii="Times New Roman" w:hAnsi="Times New Roman" w:cs="Times New Roman"/>
          <w:i/>
          <w:iCs/>
          <w:noProof/>
          <w:kern w:val="0"/>
        </w:rPr>
        <w:lastRenderedPageBreak/>
        <w:t>of Politics</w:t>
      </w:r>
      <w:r w:rsidRPr="00F6627D">
        <w:rPr>
          <w:rFonts w:ascii="Times New Roman" w:hAnsi="Times New Roman" w:cs="Times New Roman"/>
          <w:noProof/>
          <w:kern w:val="0"/>
        </w:rPr>
        <w:t xml:space="preserve"> 64, no. 3 (2002): 389–406. https://doi.org/10.1017/S0034670500034914.</w:t>
      </w:r>
    </w:p>
    <w:p w14:paraId="44DF4E17"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Tikhon Podshivalov. “Evasion of Law in Private International Law.” </w:t>
      </w:r>
      <w:r w:rsidRPr="00F6627D">
        <w:rPr>
          <w:rFonts w:ascii="Times New Roman" w:hAnsi="Times New Roman" w:cs="Times New Roman"/>
          <w:i/>
          <w:iCs/>
          <w:noProof/>
          <w:kern w:val="0"/>
        </w:rPr>
        <w:t>Journal of Russian Law</w:t>
      </w:r>
      <w:r w:rsidRPr="00F6627D">
        <w:rPr>
          <w:rFonts w:ascii="Times New Roman" w:hAnsi="Times New Roman" w:cs="Times New Roman"/>
          <w:noProof/>
          <w:kern w:val="0"/>
        </w:rPr>
        <w:t xml:space="preserve"> 4, no. 8 (2016): 0–0. https://doi.org/10.12737/20911.</w:t>
      </w:r>
    </w:p>
    <w:p w14:paraId="45C3AC89"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Villiers, F. A. De. “Private International Law and Public Policy: Two Recent Dutch Cases.” </w:t>
      </w:r>
      <w:r w:rsidRPr="00F6627D">
        <w:rPr>
          <w:rFonts w:ascii="Times New Roman" w:hAnsi="Times New Roman" w:cs="Times New Roman"/>
          <w:i/>
          <w:iCs/>
          <w:noProof/>
          <w:kern w:val="0"/>
        </w:rPr>
        <w:t>Private International Law and Public Law</w:t>
      </w:r>
      <w:r w:rsidRPr="00F6627D">
        <w:rPr>
          <w:rFonts w:ascii="Times New Roman" w:hAnsi="Times New Roman" w:cs="Times New Roman"/>
          <w:noProof/>
          <w:kern w:val="0"/>
        </w:rPr>
        <w:t xml:space="preserve"> 3, no. 1 (1970): 99–106. https://doi.org/10.4337/9781784713478.</w:t>
      </w:r>
    </w:p>
    <w:p w14:paraId="7EBED7FC"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Voigt, Stefan. “Implicit Consitutional Change-Changing the Meaning of the Constitution without Changing the Text of the Document.” </w:t>
      </w:r>
      <w:r w:rsidRPr="00F6627D">
        <w:rPr>
          <w:rFonts w:ascii="Times New Roman" w:hAnsi="Times New Roman" w:cs="Times New Roman"/>
          <w:i/>
          <w:iCs/>
          <w:noProof/>
          <w:kern w:val="0"/>
        </w:rPr>
        <w:t>European Journal of Law and Economics</w:t>
      </w:r>
      <w:r w:rsidRPr="00F6627D">
        <w:rPr>
          <w:rFonts w:ascii="Times New Roman" w:hAnsi="Times New Roman" w:cs="Times New Roman"/>
          <w:noProof/>
          <w:kern w:val="0"/>
        </w:rPr>
        <w:t xml:space="preserve"> 7, no. 3 (1999): 197–224. https://doi.org/10.1023/A:1008724612813.</w:t>
      </w:r>
    </w:p>
    <w:p w14:paraId="7A70E50A"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Wahyuni, Sri. “Konsep Ketertiban Umum Dalam Hukum Perdata Internasional: Perbandingan Beberapa Negara Civil Law Dan Common Law.” </w:t>
      </w:r>
      <w:r w:rsidRPr="00F6627D">
        <w:rPr>
          <w:rFonts w:ascii="Times New Roman" w:hAnsi="Times New Roman" w:cs="Times New Roman"/>
          <w:i/>
          <w:iCs/>
          <w:noProof/>
          <w:kern w:val="0"/>
        </w:rPr>
        <w:t>Supremasi Hukum: Jurnal Kajian Ilmu Hukum</w:t>
      </w:r>
      <w:r w:rsidRPr="00F6627D">
        <w:rPr>
          <w:rFonts w:ascii="Times New Roman" w:hAnsi="Times New Roman" w:cs="Times New Roman"/>
          <w:noProof/>
          <w:kern w:val="0"/>
        </w:rPr>
        <w:t xml:space="preserve"> 3, no. 1 (2014). https://doi.org/10.14421/sh.v3i1.1947.</w:t>
      </w:r>
    </w:p>
    <w:p w14:paraId="580FB2A2"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Wai, Robert. “The Interlegality of Transnational Private Law.” </w:t>
      </w:r>
      <w:r w:rsidRPr="00F6627D">
        <w:rPr>
          <w:rFonts w:ascii="Times New Roman" w:hAnsi="Times New Roman" w:cs="Times New Roman"/>
          <w:i/>
          <w:iCs/>
          <w:noProof/>
          <w:kern w:val="0"/>
        </w:rPr>
        <w:t>Law and Contemporary Problems</w:t>
      </w:r>
      <w:r w:rsidRPr="00F6627D">
        <w:rPr>
          <w:rFonts w:ascii="Times New Roman" w:hAnsi="Times New Roman" w:cs="Times New Roman"/>
          <w:noProof/>
          <w:kern w:val="0"/>
        </w:rPr>
        <w:t xml:space="preserve"> 71, no. 3 (2008): 107–27.</w:t>
      </w:r>
    </w:p>
    <w:p w14:paraId="6D44D062"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Whytock, Christopher A. “The Evolving Forum Shopping System.” </w:t>
      </w:r>
      <w:r w:rsidRPr="00F6627D">
        <w:rPr>
          <w:rFonts w:ascii="Times New Roman" w:hAnsi="Times New Roman" w:cs="Times New Roman"/>
          <w:i/>
          <w:iCs/>
          <w:noProof/>
          <w:kern w:val="0"/>
        </w:rPr>
        <w:t>Cornell Law Review</w:t>
      </w:r>
      <w:r w:rsidRPr="00F6627D">
        <w:rPr>
          <w:rFonts w:ascii="Times New Roman" w:hAnsi="Times New Roman" w:cs="Times New Roman"/>
          <w:noProof/>
          <w:kern w:val="0"/>
        </w:rPr>
        <w:t xml:space="preserve"> 96, no. 3 (2011): 481–534.</w:t>
      </w:r>
    </w:p>
    <w:p w14:paraId="03FB3026"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Wignjosoebroto, Soetandyo. </w:t>
      </w:r>
      <w:r w:rsidRPr="00F6627D">
        <w:rPr>
          <w:rFonts w:ascii="Times New Roman" w:hAnsi="Times New Roman" w:cs="Times New Roman"/>
          <w:i/>
          <w:iCs/>
          <w:noProof/>
          <w:kern w:val="0"/>
        </w:rPr>
        <w:t>Hukum: Paradigma, Metode, Dan Masalahnya</w:t>
      </w:r>
      <w:r w:rsidRPr="00F6627D">
        <w:rPr>
          <w:rFonts w:ascii="Times New Roman" w:hAnsi="Times New Roman" w:cs="Times New Roman"/>
          <w:noProof/>
          <w:kern w:val="0"/>
        </w:rPr>
        <w:t>. Edited by Ifdhal Kasim (Editor Utama), Winarno Yudho, Sandra Moniaga, Noer Fauzi, Ricardo Simarmata, and Eddie Sius RL. Jakarta: Elsam dan Huma, 2002.</w:t>
      </w:r>
    </w:p>
    <w:p w14:paraId="5672CEB0"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William Twining. “Diffusion and Globalization Discourse.” </w:t>
      </w:r>
      <w:r w:rsidRPr="00F6627D">
        <w:rPr>
          <w:rFonts w:ascii="Times New Roman" w:hAnsi="Times New Roman" w:cs="Times New Roman"/>
          <w:i/>
          <w:iCs/>
          <w:noProof/>
          <w:kern w:val="0"/>
        </w:rPr>
        <w:t>Harvard International Law Journal</w:t>
      </w:r>
      <w:r w:rsidRPr="00F6627D">
        <w:rPr>
          <w:rFonts w:ascii="Times New Roman" w:hAnsi="Times New Roman" w:cs="Times New Roman"/>
          <w:noProof/>
          <w:kern w:val="0"/>
        </w:rPr>
        <w:t xml:space="preserve"> 47, no. 501 (2006).</w:t>
      </w:r>
    </w:p>
    <w:p w14:paraId="0D700836"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 </w:t>
      </w:r>
      <w:r w:rsidRPr="00F6627D">
        <w:rPr>
          <w:rFonts w:ascii="Times New Roman" w:hAnsi="Times New Roman" w:cs="Times New Roman"/>
          <w:i/>
          <w:iCs/>
          <w:noProof/>
          <w:kern w:val="0"/>
        </w:rPr>
        <w:t>Globalisation and Legal Theory</w:t>
      </w:r>
      <w:r w:rsidRPr="00F6627D">
        <w:rPr>
          <w:rFonts w:ascii="Times New Roman" w:hAnsi="Times New Roman" w:cs="Times New Roman"/>
          <w:noProof/>
          <w:kern w:val="0"/>
        </w:rPr>
        <w:t>. London: Butterworths, 2000.</w:t>
      </w:r>
    </w:p>
    <w:p w14:paraId="1DF7C407"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F6627D">
        <w:rPr>
          <w:rFonts w:ascii="Times New Roman" w:hAnsi="Times New Roman" w:cs="Times New Roman"/>
          <w:noProof/>
          <w:kern w:val="0"/>
        </w:rPr>
        <w:t xml:space="preserve">Wirjono Prodjodikoro. </w:t>
      </w:r>
      <w:r w:rsidRPr="00F6627D">
        <w:rPr>
          <w:rFonts w:ascii="Times New Roman" w:hAnsi="Times New Roman" w:cs="Times New Roman"/>
          <w:i/>
          <w:iCs/>
          <w:noProof/>
          <w:kern w:val="0"/>
        </w:rPr>
        <w:t>Asas-Asas Hukum Perdata Internasional</w:t>
      </w:r>
      <w:r w:rsidRPr="00F6627D">
        <w:rPr>
          <w:rFonts w:ascii="Times New Roman" w:hAnsi="Times New Roman" w:cs="Times New Roman"/>
          <w:noProof/>
          <w:kern w:val="0"/>
        </w:rPr>
        <w:t>. Bandung: Sumur, 1992.</w:t>
      </w:r>
    </w:p>
    <w:p w14:paraId="4528142A" w14:textId="77777777" w:rsidR="00F6627D" w:rsidRPr="00F6627D" w:rsidRDefault="00F6627D" w:rsidP="00F6627D">
      <w:pPr>
        <w:widowControl w:val="0"/>
        <w:autoSpaceDE w:val="0"/>
        <w:autoSpaceDN w:val="0"/>
        <w:adjustRightInd w:val="0"/>
        <w:spacing w:after="0" w:line="240" w:lineRule="auto"/>
        <w:ind w:left="480" w:hanging="480"/>
        <w:jc w:val="both"/>
        <w:rPr>
          <w:rFonts w:ascii="Times New Roman" w:hAnsi="Times New Roman" w:cs="Times New Roman"/>
          <w:noProof/>
          <w:sz w:val="26"/>
        </w:rPr>
      </w:pPr>
      <w:r w:rsidRPr="00F6627D">
        <w:rPr>
          <w:rFonts w:ascii="Times New Roman" w:hAnsi="Times New Roman" w:cs="Times New Roman"/>
          <w:noProof/>
          <w:kern w:val="0"/>
        </w:rPr>
        <w:t xml:space="preserve">Yongping Xiao and Zhengxin Huo. “Ordre Public in China’s Private International Law.” </w:t>
      </w:r>
      <w:r w:rsidRPr="00F6627D">
        <w:rPr>
          <w:rFonts w:ascii="Times New Roman" w:hAnsi="Times New Roman" w:cs="Times New Roman"/>
          <w:i/>
          <w:iCs/>
          <w:noProof/>
          <w:kern w:val="0"/>
        </w:rPr>
        <w:t>The American Journal of Comparative Law</w:t>
      </w:r>
      <w:r w:rsidRPr="00F6627D">
        <w:rPr>
          <w:rFonts w:ascii="Times New Roman" w:hAnsi="Times New Roman" w:cs="Times New Roman"/>
          <w:noProof/>
          <w:kern w:val="0"/>
        </w:rPr>
        <w:t xml:space="preserve"> 53, no. 3 (2005): 653–77.</w:t>
      </w:r>
    </w:p>
    <w:p w14:paraId="32CB0508" w14:textId="161548E6" w:rsidR="00F6627D" w:rsidRPr="00F6627D" w:rsidRDefault="00F6627D" w:rsidP="00F6627D">
      <w:pPr>
        <w:pStyle w:val="ListParagraph"/>
        <w:spacing w:after="0" w:line="240" w:lineRule="auto"/>
        <w:ind w:left="0"/>
        <w:jc w:val="both"/>
        <w:rPr>
          <w:rFonts w:asciiTheme="majorBidi" w:hAnsiTheme="majorBidi" w:cstheme="majorBidi"/>
          <w:b/>
          <w:bCs/>
          <w:sz w:val="26"/>
          <w:szCs w:val="26"/>
        </w:rPr>
      </w:pPr>
      <w:r>
        <w:rPr>
          <w:rFonts w:asciiTheme="majorBidi" w:hAnsiTheme="majorBidi" w:cstheme="majorBidi"/>
          <w:b/>
          <w:bCs/>
          <w:sz w:val="26"/>
          <w:szCs w:val="26"/>
        </w:rPr>
        <w:fldChar w:fldCharType="end"/>
      </w:r>
    </w:p>
    <w:sectPr w:rsidR="00F6627D" w:rsidRPr="00F6627D" w:rsidSect="00FA5D34">
      <w:pgSz w:w="11906" w:h="16838" w:code="9"/>
      <w:pgMar w:top="226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7F757" w14:textId="77777777" w:rsidR="008B69AB" w:rsidRDefault="008B69AB" w:rsidP="00AC4844">
      <w:pPr>
        <w:spacing w:after="0" w:line="240" w:lineRule="auto"/>
      </w:pPr>
      <w:r>
        <w:separator/>
      </w:r>
    </w:p>
  </w:endnote>
  <w:endnote w:type="continuationSeparator" w:id="0">
    <w:p w14:paraId="2615FD32" w14:textId="77777777" w:rsidR="008B69AB" w:rsidRDefault="008B69AB" w:rsidP="00AC4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8E7C7" w14:textId="77777777" w:rsidR="008B69AB" w:rsidRDefault="008B69AB" w:rsidP="00AC4844">
      <w:pPr>
        <w:spacing w:after="0" w:line="240" w:lineRule="auto"/>
      </w:pPr>
      <w:r>
        <w:separator/>
      </w:r>
    </w:p>
  </w:footnote>
  <w:footnote w:type="continuationSeparator" w:id="0">
    <w:p w14:paraId="50961D05" w14:textId="77777777" w:rsidR="008B69AB" w:rsidRDefault="008B69AB" w:rsidP="00AC4844">
      <w:pPr>
        <w:spacing w:after="0" w:line="240" w:lineRule="auto"/>
      </w:pPr>
      <w:r>
        <w:continuationSeparator/>
      </w:r>
    </w:p>
  </w:footnote>
  <w:footnote w:id="1">
    <w:p w14:paraId="1168BC22" w14:textId="68F51EB8" w:rsidR="001E156B" w:rsidRPr="00F6627D" w:rsidRDefault="001E156B"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ab/>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{"citationItems":[{"id":"ITEM-1","itemData":{"author":[{"dropping-particle":"","family":"Wignjosoebroto","given":"Soetandyo","non-dropping-particle":"","parse-names":false,"suffix":""}],"editor":[{"dropping-particle":"","family":"Utama)","given":"Ifdhal Kasim (Editor","non-dropping-particle":"","parse-names":false,"suffix":""},{"dropping-particle":"","family":"Yudho","given":"Winarno","non-dropping-particle":"","parse-names":false,"suffix":""},{"dropping-particle":"","family":"Moniaga","given":"Sandra","non-dropping-particle":"","parse-names":false,"suffix":""},{"dropping-particle":"","family":"Fauzi","given":"Noer","non-dropping-particle":"","parse-names":false,"suffix":""},{"dropping-particle":"","family":"Simarmata","given":"Ricardo","non-dropping-particle":"","parse-names":false,"suffix":""},{"dropping-particle":"","family":"RL.","given":"Eddie Sius","non-dropping-particle":"","parse-names":false,"suffix":""}],"id":"ITEM-1","issued":{"date-parts":[["2002"]]},"number-of-pages":"3-5","publisher":"Elsam dan Huma","publisher-place":"Jakarta","title":"Hukum: Paradigma, Metode, dan Masalahnya","type":"book"},"uris":["http://www.mendeley.com/documents/?uuid=0aef0b79-aaa9-412a-a7f8-e4fb16423c58"]}],"mendeley":{"formattedCitation":"Soetandyo Wignjosoebroto, &lt;i&gt;Hukum: Paradigma, Metode, Dan Masalahnya&lt;/i&gt;, ed. Ifdhal Kasim (Editor Utama) et al. (Jakarta: Elsam dan Huma, 2002).","plainTextFormattedCitation":"Soetandyo Wignjosoebroto, Hukum: Paradigma, Metode, Dan Masalahnya, ed. Ifdhal Kasim (Editor Utama) et al. (Jakarta: Elsam dan Huma, 2002).","previouslyFormattedCitation":"Soetandyo Wignjosoebroto, &lt;i&gt;Hukum: Paradigma, Metode, Dan Masalahnya&lt;/i&gt;, ed. Ifdhal Kasim (Editor Utama) et al. (Jakarta: Elsam dan Huma, 2002)."},"properties":{"noteIndex":1},"schema":"https://github.com/citation-style-language/schema/raw/master/csl-citation.json"}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Soetandyo Wignjosoebroto, </w:t>
      </w:r>
      <w:r w:rsidRPr="00F6627D">
        <w:rPr>
          <w:rFonts w:asciiTheme="majorBidi" w:hAnsiTheme="majorBidi" w:cstheme="majorBidi"/>
          <w:i/>
          <w:noProof/>
        </w:rPr>
        <w:t>Hukum: Paradigma, Metode, Dan Masalahnya</w:t>
      </w:r>
      <w:r w:rsidRPr="00F6627D">
        <w:rPr>
          <w:rFonts w:asciiTheme="majorBidi" w:hAnsiTheme="majorBidi" w:cstheme="majorBidi"/>
          <w:noProof/>
        </w:rPr>
        <w:t>, ed. Ifdhal Kasim (Editor Utama) et al. (Jakarta: Elsam dan Huma, 2002).</w:t>
      </w:r>
      <w:r w:rsidRPr="00F6627D">
        <w:rPr>
          <w:rFonts w:asciiTheme="majorBidi" w:hAnsiTheme="majorBidi" w:cstheme="majorBidi"/>
        </w:rPr>
        <w:fldChar w:fldCharType="end"/>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{"citationItems":[{"id":"ITEM-1","itemData":{"author":[{"dropping-particle":"","family":"Wignjosoebroto","given":"Soetandyo","non-dropping-particle":"","parse-names":false,"suffix":""}],"editor":[{"dropping-particle":"","family":"Utama)","given":"Ifdhal Kasim (Editor","non-dropping-particle":"","parse-names":false,"suffix":""},{"dropping-particle":"","family":"Yudho","given":"Winarno","non-dropping-particle":"","parse-names":false,"suffix":""},{"dropping-particle":"","family":"Moniaga","given":"Sandra","non-dropping-particle":"","parse-names":false,"suffix":""},{"dropping-particle":"","family":"Fauzi","given":"Noer","non-dropping-particle":"","parse-names":false,"suffix":""},{"dropping-particle":"","family":"Simarmata","given":"Ricardo","non-dropping-particle":"","parse-names":false,"suffix":""},{"dropping-particle":"","family":"RL.","given":"Eddie Sius","non-dropping-particle":"","parse-names":false,"suffix":""}],"id":"ITEM-1","issued":{"date-parts":[["2002"]]},"number-of-pages":"3-5","publisher":"Elsam dan Huma","publisher-place":"Jakarta","title":"Hukum: Paradigma, Metode, dan Masalahnya","type":"book"},"uris":["http://www.mendeley.com/documents/?uuid=0aef0b79-aaa9-412a-a7f8-e4fb16423c58"]}],"mendeley":{"formattedCitation":"Wignjosoebroto.","manualFormatting":" hlm.","plainTextFormattedCitation":"Wignjosoebroto.","previouslyFormattedCitation":"Wignjosoebroto."},"properties":{"noteIndex":1},"schema":"https://github.com/citation-style-language/schema/raw/master/csl-citation.json"}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 hlm.</w:t>
      </w:r>
      <w:r w:rsidRPr="00F6627D">
        <w:rPr>
          <w:rFonts w:asciiTheme="majorBidi" w:hAnsiTheme="majorBidi" w:cstheme="majorBidi"/>
        </w:rPr>
        <w:fldChar w:fldCharType="end"/>
      </w:r>
      <w:r w:rsidRPr="00F6627D">
        <w:rPr>
          <w:rFonts w:asciiTheme="majorBidi" w:hAnsiTheme="majorBidi" w:cstheme="majorBidi"/>
        </w:rPr>
        <w:t xml:space="preserve"> 147-160</w:t>
      </w:r>
    </w:p>
  </w:footnote>
  <w:footnote w:id="2">
    <w:p w14:paraId="7A061BCC" w14:textId="0CBA6991" w:rsidR="001E156B" w:rsidRPr="00F6627D" w:rsidRDefault="001E156B"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ab/>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{"citationItems":[{"id":"ITEM-1","itemData":{"author":[{"dropping-particle":"","family":"Peter Mahmud Marzuki","given":"","non-dropping-particle":"","parse-names":false,"suffix":""}],"id":"ITEM-1","issued":{"date-parts":[["2010"]]},"publisher":"Prenada Media Group","publisher-place":"Jakarta","title":"Penelitian Hukum","type":"book"},"uris":["http://www.mendeley.com/documents/?uuid=3c181071-9dcf-451b-85b7-754727b28de0"]}],"mendeley":{"formattedCitation":"Peter Mahmud Marzuki, &lt;i&gt;Penelitian Hukum&lt;/i&gt; (Jakarta: Prenada Media Group, 2010).","plainTextFormattedCitation":"Peter Mahmud Marzuki, Penelitian Hukum (Jakarta: Prenada Media Group, 2010).","previouslyFormattedCitation":"Peter Mahmud Marzuki, &lt;i&gt;Penelitian Hukum&lt;/i&gt; (Jakarta: Prenada Media Group, 2010)."},"properties":{"noteIndex":2},"schema":"https://github.com/citation-style-language/schema/raw/master/csl-citation.json"}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Peter Mahmud Marzuki, </w:t>
      </w:r>
      <w:r w:rsidRPr="00F6627D">
        <w:rPr>
          <w:rFonts w:asciiTheme="majorBidi" w:hAnsiTheme="majorBidi" w:cstheme="majorBidi"/>
          <w:i/>
          <w:noProof/>
        </w:rPr>
        <w:t>Penelitian Hukum</w:t>
      </w:r>
      <w:r w:rsidRPr="00F6627D">
        <w:rPr>
          <w:rFonts w:asciiTheme="majorBidi" w:hAnsiTheme="majorBidi" w:cstheme="majorBidi"/>
          <w:noProof/>
        </w:rPr>
        <w:t xml:space="preserve"> (Jakarta: Prenada Media Group, 2010).</w:t>
      </w:r>
      <w:r w:rsidRPr="00F6627D">
        <w:rPr>
          <w:rFonts w:asciiTheme="majorBidi" w:hAnsiTheme="majorBidi" w:cstheme="majorBidi"/>
        </w:rPr>
        <w:fldChar w:fldCharType="end"/>
      </w:r>
    </w:p>
  </w:footnote>
  <w:footnote w:id="3">
    <w:p w14:paraId="57654AD5" w14:textId="0D1DB919" w:rsidR="001E156B" w:rsidRPr="00F6627D" w:rsidRDefault="001E156B"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ab/>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{"citationItems":[{"id":"ITEM-1","itemData":{"author":[{"dropping-particle":"","family":"Amiruddin dan Zainal Asikin","given":"","non-dropping-particle":"","parse-names":false,"suffix":""}],"id":"ITEM-1","issued":{"date-parts":[["2018"]]},"publisher":"Rajawali Press","publisher-place":"Jakarta","title":"Pengantar Penelitian Hukum","type":"book"},"uris":["http://www.mendeley.com/documents/?uuid=8cb73ba1-5aa8-43e9-b3a0-6c1ff3a7fc00"]}],"mendeley":{"formattedCitation":"Amiruddin dan Zainal Asikin, &lt;i&gt;Pengantar Penelitian Hukum&lt;/i&gt; (Jakarta: Rajawali Press, 2018).","plainTextFormattedCitation":"Amiruddin dan Zainal Asikin, Pengantar Penelitian Hukum (Jakarta: Rajawali Press, 2018).","previouslyFormattedCitation":"Amiruddin dan Zainal Asikin, &lt;i&gt;Pengantar Penelitian Hukum&lt;/i&gt; (Jakarta: Rajawali Press, 2018)."},"properties":{"noteIndex":3},"schema":"https://github.com/citation-style-language/schema/raw/master/csl-citation.json"}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Amiruddin dan Zainal Asikin, </w:t>
      </w:r>
      <w:r w:rsidRPr="00F6627D">
        <w:rPr>
          <w:rFonts w:asciiTheme="majorBidi" w:hAnsiTheme="majorBidi" w:cstheme="majorBidi"/>
          <w:i/>
          <w:noProof/>
        </w:rPr>
        <w:t>Pengantar Penelitian Hukum</w:t>
      </w:r>
      <w:r w:rsidRPr="00F6627D">
        <w:rPr>
          <w:rFonts w:asciiTheme="majorBidi" w:hAnsiTheme="majorBidi" w:cstheme="majorBidi"/>
          <w:noProof/>
        </w:rPr>
        <w:t xml:space="preserve"> (Jakarta: Rajawali Press, 2018).</w:t>
      </w:r>
      <w:r w:rsidRPr="00F6627D">
        <w:rPr>
          <w:rFonts w:asciiTheme="majorBidi" w:hAnsiTheme="majorBidi" w:cstheme="majorBidi"/>
        </w:rPr>
        <w:fldChar w:fldCharType="end"/>
      </w:r>
    </w:p>
  </w:footnote>
  <w:footnote w:id="4">
    <w:p w14:paraId="42E100AD" w14:textId="2A984A8A" w:rsidR="000228C2" w:rsidRPr="00F6627D" w:rsidRDefault="000228C2"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proofErr w:type="spellStart"/>
      <w:r w:rsidR="003D4A26" w:rsidRPr="00F6627D">
        <w:rPr>
          <w:rFonts w:asciiTheme="majorBidi" w:hAnsiTheme="majorBidi" w:cstheme="majorBidi"/>
          <w:i/>
          <w:iCs/>
        </w:rPr>
        <w:t>Independence</w:t>
      </w:r>
      <w:proofErr w:type="spellEnd"/>
      <w:r w:rsidR="003D4A26" w:rsidRPr="00F6627D">
        <w:rPr>
          <w:rFonts w:asciiTheme="majorBidi" w:hAnsiTheme="majorBidi" w:cstheme="majorBidi"/>
        </w:rPr>
        <w:t xml:space="preserve"> diartikan sebagai </w:t>
      </w:r>
      <w:r w:rsidRPr="00F6627D">
        <w:rPr>
          <w:rFonts w:asciiTheme="majorBidi" w:hAnsiTheme="majorBidi" w:cstheme="majorBidi"/>
        </w:rPr>
        <w:t xml:space="preserve">kualitas, keadaan, atau kondisi merdeka; terutama, kebebasan suatu negara untuk mengelola semua urusannya, baik eksternal maupun internal, tanpa kontrol dari negara lain. </w:t>
      </w:r>
      <w:r w:rsidR="003D4A26" w:rsidRPr="00F6627D">
        <w:rPr>
          <w:rFonts w:asciiTheme="majorBidi" w:hAnsiTheme="majorBidi" w:cstheme="majorBidi"/>
        </w:rPr>
        <w:t xml:space="preserve">Kemudian </w:t>
      </w:r>
      <w:proofErr w:type="spellStart"/>
      <w:r w:rsidR="003D4A26" w:rsidRPr="00F6627D">
        <w:rPr>
          <w:rFonts w:asciiTheme="majorBidi" w:hAnsiTheme="majorBidi" w:cstheme="majorBidi"/>
          <w:i/>
          <w:iCs/>
        </w:rPr>
        <w:t>Judicial</w:t>
      </w:r>
      <w:proofErr w:type="spellEnd"/>
      <w:r w:rsidR="003D4A26" w:rsidRPr="00F6627D">
        <w:rPr>
          <w:rFonts w:asciiTheme="majorBidi" w:hAnsiTheme="majorBidi" w:cstheme="majorBidi"/>
        </w:rPr>
        <w:t xml:space="preserve"> </w:t>
      </w:r>
      <w:proofErr w:type="spellStart"/>
      <w:r w:rsidR="003D4A26" w:rsidRPr="00F6627D">
        <w:rPr>
          <w:rFonts w:asciiTheme="majorBidi" w:hAnsiTheme="majorBidi" w:cstheme="majorBidi"/>
          <w:i/>
          <w:iCs/>
        </w:rPr>
        <w:t>Independence</w:t>
      </w:r>
      <w:proofErr w:type="spellEnd"/>
      <w:r w:rsidR="003D4A26" w:rsidRPr="00F6627D">
        <w:rPr>
          <w:rFonts w:asciiTheme="majorBidi" w:hAnsiTheme="majorBidi" w:cstheme="majorBidi"/>
        </w:rPr>
        <w:t xml:space="preserve"> diartikan sebagai kemerdekaan yudisial. (1775) Pemisahan struktural lembaga peradilan dari cabang-cabang politik pemerintahan sehingga para hakim bebas dari pengaruh yang tidak semestinya, kepentingan partisan, dan tekanan kelompok-kelompok kepentingan</w:t>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{"citationItems":[{"id":"ITEM-1","itemData":{"author":[{"dropping-particle":"","family":"B.A Garner","given":"","non-dropping-particle":"","parse-names":false,"suffix":""}],"edition":"8th editio","id":"ITEM-1","issued":{"date-parts":[["2004"]]},"publisher":"West Publishing Co","publisher-place":"St Paul Minnessota","title":"Black’s Law Dictionary","type":"book"},"uris":["http://www.mendeley.com/documents/?uuid=535181f2-9a7c-47c7-ac53-d48d573fe11e"]}],"mendeley":{"formattedCitation":"B.A Garner, &lt;i&gt;Black’s Law Dictionary&lt;/i&gt;, 8th editio (St Paul Minnessota: West Publishing Co, 2004).","manualFormatting":"B.A Garner, Black’s Law Dictionary, 8th edition. (St Paul Minnessota: West Publishing Co, 2004), hlm.","plainTextFormattedCitation":"B.A Garner, Black’s Law Dictionary, 8th editio (St Paul Minnessota: West Publishing Co, 2004).","previouslyFormattedCitation":"B.A Garner, &lt;i&gt;Black’s Law Dictionary&lt;/i&gt;, 8th editio (St Paul Minnessota: West Publishing Co, 2004)."},"properties":{"noteIndex":4},"schema":"https://github.com/citation-style-language/schema/raw/master/csl-citation.json"}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B.A Garner, </w:t>
      </w:r>
      <w:r w:rsidRPr="00F6627D">
        <w:rPr>
          <w:rFonts w:asciiTheme="majorBidi" w:hAnsiTheme="majorBidi" w:cstheme="majorBidi"/>
          <w:i/>
          <w:noProof/>
        </w:rPr>
        <w:t>Black’s Law Dictionary</w:t>
      </w:r>
      <w:r w:rsidRPr="00F6627D">
        <w:rPr>
          <w:rFonts w:asciiTheme="majorBidi" w:hAnsiTheme="majorBidi" w:cstheme="majorBidi"/>
          <w:noProof/>
        </w:rPr>
        <w:t>, 8th edition. (St Paul Minnessota: West Publishing Co, 2004)</w:t>
      </w:r>
      <w:r w:rsidR="003D4A26" w:rsidRPr="00F6627D">
        <w:rPr>
          <w:rFonts w:asciiTheme="majorBidi" w:hAnsiTheme="majorBidi" w:cstheme="majorBidi"/>
          <w:noProof/>
        </w:rPr>
        <w:t>, hlm</w:t>
      </w:r>
      <w:r w:rsidRPr="00F6627D">
        <w:rPr>
          <w:rFonts w:asciiTheme="majorBidi" w:hAnsiTheme="majorBidi" w:cstheme="majorBidi"/>
          <w:noProof/>
        </w:rPr>
        <w:t>.</w:t>
      </w:r>
      <w:r w:rsidRPr="00F6627D">
        <w:rPr>
          <w:rFonts w:asciiTheme="majorBidi" w:hAnsiTheme="majorBidi" w:cstheme="majorBidi"/>
        </w:rPr>
        <w:fldChar w:fldCharType="end"/>
      </w:r>
      <w:r w:rsidR="003D4A26" w:rsidRPr="00F6627D">
        <w:rPr>
          <w:rFonts w:asciiTheme="majorBidi" w:hAnsiTheme="majorBidi" w:cstheme="majorBidi"/>
        </w:rPr>
        <w:t xml:space="preserve"> 1775</w:t>
      </w:r>
    </w:p>
  </w:footnote>
  <w:footnote w:id="5">
    <w:p w14:paraId="787B22EF" w14:textId="4941B94E" w:rsidR="00583B7D" w:rsidRPr="00F6627D" w:rsidRDefault="00583B7D"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 xml:space="preserve">Bryan A </w:t>
      </w:r>
      <w:proofErr w:type="spellStart"/>
      <w:r w:rsidRPr="00F6627D">
        <w:rPr>
          <w:rFonts w:asciiTheme="majorBidi" w:hAnsiTheme="majorBidi" w:cstheme="majorBidi"/>
        </w:rPr>
        <w:t>Garner</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Black’s</w:t>
      </w:r>
      <w:proofErr w:type="spellEnd"/>
      <w:r w:rsidRPr="00F6627D">
        <w:rPr>
          <w:rFonts w:asciiTheme="majorBidi" w:hAnsiTheme="majorBidi" w:cstheme="majorBidi"/>
        </w:rPr>
        <w:t xml:space="preserve"> Law </w:t>
      </w:r>
      <w:proofErr w:type="spellStart"/>
      <w:r w:rsidRPr="00F6627D">
        <w:rPr>
          <w:rFonts w:asciiTheme="majorBidi" w:hAnsiTheme="majorBidi" w:cstheme="majorBidi"/>
        </w:rPr>
        <w:t>Dictionary</w:t>
      </w:r>
      <w:proofErr w:type="spellEnd"/>
      <w:r w:rsidRPr="00F6627D">
        <w:rPr>
          <w:rFonts w:asciiTheme="majorBidi" w:hAnsiTheme="majorBidi" w:cstheme="majorBidi"/>
        </w:rPr>
        <w:t>, 8th ed. (</w:t>
      </w:r>
      <w:proofErr w:type="spellStart"/>
      <w:r w:rsidRPr="00F6627D">
        <w:rPr>
          <w:rFonts w:asciiTheme="majorBidi" w:hAnsiTheme="majorBidi" w:cstheme="majorBidi"/>
        </w:rPr>
        <w:t>Minnesota</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West</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Publishing</w:t>
      </w:r>
      <w:proofErr w:type="spellEnd"/>
      <w:r w:rsidRPr="00F6627D">
        <w:rPr>
          <w:rFonts w:asciiTheme="majorBidi" w:hAnsiTheme="majorBidi" w:cstheme="majorBidi"/>
        </w:rPr>
        <w:t xml:space="preserve"> Co, 2004)</w:t>
      </w:r>
    </w:p>
  </w:footnote>
  <w:footnote w:id="6">
    <w:p w14:paraId="564DC02E" w14:textId="179A0730" w:rsidR="00583B7D" w:rsidRPr="00F6627D" w:rsidRDefault="00583B7D"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 xml:space="preserve">Bryan A </w:t>
      </w:r>
      <w:proofErr w:type="spellStart"/>
      <w:r w:rsidRPr="00F6627D">
        <w:rPr>
          <w:rFonts w:asciiTheme="majorBidi" w:hAnsiTheme="majorBidi" w:cstheme="majorBidi"/>
        </w:rPr>
        <w:t>Garner</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Black’s</w:t>
      </w:r>
      <w:proofErr w:type="spellEnd"/>
      <w:r w:rsidRPr="00F6627D">
        <w:rPr>
          <w:rFonts w:asciiTheme="majorBidi" w:hAnsiTheme="majorBidi" w:cstheme="majorBidi"/>
        </w:rPr>
        <w:t xml:space="preserve"> Law </w:t>
      </w:r>
      <w:proofErr w:type="spellStart"/>
      <w:r w:rsidRPr="00F6627D">
        <w:rPr>
          <w:rFonts w:asciiTheme="majorBidi" w:hAnsiTheme="majorBidi" w:cstheme="majorBidi"/>
        </w:rPr>
        <w:t>Dictionary</w:t>
      </w:r>
      <w:proofErr w:type="spellEnd"/>
      <w:r w:rsidRPr="00F6627D">
        <w:rPr>
          <w:rFonts w:asciiTheme="majorBidi" w:hAnsiTheme="majorBidi" w:cstheme="majorBidi"/>
        </w:rPr>
        <w:t>, 8th ed. (</w:t>
      </w:r>
      <w:proofErr w:type="spellStart"/>
      <w:r w:rsidRPr="00F6627D">
        <w:rPr>
          <w:rFonts w:asciiTheme="majorBidi" w:hAnsiTheme="majorBidi" w:cstheme="majorBidi"/>
        </w:rPr>
        <w:t>Minnesota</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West</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Publishing</w:t>
      </w:r>
      <w:proofErr w:type="spellEnd"/>
      <w:r w:rsidRPr="00F6627D">
        <w:rPr>
          <w:rFonts w:asciiTheme="majorBidi" w:hAnsiTheme="majorBidi" w:cstheme="majorBidi"/>
        </w:rPr>
        <w:t xml:space="preserve"> Co, 2004)</w:t>
      </w:r>
    </w:p>
  </w:footnote>
  <w:footnote w:id="7">
    <w:p w14:paraId="031D0D52" w14:textId="52FBABF0" w:rsidR="00CD2DED" w:rsidRPr="00F6627D" w:rsidRDefault="00CD2DED"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{"citationItems":[{"id":"ITEM-1","itemData":{"author":[{"dropping-particle":"","family":"Shimon Shetreet","given":"","non-dropping-particle":"","parse-names":false,"suffix":""}],"container-title":"The International and Comparative Law Quarterly","id":"ITEM-1","issue":"4","issued":{"date-parts":[["1984"]]},"page":"979-1012","title":"Judicial Independence and Accountability in Israel","type":"article-journal","volume":"33"},"uris":["http://www.mendeley.com/documents/?uuid=b989391b-483f-4ecd-b6b7-4d55a8361939"]}],"mendeley":{"formattedCitation":"Shimon Shetreet, “Judicial Independence and Accountability in Israel,” &lt;i&gt;The International and Comparative Law Quarterly&lt;/i&gt; 33, no. 4 (1984): 979–1012.","plainTextFormattedCitation":"Shimon Shetreet, “Judicial Independence and Accountability in Israel,” The International and Comparative Law Quarterly 33, no. 4 (1984): 979–1012.","previouslyFormattedCitation":"Shimon Shetreet, “Judicial Independence and Accountability in Israel,” &lt;i&gt;The International and Comparative Law Quarterly&lt;/i&gt; 33, no. 4 (1984): 979–1012."},"properties":{"noteIndex":7},"schema":"https://github.com/citation-style-language/schema/raw/master/csl-citation.json"}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Shimon Shetreet, “Judicial Independence and Accountability in Israel,” </w:t>
      </w:r>
      <w:r w:rsidRPr="00F6627D">
        <w:rPr>
          <w:rFonts w:asciiTheme="majorBidi" w:hAnsiTheme="majorBidi" w:cstheme="majorBidi"/>
          <w:i/>
          <w:noProof/>
        </w:rPr>
        <w:t>The International and Comparative Law Quarterly</w:t>
      </w:r>
      <w:r w:rsidRPr="00F6627D">
        <w:rPr>
          <w:rFonts w:asciiTheme="majorBidi" w:hAnsiTheme="majorBidi" w:cstheme="majorBidi"/>
          <w:noProof/>
        </w:rPr>
        <w:t xml:space="preserve"> 33, no. 4 (1984): 979–1012.</w:t>
      </w:r>
      <w:r w:rsidRPr="00F6627D">
        <w:rPr>
          <w:rFonts w:asciiTheme="majorBidi" w:hAnsiTheme="majorBidi" w:cstheme="majorBidi"/>
        </w:rPr>
        <w:fldChar w:fldCharType="end"/>
      </w:r>
    </w:p>
  </w:footnote>
  <w:footnote w:id="8">
    <w:p w14:paraId="64F82F41" w14:textId="7D456161" w:rsidR="0083166E" w:rsidRPr="00F6627D" w:rsidRDefault="0083166E"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Putusan Mahkamah Konstitusi Nomor 1-2/PUU-XII/2014 Hlm. 105</w:t>
      </w:r>
    </w:p>
  </w:footnote>
  <w:footnote w:id="9">
    <w:p w14:paraId="00BBA2ED" w14:textId="21FC1D14" w:rsidR="0054421E" w:rsidRPr="00F6627D" w:rsidRDefault="0054421E"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Putusan Mahkamah Konstitusi Nomor 28/PUU-IX/2011 Hlm. 40</w:t>
      </w:r>
    </w:p>
  </w:footnote>
  <w:footnote w:id="10">
    <w:p w14:paraId="2F7A289A" w14:textId="39FAC694" w:rsidR="00D05A1C" w:rsidRPr="00F6627D" w:rsidRDefault="00D05A1C"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Putusan Mahkamah Konstitusi Nomor 28/PUU-IX/2011 Hlm. 40</w:t>
      </w:r>
    </w:p>
  </w:footnote>
  <w:footnote w:id="11">
    <w:p w14:paraId="6DAA2BF3" w14:textId="1090A419" w:rsidR="00D05A1C" w:rsidRPr="00F6627D" w:rsidRDefault="00D05A1C"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Putusan Mahkamah Konstitusi Nomor 28/PUU-IX/2011 Hlm. 40</w:t>
      </w:r>
    </w:p>
  </w:footnote>
  <w:footnote w:id="12">
    <w:p w14:paraId="3BC73FAB" w14:textId="339BCABD" w:rsidR="00D05A1C" w:rsidRPr="00F6627D" w:rsidRDefault="00D05A1C"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Putusan Mahkamah Konstitusi Nomor 28/PUU-IX/2011 Hlm. 41</w:t>
      </w:r>
    </w:p>
  </w:footnote>
  <w:footnote w:id="13">
    <w:p w14:paraId="2ABAE39F" w14:textId="09DAB313" w:rsidR="00D05A1C" w:rsidRPr="00F6627D" w:rsidRDefault="00D05A1C"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Putusan Mahkamah Konstitusi Nomor 28/PUU-IX/2011 Hlm. 42</w:t>
      </w:r>
    </w:p>
  </w:footnote>
  <w:footnote w:id="14">
    <w:p w14:paraId="72C6628B" w14:textId="218CBEA3" w:rsidR="00A047C5" w:rsidRPr="00F6627D" w:rsidRDefault="00A047C5"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i/>
          <w:noProof/>
        </w:rPr>
        <w:fldChar w:fldCharType="begin" w:fldLock="1"/>
      </w:r>
      <w:r w:rsidR="00EC6576" w:rsidRPr="00F6627D">
        <w:rPr>
          <w:rFonts w:asciiTheme="majorBidi" w:hAnsiTheme="majorBidi" w:cstheme="majorBidi"/>
          <w:i/>
          <w:noProof/>
        </w:rPr>
        <w:instrText>ADDIN CSL_CITATION {"citationItems":[{"id":"ITEM-1","itemData":{"DOI":"10.1017/S0003055400189622","ISSN":"15375943","abstract":"Professor Sartori's 1962 article on constitutionalism in the American Political Science Review was influential in the acceptance of a narrow view of the constitution. Sartori argued that constitution meant specifically limitation on government and underplayed the role of the state in establishing a political order. This article argues that there are good historical reasons for keeping a balanced view of a constitutionalism that maintains a tension between strong government, to create a secure and stable order, and limitation on government power. It therefore attempts to reaffirm McIlwain's more traditional view of the constitution as a combination of gubernaculum and jurisdictio, power and its control. © 1982, American Political Science Association. All rights reserved.","author":[{"dropping-particle":"","family":"Maddox","given":"Graham","non-dropping-particle":"","parse-names":false,"suffix":""}],"container-title":"American Political Science Review","id":"ITEM-1","issue":"4","issued":{"date-parts":[["1982"]]},"page":"805-809","title":"A Note on the Meaning of ‘Constitution’","type":"article-journal","volume":"76"},"uris":["http://www.mendeley.com/documents/?uuid=ad974246-b905-4f22-8c75-45860fac9d7a"]}],"mendeley":{"formattedCitation":"Graham Maddox, “A Note on the Meaning of ‘Constitution,’” &lt;i&gt;American Political Science Review&lt;/i&gt; 76, no. 4 (1982): 805–9, https://doi.org/10.1017/S0003055400189622.","plainTextFormattedCitation":"Graham Maddox, “A Note on the Meaning of ‘Constitution,’” American Political Science Review 76, no. 4 (1982): 805–9, https://doi.org/10.1017/S0003055400189622.","previouslyFormattedCitation":"Graham Maddox, “A Note on the Meaning of ‘Constitution,’” &lt;i&gt;American Political Science Review&lt;/i&gt; 76, no. 4 (1982): 805–9, https://doi.org/10.1017/S0003055400189622."},"properties":{"noteIndex":14},"schema":"https://github.com/citation-style-language/schema/raw/master/csl-citation.json"}</w:instrText>
      </w:r>
      <w:r w:rsidRPr="00F6627D">
        <w:rPr>
          <w:rFonts w:asciiTheme="majorBidi" w:hAnsiTheme="majorBidi" w:cstheme="majorBidi"/>
          <w:i/>
          <w:noProof/>
        </w:rPr>
        <w:fldChar w:fldCharType="separate"/>
      </w:r>
      <w:r w:rsidR="00201F1F" w:rsidRPr="00F6627D">
        <w:rPr>
          <w:rFonts w:asciiTheme="majorBidi" w:hAnsiTheme="majorBidi" w:cstheme="majorBidi"/>
          <w:noProof/>
        </w:rPr>
        <w:t xml:space="preserve">Graham Maddox, “A Note on the Meaning of ‘Constitution,’” </w:t>
      </w:r>
      <w:r w:rsidR="00201F1F" w:rsidRPr="00F6627D">
        <w:rPr>
          <w:rFonts w:asciiTheme="majorBidi" w:hAnsiTheme="majorBidi" w:cstheme="majorBidi"/>
          <w:i/>
          <w:noProof/>
        </w:rPr>
        <w:t>American Political Science Review</w:t>
      </w:r>
      <w:r w:rsidR="00201F1F" w:rsidRPr="00F6627D">
        <w:rPr>
          <w:rFonts w:asciiTheme="majorBidi" w:hAnsiTheme="majorBidi" w:cstheme="majorBidi"/>
          <w:noProof/>
        </w:rPr>
        <w:t xml:space="preserve"> 76, no. 4 (1982): 805–9, https://doi.org/10.1017/S0003055400189622.</w:t>
      </w:r>
      <w:r w:rsidRPr="00F6627D">
        <w:rPr>
          <w:rFonts w:asciiTheme="majorBidi" w:hAnsiTheme="majorBidi" w:cstheme="majorBidi"/>
        </w:rPr>
        <w:fldChar w:fldCharType="end"/>
      </w:r>
    </w:p>
  </w:footnote>
  <w:footnote w:id="15">
    <w:p w14:paraId="3FBF639C" w14:textId="0F5038DF" w:rsidR="00A047C5" w:rsidRPr="00F6627D" w:rsidRDefault="00A047C5"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{"citationItems":[{"id":"ITEM-1","itemData":{"author":[{"dropping-particle":"","family":"Blerton SINANI","given":"","non-dropping-particle":"","parse-names":false,"suffix":""}],"container-title":"A Critical-Legal Overview of the Concept of Constitution","id":"ITEM-1","issued":{"date-parts":[["2019"]]},"page":"2441-2463","title":"Constitution As the Highest Legal-Political Act","type":"article-journal","volume":"10"},"uris":["http://www.mendeley.com/documents/?uuid=d556d608-bd3c-4a6b-80f6-5ddd062815f2"]}],"mendeley":{"formattedCitation":"Blerton SINANI, “Constitution As the Highest Legal-Political Act,” &lt;i&gt;A Critical-Legal Overview of the Concept of Constitution&lt;/i&gt; 10 (2019): 2441–63.","plainTextFormattedCitation":"Blerton SINANI, “Constitution As the Highest Legal-Political Act,” A Critical-Legal Overview of the Concept of Constitution 10 (2019): 2441–63.","previouslyFormattedCitation":"Blerton SINANI, “Constitution As the Highest Legal-Political Act,” &lt;i&gt;A Critical-Legal Overview of the Concept of Constitution&lt;/i&gt; 10 (2019): 2441–63."},"properties":{"noteIndex":15},"schema":"https://github.com/citation-style-language/schema/raw/master/csl-citation.json"}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Blerton SINANI, “Constitution As the Highest Legal-Political Act,” </w:t>
      </w:r>
      <w:r w:rsidR="00201F1F" w:rsidRPr="00F6627D">
        <w:rPr>
          <w:rFonts w:asciiTheme="majorBidi" w:hAnsiTheme="majorBidi" w:cstheme="majorBidi"/>
          <w:i/>
          <w:noProof/>
        </w:rPr>
        <w:t>A Critical-Legal Overview of the Concept of Constitution</w:t>
      </w:r>
      <w:r w:rsidR="00201F1F" w:rsidRPr="00F6627D">
        <w:rPr>
          <w:rFonts w:asciiTheme="majorBidi" w:hAnsiTheme="majorBidi" w:cstheme="majorBidi"/>
          <w:noProof/>
        </w:rPr>
        <w:t xml:space="preserve"> 10 (2019): 2441–63.</w:t>
      </w:r>
      <w:r w:rsidRPr="00F6627D">
        <w:rPr>
          <w:rFonts w:asciiTheme="majorBidi" w:hAnsiTheme="majorBidi" w:cstheme="majorBidi"/>
        </w:rPr>
        <w:fldChar w:fldCharType="end"/>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{"citationItems":[{"id":"ITEM-1","itemData":{"DOI":"10.1023/A:1008724612813","ISSN":"09291261","abstract":"Constitutional change is often thought of as explicit constitutional change, i.e., as change that implies a modified wording of the constitutional document. In this paper, the possibilities of implicit constitutional change, i.e., change that is not accompanied by formally changing the constitution, are analyzed. The separation of powers à la Montesquieu is taken as a starting point and it will be argued that constitutional change can be brought about by all government branches, i.e., by the executive, the legislature, and the judiciary. If this argument is accepted it follows that the judiciary-even when endowed with the competence of judicial review-is not the ultimate arbiter in supervising constitutional change. It is the main hypothesis of this paper that the judiciary in bringing about implicit constitutional change is subject to a number of constraints among which the original document plays a rather marginal role. Instead, it is claimed that the current preferences of the other government organs as well as those of the population are more relevant in ascertaining the meaning of the constitution at a given point in time. © 1999 Kluwer Academic Publishers.","author":[{"dropping-particle":"","family":"Voigt","given":"Stefan","non-dropping-particle":"","parse-names":false,"suffix":""}],"container-title":"European Journal of Law and Economics","id":"ITEM-1","issue":"3","issued":{"date-parts":[["1999"]]},"page":"197-224","title":"Implicit consitutional change-changing the meaning of the constitution without changing the text of the document","type":"article-journal","volume":"7"},"uris":["http://www.mendeley.com/documents/?uuid=d2590dd7-cc93-492c-b0f5-a70269978a0b"]}],"mendeley":{"formattedCitation":"Stefan Voigt, “Implicit Consitutional Change-Changing the Meaning of the Constitution without Changing the Text of the Document,” &lt;i&gt;European Journal of Law and Economics&lt;/i&gt; 7, no. 3 (1999): 197–224, https://doi.org/10.1023/A:1008724612813.","plainTextFormattedCitation":"Stefan Voigt, “Implicit Consitutional Change-Changing the Meaning of the Constitution without Changing the Text of the Document,” European Journal of Law and Economics 7, no. 3 (1999): 197–224, https://doi.org/10.1023/A:1008724612813.","previouslyFormattedCitation":"Stefan Voigt, “Implicit Consitutional Change-Changing the Meaning of the Constitution without Changing the Text of the Document,” &lt;i&gt;European Journal of Law and Economics&lt;/i&gt; 7, no. 3 (1999): 197–224, https://doi.org/10.1023/A:1008724612813."},"properties":{"noteIndex":15},"schema":"https://github.com/citation-style-language/schema/raw/master/csl-citation.json"}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Stefan Voigt, “Implicit Consitutional Change-Changing the Meaning of the Constitution without Changing the Text of the Document,” </w:t>
      </w:r>
      <w:r w:rsidR="00201F1F" w:rsidRPr="00F6627D">
        <w:rPr>
          <w:rFonts w:asciiTheme="majorBidi" w:hAnsiTheme="majorBidi" w:cstheme="majorBidi"/>
          <w:i/>
          <w:noProof/>
        </w:rPr>
        <w:t>European Journal of Law and Economics</w:t>
      </w:r>
      <w:r w:rsidR="00201F1F" w:rsidRPr="00F6627D">
        <w:rPr>
          <w:rFonts w:asciiTheme="majorBidi" w:hAnsiTheme="majorBidi" w:cstheme="majorBidi"/>
          <w:noProof/>
        </w:rPr>
        <w:t xml:space="preserve"> 7, no. 3 (1999): 197–224, https://doi.org/10.1023/A:1008724612813.</w:t>
      </w:r>
      <w:r w:rsidRPr="00F6627D">
        <w:rPr>
          <w:rFonts w:asciiTheme="majorBidi" w:hAnsiTheme="majorBidi" w:cstheme="majorBidi"/>
        </w:rPr>
        <w:fldChar w:fldCharType="end"/>
      </w:r>
    </w:p>
  </w:footnote>
  <w:footnote w:id="16">
    <w:p w14:paraId="2C5D2DEA" w14:textId="62CB70D4" w:rsidR="00A047C5" w:rsidRPr="00F6627D" w:rsidRDefault="00A047C5"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{"citationItems":[{"id":"ITEM-1","itemData":{"DOI":"10.15294/jllr.v3i1.49536","ISSN":"2715-0941","abstract":"The purpose of this study is to find out the comparison of constitutional law in Indonesia and the United States in terms of the development of the constitution and the mechanism for changing the constitution (UUD). The method used in this research is in the form of legal research. The type of research used for this approach is normative legal research. As in the United States constitution, Article V regulates how to amend the constitution. Meanwhile, in Indonesia, the mechanism for this change is regulated in Article 37 of the 1945 Constitution (UUD). The United States and Indonesia are countries that have adopted a presidential system of government with a republican form of government. In addition, the state institution authorized to make changes to the constitution of each country is the legislature. If in the United States the one who can amend the Constitution is the Congress consisting of the House of Representatives and the Senate, then in Indonesia the authority to make changes to the Constitution is the MPR, which includes the DPR and DPD. Then, the form of the constitution used by the two countries is the same as the Written Constitution. The existence of the United States Constitution is actually an effort to realize the principles stated in a Declaration of Independence (1776). The Declaration is based on French philosophical and English Enlightenment schools. The main purpose of the United States constitution is to guarantee the rights of the states. ","author":[{"dropping-particle":"","family":"Siburian","given":"H M Sahat Radot","non-dropping-particle":"","parse-names":false,"suffix":""}],"container-title":"Journal of Law and Legal Reform","id":"ITEM-1","issue":"1","issued":{"date-parts":[["2022"]]},"page":"39-66","title":"Constitution Formulation and Amendment in Indonesian and American Legal System: A Comparative Study","type":"article-journal","volume":"3"},"uris":["http://www.mendeley.com/documents/?uuid=17dc43bd-5183-4af2-b84d-5a66d6180aaf"]}],"mendeley":{"formattedCitation":"H M Sahat Radot Siburian, “Constitution Formulation and Amendment in Indonesian and American Legal System: A Comparative Study,” &lt;i&gt;Journal of Law and Legal Reform&lt;/i&gt; 3, no. 1 (2022): 39–66, https://doi.org/10.15294/jllr.v3i1.49536.","plainTextFormattedCitation":"H M Sahat Radot Siburian, “Constitution Formulation and Amendment in Indonesian and American Legal System: A Comparative Study,” Journal of Law and Legal Reform 3, no. 1 (2022): 39–66, https://doi.org/10.15294/jllr.v3i1.49536.","previouslyFormattedCitation":"H M Sahat Radot Siburian, “Constitution Formulation and Amendment in Indonesian and American Legal System: A Comparative Study,” &lt;i&gt;Journal of Law and Legal Reform&lt;/i&gt; 3, no. 1 (2022): 39–66, https://doi.org/10.15294/jllr.v3i1.49536."},"properties":{"noteIndex":16},"schema":"https://github.com/citation-style-language/schema/raw/master/csl-citation.json"}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H M Sahat Radot Siburian, “Constitution Formulation and Amendment in Indonesian and American Legal System: A Comparative Study,” </w:t>
      </w:r>
      <w:r w:rsidR="00201F1F" w:rsidRPr="00F6627D">
        <w:rPr>
          <w:rFonts w:asciiTheme="majorBidi" w:hAnsiTheme="majorBidi" w:cstheme="majorBidi"/>
          <w:i/>
          <w:noProof/>
        </w:rPr>
        <w:t>Journal of Law and Legal Reform</w:t>
      </w:r>
      <w:r w:rsidR="00201F1F" w:rsidRPr="00F6627D">
        <w:rPr>
          <w:rFonts w:asciiTheme="majorBidi" w:hAnsiTheme="majorBidi" w:cstheme="majorBidi"/>
          <w:noProof/>
        </w:rPr>
        <w:t xml:space="preserve"> 3, no. 1 (2022): 39–66, https://doi.org/10.15294/jllr.v3i1.49536.</w:t>
      </w:r>
      <w:r w:rsidRPr="00F6627D">
        <w:rPr>
          <w:rFonts w:asciiTheme="majorBidi" w:hAnsiTheme="majorBidi" w:cstheme="majorBidi"/>
        </w:rPr>
        <w:fldChar w:fldCharType="end"/>
      </w:r>
    </w:p>
  </w:footnote>
  <w:footnote w:id="17">
    <w:p w14:paraId="3E08C420" w14:textId="3813B978" w:rsidR="000A1A2E" w:rsidRPr="00F6627D" w:rsidRDefault="000A1A2E"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hyperlink r:id="rId1" w:history="1">
        <w:r w:rsidRPr="00F6627D">
          <w:rPr>
            <w:rStyle w:val="Hyperlink"/>
            <w:rFonts w:asciiTheme="majorBidi" w:hAnsiTheme="majorBidi" w:cstheme="majorBidi"/>
          </w:rPr>
          <w:t>https://www.hukumonline.com/berita/a/hak-konstitusional-warga-negara-lt640908f758dd9/</w:t>
        </w:r>
      </w:hyperlink>
      <w:r w:rsidRPr="00F6627D">
        <w:rPr>
          <w:rFonts w:asciiTheme="majorBidi" w:hAnsiTheme="majorBidi" w:cstheme="majorBidi"/>
        </w:rPr>
        <w:t>, diakses pada tanggal 3 Agustus 2023</w:t>
      </w:r>
    </w:p>
  </w:footnote>
  <w:footnote w:id="18">
    <w:p w14:paraId="7ABF21D6" w14:textId="1346AB9C" w:rsidR="00E556C9" w:rsidRPr="00F6627D" w:rsidRDefault="00E556C9"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{"citationItems":[{"id":"ITEM-1","itemData":{"author":[{"dropping-particle":"","family":"M. Quraish Shihab","given":"","non-dropping-particle":"","parse-names":false,"suffix":""}],"id":"ITEM-1","issued":{"date-parts":[["2006"]]},"publisher":"Lentera Hati","publisher-place":"Jakarta","title":"Perempuan","type":"book"},"uris":["http://www.mendeley.com/documents/?uuid=afaec5ae-565b-418b-9beb-c0c99b633385"]}],"mendeley":{"formattedCitation":"M. Quraish Shihab, &lt;i&gt;Perempuan&lt;/i&gt; (Jakarta: Lentera Hati, 2006).","manualFormatting":"M. Quraish Shihab, Perempuan (Jakarta: Lentera Hati, 2006), hlm.","plainTextFormattedCitation":"M. Quraish Shihab, Perempuan (Jakarta: Lentera Hati, 2006).","previouslyFormattedCitation":"M. Quraish Shihab, &lt;i&gt;Perempuan&lt;/i&gt; (Jakarta: Lentera Hati, 2006)."},"properties":{"noteIndex":18},"schema":"https://github.com/citation-style-language/schema/raw/master/csl-citation.json"}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M. Quraish Shihab, </w:t>
      </w:r>
      <w:r w:rsidRPr="00F6627D">
        <w:rPr>
          <w:rFonts w:asciiTheme="majorBidi" w:hAnsiTheme="majorBidi" w:cstheme="majorBidi"/>
          <w:i/>
          <w:noProof/>
        </w:rPr>
        <w:t>Perempuan</w:t>
      </w:r>
      <w:r w:rsidRPr="00F6627D">
        <w:rPr>
          <w:rFonts w:asciiTheme="majorBidi" w:hAnsiTheme="majorBidi" w:cstheme="majorBidi"/>
          <w:noProof/>
        </w:rPr>
        <w:t xml:space="preserve"> (Jakarta: Lentera Hati, 2006), hlm.</w:t>
      </w:r>
      <w:r w:rsidRPr="00F6627D">
        <w:rPr>
          <w:rFonts w:asciiTheme="majorBidi" w:hAnsiTheme="majorBidi" w:cstheme="majorBidi"/>
        </w:rPr>
        <w:fldChar w:fldCharType="end"/>
      </w:r>
      <w:r w:rsidRPr="00F6627D">
        <w:rPr>
          <w:rFonts w:asciiTheme="majorBidi" w:hAnsiTheme="majorBidi" w:cstheme="majorBidi"/>
        </w:rPr>
        <w:t xml:space="preserve"> 216</w:t>
      </w:r>
    </w:p>
  </w:footnote>
  <w:footnote w:id="19">
    <w:p w14:paraId="46D2BF11" w14:textId="2019C563" w:rsidR="00253ABE" w:rsidRPr="00F6627D" w:rsidRDefault="00253ABE"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 xml:space="preserve">tujuan syariat Islam yang primer menjadi tujuh, yaitu </w:t>
      </w:r>
      <w:proofErr w:type="spellStart"/>
      <w:r w:rsidRPr="00F6627D">
        <w:rPr>
          <w:rFonts w:asciiTheme="majorBidi" w:hAnsiTheme="majorBidi" w:cstheme="majorBidi"/>
          <w:i/>
          <w:iCs/>
        </w:rPr>
        <w:t>hifz</w:t>
      </w:r>
      <w:proofErr w:type="spellEnd"/>
      <w:r w:rsidRPr="00F6627D">
        <w:rPr>
          <w:rFonts w:asciiTheme="majorBidi" w:hAnsiTheme="majorBidi" w:cstheme="majorBidi"/>
        </w:rPr>
        <w:t xml:space="preserve"> </w:t>
      </w:r>
      <w:proofErr w:type="spellStart"/>
      <w:r w:rsidRPr="00F6627D">
        <w:rPr>
          <w:rFonts w:asciiTheme="majorBidi" w:hAnsiTheme="majorBidi" w:cstheme="majorBidi"/>
          <w:i/>
          <w:iCs/>
        </w:rPr>
        <w:t>al-dûn</w:t>
      </w:r>
      <w:proofErr w:type="spellEnd"/>
      <w:r w:rsidRPr="00F6627D">
        <w:rPr>
          <w:rFonts w:asciiTheme="majorBidi" w:hAnsiTheme="majorBidi" w:cstheme="majorBidi"/>
          <w:i/>
          <w:iCs/>
        </w:rPr>
        <w:t xml:space="preserve"> </w:t>
      </w:r>
      <w:r w:rsidRPr="00F6627D">
        <w:rPr>
          <w:rFonts w:asciiTheme="majorBidi" w:hAnsiTheme="majorBidi" w:cstheme="majorBidi"/>
        </w:rPr>
        <w:t xml:space="preserve">(pelestarian agama), </w:t>
      </w:r>
      <w:proofErr w:type="spellStart"/>
      <w:r w:rsidRPr="00F6627D">
        <w:rPr>
          <w:rFonts w:asciiTheme="majorBidi" w:hAnsiTheme="majorBidi" w:cstheme="majorBidi"/>
          <w:i/>
          <w:iCs/>
        </w:rPr>
        <w:t>hifz</w:t>
      </w:r>
      <w:proofErr w:type="spellEnd"/>
      <w:r w:rsidRPr="00F6627D">
        <w:rPr>
          <w:rFonts w:asciiTheme="majorBidi" w:hAnsiTheme="majorBidi" w:cstheme="majorBidi"/>
        </w:rPr>
        <w:t xml:space="preserve"> </w:t>
      </w:r>
      <w:proofErr w:type="spellStart"/>
      <w:r w:rsidRPr="00F6627D">
        <w:rPr>
          <w:rFonts w:asciiTheme="majorBidi" w:hAnsiTheme="majorBidi" w:cstheme="majorBidi"/>
          <w:i/>
          <w:iCs/>
        </w:rPr>
        <w:t>al-nafs</w:t>
      </w:r>
      <w:proofErr w:type="spellEnd"/>
      <w:r w:rsidRPr="00F6627D">
        <w:rPr>
          <w:rFonts w:asciiTheme="majorBidi" w:hAnsiTheme="majorBidi" w:cstheme="majorBidi"/>
          <w:i/>
          <w:iCs/>
        </w:rPr>
        <w:t xml:space="preserve"> </w:t>
      </w:r>
      <w:r w:rsidRPr="00F6627D">
        <w:rPr>
          <w:rFonts w:asciiTheme="majorBidi" w:hAnsiTheme="majorBidi" w:cstheme="majorBidi"/>
        </w:rPr>
        <w:t xml:space="preserve">(pelestarian nyawa), </w:t>
      </w:r>
      <w:proofErr w:type="spellStart"/>
      <w:r w:rsidRPr="00F6627D">
        <w:rPr>
          <w:rFonts w:asciiTheme="majorBidi" w:hAnsiTheme="majorBidi" w:cstheme="majorBidi"/>
          <w:i/>
          <w:iCs/>
        </w:rPr>
        <w:t>hifz</w:t>
      </w:r>
      <w:proofErr w:type="spellEnd"/>
      <w:r w:rsidRPr="00F6627D">
        <w:rPr>
          <w:rFonts w:asciiTheme="majorBidi" w:hAnsiTheme="majorBidi" w:cstheme="majorBidi"/>
        </w:rPr>
        <w:t xml:space="preserve"> </w:t>
      </w:r>
      <w:proofErr w:type="spellStart"/>
      <w:r w:rsidRPr="00F6627D">
        <w:rPr>
          <w:rFonts w:asciiTheme="majorBidi" w:hAnsiTheme="majorBidi" w:cstheme="majorBidi"/>
          <w:i/>
          <w:iCs/>
        </w:rPr>
        <w:t>al</w:t>
      </w:r>
      <w:proofErr w:type="spellEnd"/>
      <w:r w:rsidRPr="00F6627D">
        <w:rPr>
          <w:rFonts w:asciiTheme="majorBidi" w:hAnsiTheme="majorBidi" w:cstheme="majorBidi"/>
          <w:i/>
          <w:iCs/>
        </w:rPr>
        <w:t xml:space="preserve">-mal </w:t>
      </w:r>
      <w:r w:rsidRPr="00F6627D">
        <w:rPr>
          <w:rFonts w:asciiTheme="majorBidi" w:hAnsiTheme="majorBidi" w:cstheme="majorBidi"/>
        </w:rPr>
        <w:t xml:space="preserve">(pelestarian harta), </w:t>
      </w:r>
      <w:proofErr w:type="spellStart"/>
      <w:r w:rsidRPr="00F6627D">
        <w:rPr>
          <w:rFonts w:asciiTheme="majorBidi" w:hAnsiTheme="majorBidi" w:cstheme="majorBidi"/>
          <w:i/>
          <w:iCs/>
        </w:rPr>
        <w:t>hifz</w:t>
      </w:r>
      <w:proofErr w:type="spellEnd"/>
      <w:r w:rsidRPr="00F6627D">
        <w:rPr>
          <w:rFonts w:asciiTheme="majorBidi" w:hAnsiTheme="majorBidi" w:cstheme="majorBidi"/>
        </w:rPr>
        <w:t xml:space="preserve"> </w:t>
      </w:r>
      <w:proofErr w:type="spellStart"/>
      <w:r w:rsidRPr="00F6627D">
        <w:rPr>
          <w:rFonts w:asciiTheme="majorBidi" w:hAnsiTheme="majorBidi" w:cstheme="majorBidi"/>
          <w:i/>
          <w:iCs/>
        </w:rPr>
        <w:t>al</w:t>
      </w:r>
      <w:proofErr w:type="spellEnd"/>
      <w:r w:rsidRPr="00F6627D">
        <w:rPr>
          <w:rFonts w:asciiTheme="majorBidi" w:hAnsiTheme="majorBidi" w:cstheme="majorBidi"/>
          <w:i/>
          <w:iCs/>
        </w:rPr>
        <w:t>-‘</w:t>
      </w:r>
      <w:proofErr w:type="spellStart"/>
      <w:r w:rsidRPr="00F6627D">
        <w:rPr>
          <w:rFonts w:asciiTheme="majorBidi" w:hAnsiTheme="majorBidi" w:cstheme="majorBidi"/>
          <w:i/>
          <w:iCs/>
        </w:rPr>
        <w:t>aql</w:t>
      </w:r>
      <w:proofErr w:type="spellEnd"/>
      <w:r w:rsidRPr="00F6627D">
        <w:rPr>
          <w:rFonts w:asciiTheme="majorBidi" w:hAnsiTheme="majorBidi" w:cstheme="majorBidi"/>
          <w:i/>
          <w:iCs/>
        </w:rPr>
        <w:t xml:space="preserve"> </w:t>
      </w:r>
      <w:r w:rsidRPr="00F6627D">
        <w:rPr>
          <w:rFonts w:asciiTheme="majorBidi" w:hAnsiTheme="majorBidi" w:cstheme="majorBidi"/>
        </w:rPr>
        <w:t xml:space="preserve">(pelestarian akal) dan </w:t>
      </w:r>
      <w:proofErr w:type="spellStart"/>
      <w:r w:rsidRPr="00F6627D">
        <w:rPr>
          <w:rFonts w:asciiTheme="majorBidi" w:hAnsiTheme="majorBidi" w:cstheme="majorBidi"/>
          <w:i/>
          <w:iCs/>
        </w:rPr>
        <w:t>hifz</w:t>
      </w:r>
      <w:proofErr w:type="spellEnd"/>
      <w:r w:rsidRPr="00F6627D">
        <w:rPr>
          <w:rFonts w:asciiTheme="majorBidi" w:hAnsiTheme="majorBidi" w:cstheme="majorBidi"/>
        </w:rPr>
        <w:t xml:space="preserve"> </w:t>
      </w:r>
      <w:proofErr w:type="spellStart"/>
      <w:r w:rsidRPr="00F6627D">
        <w:rPr>
          <w:rFonts w:asciiTheme="majorBidi" w:hAnsiTheme="majorBidi" w:cstheme="majorBidi"/>
          <w:i/>
          <w:iCs/>
        </w:rPr>
        <w:t>al-nasl</w:t>
      </w:r>
      <w:proofErr w:type="spellEnd"/>
      <w:r w:rsidRPr="00F6627D">
        <w:rPr>
          <w:rFonts w:asciiTheme="majorBidi" w:hAnsiTheme="majorBidi" w:cstheme="majorBidi"/>
          <w:i/>
          <w:iCs/>
        </w:rPr>
        <w:t xml:space="preserve"> </w:t>
      </w:r>
      <w:r w:rsidRPr="00F6627D">
        <w:rPr>
          <w:rFonts w:asciiTheme="majorBidi" w:hAnsiTheme="majorBidi" w:cstheme="majorBidi"/>
        </w:rPr>
        <w:t xml:space="preserve">(pelestarian keturunan). Sebagian ulama menambah </w:t>
      </w:r>
      <w:proofErr w:type="spellStart"/>
      <w:r w:rsidRPr="00F6627D">
        <w:rPr>
          <w:rFonts w:asciiTheme="majorBidi" w:hAnsiTheme="majorBidi" w:cstheme="majorBidi"/>
          <w:i/>
          <w:iCs/>
        </w:rPr>
        <w:t>hifz</w:t>
      </w:r>
      <w:proofErr w:type="spellEnd"/>
      <w:r w:rsidRPr="00F6627D">
        <w:rPr>
          <w:rFonts w:asciiTheme="majorBidi" w:hAnsiTheme="majorBidi" w:cstheme="majorBidi"/>
        </w:rPr>
        <w:t xml:space="preserve"> </w:t>
      </w:r>
      <w:proofErr w:type="spellStart"/>
      <w:r w:rsidRPr="00F6627D">
        <w:rPr>
          <w:rFonts w:asciiTheme="majorBidi" w:hAnsiTheme="majorBidi" w:cstheme="majorBidi"/>
          <w:i/>
          <w:iCs/>
        </w:rPr>
        <w:t>al</w:t>
      </w:r>
      <w:proofErr w:type="spellEnd"/>
      <w:r w:rsidRPr="00F6627D">
        <w:rPr>
          <w:rFonts w:asciiTheme="majorBidi" w:hAnsiTheme="majorBidi" w:cstheme="majorBidi"/>
          <w:i/>
          <w:iCs/>
        </w:rPr>
        <w:t>-‘</w:t>
      </w:r>
      <w:proofErr w:type="spellStart"/>
      <w:r w:rsidRPr="00F6627D">
        <w:rPr>
          <w:rFonts w:asciiTheme="majorBidi" w:hAnsiTheme="majorBidi" w:cstheme="majorBidi"/>
          <w:i/>
          <w:iCs/>
        </w:rPr>
        <w:t>ird</w:t>
      </w:r>
      <w:proofErr w:type="spellEnd"/>
      <w:r w:rsidRPr="00F6627D">
        <w:rPr>
          <w:rFonts w:asciiTheme="majorBidi" w:hAnsiTheme="majorBidi" w:cstheme="majorBidi"/>
        </w:rPr>
        <w:t xml:space="preserve"> (pelestarian kehormatan) untuk menggenapkan kelima </w:t>
      </w:r>
      <w:proofErr w:type="spellStart"/>
      <w:r w:rsidRPr="00F6627D">
        <w:rPr>
          <w:rFonts w:asciiTheme="majorBidi" w:hAnsiTheme="majorBidi" w:cstheme="majorBidi"/>
          <w:i/>
          <w:iCs/>
        </w:rPr>
        <w:t>maqâshid</w:t>
      </w:r>
      <w:proofErr w:type="spellEnd"/>
      <w:r w:rsidRPr="00F6627D">
        <w:rPr>
          <w:rFonts w:asciiTheme="majorBidi" w:hAnsiTheme="majorBidi" w:cstheme="majorBidi"/>
          <w:i/>
          <w:iCs/>
        </w:rPr>
        <w:t xml:space="preserve"> </w:t>
      </w:r>
      <w:proofErr w:type="spellStart"/>
      <w:r w:rsidRPr="00F6627D">
        <w:rPr>
          <w:rFonts w:asciiTheme="majorBidi" w:hAnsiTheme="majorBidi" w:cstheme="majorBidi"/>
          <w:i/>
          <w:iCs/>
        </w:rPr>
        <w:t>al-syarî’ah</w:t>
      </w:r>
      <w:proofErr w:type="spellEnd"/>
      <w:r w:rsidRPr="00F6627D">
        <w:rPr>
          <w:rFonts w:asciiTheme="majorBidi" w:hAnsiTheme="majorBidi" w:cstheme="majorBidi"/>
        </w:rPr>
        <w:t xml:space="preserve"> itu menjadi enam tujuan pokok/primer atau keniscayaan.</w:t>
      </w:r>
      <w:r w:rsidRPr="00F6627D">
        <w:rPr>
          <w:rFonts w:asciiTheme="majorBidi" w:hAnsiTheme="majorBidi" w:cstheme="majorBidi"/>
          <w:vertAlign w:val="superscript"/>
        </w:rPr>
        <w:t xml:space="preserve"> </w:t>
      </w:r>
      <w:r w:rsidRPr="00F6627D">
        <w:rPr>
          <w:rFonts w:asciiTheme="majorBidi" w:hAnsiTheme="majorBidi" w:cstheme="majorBidi"/>
        </w:rPr>
        <w:t xml:space="preserve">Selain itu ada juga yang memasukkan </w:t>
      </w:r>
      <w:proofErr w:type="spellStart"/>
      <w:r w:rsidRPr="00F6627D">
        <w:rPr>
          <w:rFonts w:asciiTheme="majorBidi" w:hAnsiTheme="majorBidi" w:cstheme="majorBidi"/>
          <w:i/>
          <w:iCs/>
        </w:rPr>
        <w:t>al</w:t>
      </w:r>
      <w:proofErr w:type="spellEnd"/>
      <w:r w:rsidRPr="00F6627D">
        <w:rPr>
          <w:rFonts w:asciiTheme="majorBidi" w:hAnsiTheme="majorBidi" w:cstheme="majorBidi"/>
          <w:i/>
          <w:iCs/>
        </w:rPr>
        <w:t>- '</w:t>
      </w:r>
      <w:proofErr w:type="spellStart"/>
      <w:r w:rsidRPr="00F6627D">
        <w:rPr>
          <w:rFonts w:asciiTheme="majorBidi" w:hAnsiTheme="majorBidi" w:cstheme="majorBidi"/>
          <w:i/>
          <w:iCs/>
        </w:rPr>
        <w:t>adl</w:t>
      </w:r>
      <w:proofErr w:type="spellEnd"/>
      <w:r w:rsidRPr="00F6627D">
        <w:rPr>
          <w:rFonts w:asciiTheme="majorBidi" w:hAnsiTheme="majorBidi" w:cstheme="majorBidi"/>
        </w:rPr>
        <w:t xml:space="preserve"> (keadilan).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{"citationItems":[{"id":"ITEM-1","itemData":{"DOI":"10.2307/j.ctvkc67tg.8","abstract":"I am writing these lines after I drove this morning through London, UK, to my office. It was supposed to be a pleasent experience, given the great July weather and the (unusual!) clear skies today. However, unfortunately, this morning’s drive to work was not a pleasant experience, because the city, and the whole country, is on the ‘highest level of alert.’ Security people told us yesterday that this means that another ‘terrorist’ attack is ‘eminent’! So, like all Londoners, I was nervous about travelling through the city, and was constantly looking around for any ‘suspicious behavior,’ whatever that means. Nevertheless, I was additionally annoyed with all that is happening in this city these days, because what I simply call ‘crimes’ (rather than ‘acts of terrorism’) are done ‘in the name of the Islamic law,’ so declared some of the people who were responsible for them. I was angrily exclaiming: ‘Islamic law’? What ‘Islamic law’? Does ‘Islamic law’ sanction indiscriminate killing of people in peaceful cities?! Where is ‘wisdom and people’s welfare,’ which every Muslim knows is the basis of the ‘Islamic law’?","author":[{"dropping-particle":"","family":"AUDA","given":"JASSER","non-dropping-particle":"","parse-names":false,"suffix":""}],"id":"ITEM-1","issued":{"date-parts":[["2019"]]},"number-of-pages":"26-55","publisher":"the international institute of islamic thought","publisher-place":"London Washington","title":"Maqasid Al-Shariah as Philosophy of Islamic Law A Systems Approach","type":"book"},"uris":["http://www.mendeley.com/documents/?uuid=434db8dc-24d5-40a9-a5c0-d2e740b61cd9"]}],"mendeley":{"formattedCitation":"JASSER AUDA, &lt;i&gt;Maqasid Al-Shariah as Philosophy of Islamic Law A Systems Approach&lt;/i&gt; (London Washington: the international institute of islamic thought, 2019), https://doi.org/10.2307/j.ctvkc67tg.8.","manualFormatting":"JASSER AUDA, Maqasid Al-Shariah as Philosophy of Islamic Law A Systems Approach (London Washington: the international institute of islamic thought, 2019), hlm.","plainTextFormattedCitation":"JASSER AUDA, Maqasid Al-Shariah as Philosophy of Islamic Law A Systems Approach (London Washington: the international institute of islamic thought, 2019), https://doi.org/10.2307/j.ctvkc67tg.8.","previouslyFormattedCitation":"JASSER AUDA, &lt;i&gt;Maqasid Al-Shariah as Philosophy of Islamic Law A Systems Approach&lt;/i&gt; (London Washington: the international institute of islamic thought, 2019), https://doi.org/10.2307/j.ctvkc67tg.8."},"properties":{"noteIndex":19},"schema":"https://github.com/citation-style-language/schema/raw/master/csl-citation.json"}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JASSER AUDA, </w:t>
      </w:r>
      <w:r w:rsidRPr="00F6627D">
        <w:rPr>
          <w:rFonts w:asciiTheme="majorBidi" w:hAnsiTheme="majorBidi" w:cstheme="majorBidi"/>
          <w:i/>
          <w:noProof/>
        </w:rPr>
        <w:t>Maqasid Al-Shariah as Philosophy of Islamic Law A Systems Approach</w:t>
      </w:r>
      <w:r w:rsidRPr="00F6627D">
        <w:rPr>
          <w:rFonts w:asciiTheme="majorBidi" w:hAnsiTheme="majorBidi" w:cstheme="majorBidi"/>
          <w:noProof/>
        </w:rPr>
        <w:t xml:space="preserve"> (London Washington: the international institute of islamic thought, 2019), hlm.</w:t>
      </w:r>
      <w:r w:rsidRPr="00F6627D">
        <w:rPr>
          <w:rFonts w:asciiTheme="majorBidi" w:hAnsiTheme="majorBidi" w:cstheme="majorBidi"/>
        </w:rPr>
        <w:fldChar w:fldCharType="end"/>
      </w:r>
      <w:r w:rsidRPr="00F6627D">
        <w:rPr>
          <w:rFonts w:asciiTheme="majorBidi" w:hAnsiTheme="majorBidi" w:cstheme="majorBidi"/>
        </w:rPr>
        <w:t xml:space="preserve"> 3-5. </w:t>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{"citationItems":[{"id":"ITEM-1","itemData":{"author":[{"dropping-particle":"","family":"Jasser Audah","given":"","non-dropping-particle":"","parse-names":false,"suffix":""}],"id":"ITEM-1","issued":{"date-parts":[["2014"]]},"publisher":"tʜe ɪɴteʀɴatɪoɴaʟ ɪɴstɪtute of ɪsʟamɪc tʜouɢʜt","publisher-place":"London Washington","title":"Maqashid Al-Shariah A Beginners Guide","type":"book"},"uris":["http://www.mendeley.com/documents/?uuid=1db2ec82-5b56-4ec8-98df-e57bb50aea88"]}],"mendeley":{"formattedCitation":"Jasser Audah, &lt;i&gt;Maqashid Al-Shariah A Beginners Guide&lt;/i&gt; (London Washington: tʜe ɪɴteʀɴatɪoɴaʟ ɪɴstɪtute of ɪsʟamɪc tʜouɢʜt, 2014).","plainTextFormattedCitation":"Jasser Audah, Maqashid Al-Shariah A Beginners Guide (London Washington: tʜe ɪɴteʀɴatɪoɴaʟ ɪɴstɪtute of ɪsʟamɪc tʜouɢʜt, 2014).","previouslyFormattedCitation":"Jasser Audah, &lt;i&gt;Maqashid Al-Shariah A Beginners Guide&lt;/i&gt; (London Washington: tʜe ɪɴteʀɴatɪoɴaʟ ɪɴstɪtute of ɪsʟamɪc tʜouɢʜt, 2014)."},"properties":{"noteIndex":19},"schema":"https://github.com/citation-style-language/schema/raw/master/csl-citation.json"}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Jasser Audah, </w:t>
      </w:r>
      <w:r w:rsidRPr="00F6627D">
        <w:rPr>
          <w:rFonts w:asciiTheme="majorBidi" w:hAnsiTheme="majorBidi" w:cstheme="majorBidi"/>
          <w:i/>
          <w:noProof/>
        </w:rPr>
        <w:t>Maqashid Al-Shariah A Beginners Guide</w:t>
      </w:r>
      <w:r w:rsidRPr="00F6627D">
        <w:rPr>
          <w:rFonts w:asciiTheme="majorBidi" w:hAnsiTheme="majorBidi" w:cstheme="majorBidi"/>
          <w:noProof/>
        </w:rPr>
        <w:t xml:space="preserve"> (London Washington: tʜe ɪɴteʀɴatɪoɴaʟ ɪɴstɪtute of ɪsʟamɪc tʜouɢʜt, 2014).</w:t>
      </w:r>
      <w:r w:rsidRPr="00F6627D">
        <w:rPr>
          <w:rFonts w:asciiTheme="majorBidi" w:hAnsiTheme="majorBidi" w:cstheme="majorBidi"/>
        </w:rPr>
        <w:fldChar w:fldCharType="end"/>
      </w:r>
    </w:p>
  </w:footnote>
  <w:footnote w:id="20">
    <w:p w14:paraId="36033AF6" w14:textId="00337F34" w:rsidR="00312A7F" w:rsidRPr="00F6627D" w:rsidRDefault="00312A7F"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{"citationItems":[{"id":"ITEM-1","itemData":{"DOI":"10.30863/aldustur.v6i1.4224","ISSN":"2622-5964","author":[{"dropping-particle":"","family":"Sulfian","given":"A. Sultan","non-dropping-particle":"","parse-names":false,"suffix":""}],"container-title":"Jurnal Al-Dustur","id":"ITEM-1","issue":"1","issued":{"date-parts":[["2023"]]},"page":"72-90","title":"the Urgency of Marriage Registration in the Perspective of Indonesian Marriage Law and Islamic Law","type":"article-journal","volume":"6"},"uris":["http://www.mendeley.com/documents/?uuid=ac58a68e-c399-425a-914a-14b0569c9b7f"]}],"mendeley":{"formattedCitation":"A. Sultan Sulfian, “The Urgency of Marriage Registration in the Perspective of Indonesian Marriage Law and Islamic Law,” &lt;i&gt;Jurnal Al-Dustur&lt;/i&gt; 6, no. 1 (2023): 72–90, https://doi.org/10.30863/aldustur.v6i1.4224.","plainTextFormattedCitation":"A. Sultan Sulfian, “The Urgency of Marriage Registration in the Perspective of Indonesian Marriage Law and Islamic Law,” Jurnal Al-Dustur 6, no. 1 (2023): 72–90, https://doi.org/10.30863/aldustur.v6i1.4224.","previouslyFormattedCitation":"A. Sultan Sulfian, “The Urgency of Marriage Registration in the Perspective of Indonesian Marriage Law and Islamic Law,” &lt;i&gt;Jurnal Al-Dustur&lt;/i&gt; 6, no. 1 (2023): 72–90, https://doi.org/10.30863/aldustur.v6i1.4224."},"properties":{"noteIndex":20},"schema":"https://github.com/citation-style-language/schema/raw/master/csl-citation.json"}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A. Sultan Sulfian, “The Urgency of Marriage Registration in the Perspective of Indonesian Marriage Law and Islamic Law,” </w:t>
      </w:r>
      <w:r w:rsidR="00201F1F" w:rsidRPr="00F6627D">
        <w:rPr>
          <w:rFonts w:asciiTheme="majorBidi" w:hAnsiTheme="majorBidi" w:cstheme="majorBidi"/>
          <w:i/>
          <w:noProof/>
        </w:rPr>
        <w:t>Jurnal Al-Dustur</w:t>
      </w:r>
      <w:r w:rsidR="00201F1F" w:rsidRPr="00F6627D">
        <w:rPr>
          <w:rFonts w:asciiTheme="majorBidi" w:hAnsiTheme="majorBidi" w:cstheme="majorBidi"/>
          <w:noProof/>
        </w:rPr>
        <w:t xml:space="preserve"> 6, no. 1 (2023): 72–90, https://doi.org/10.30863/aldustur.v6i1.4224.</w:t>
      </w:r>
      <w:r w:rsidRPr="00F6627D">
        <w:rPr>
          <w:rFonts w:asciiTheme="majorBidi" w:hAnsiTheme="majorBidi" w:cstheme="majorBidi"/>
        </w:rPr>
        <w:fldChar w:fldCharType="end"/>
      </w:r>
    </w:p>
  </w:footnote>
  <w:footnote w:id="21">
    <w:p w14:paraId="5F4B8E13" w14:textId="5CEB4C27" w:rsidR="00253ABE" w:rsidRPr="00F6627D" w:rsidRDefault="00253ABE"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{"citationItems":[{"id":"ITEM-1","itemData":{"DOI":"10.29300/mzn.v7i2.3396","ISSN":"2355-5173","abstract":"The practice of unregistered marriage between Indonesian citizens and foreign nationals always raises legal problems, both the law of marriage and the legal consequences of the marriage. This article aims to provide concrete legal solutions and steps to the practice of unregistered marriage between Indonesian citizens and foreign nationals. This study used literature research with qualitative descriptive methods, through a normative legal approach. The results show that unregistered marriage is a social symptom of modern society which always occurs in the practice of today’s society. Although unregistered marriage is not specifically regulated in the practice of mixed marriages, it often occurs and must be anticipated. The solution is that there are three legal options that can be taken: first, if the person concerned is domiciled in Indonesia and intends to become an Indonesian citizen, then s/he can register the marriage with the employee who registers the marriage and performs the marriage certificate according to the provisions. Second, if the person concerned is living abroad but wants to become an Indonesian citizen, then s/he can take legal steps by registering the marriage and marriage certificate at the Indonesian Embassy. Third, if the person concerned is domiciled and wants to become a resident of a foreign country, then the person concerned must take the legal route that has been determined in that country. Thus, family law in Indonesia can be adaptive and responsive to the dynamics of social change.","author":[{"dropping-particle":"","family":"Muttaqin","given":"Muhammad Ngizzul","non-dropping-particle":"","parse-names":false,"suffix":""}],"container-title":"Jurnal Ilmiah Mizani: Wacana Hukum, Ekonomi Dan Keagamaan","id":"ITEM-1","issue":"2","issued":{"date-parts":[["2020"]]},"page":"149","title":"Unregistered Marriage Between Indonesian Citizens and Foreign Citizens With the Legal Perspective of Marriage in Indonesia","type":"article-journal","volume":"7"},"uris":["http://www.mendeley.com/documents/?uuid=a71e6845-02b0-4fc4-9267-25805a4e7856"]}],"mendeley":{"formattedCitation":"Muhammad Ngizzul Muttaqin, “Unregistered Marriage Between Indonesian Citizens and Foreign Citizens With the Legal Perspective of Marriage in Indonesia,” &lt;i&gt;Jurnal Ilmiah Mizani: Wacana Hukum, Ekonomi Dan Keagamaan&lt;/i&gt; 7, no. 2 (2020): 149, https://doi.org/10.29300/mzn.v7i2.3396.","plainTextFormattedCitation":"Muhammad Ngizzul Muttaqin, “Unregistered Marriage Between Indonesian Citizens and Foreign Citizens With the Legal Perspective of Marriage in Indonesia,” Jurnal Ilmiah Mizani: Wacana Hukum, Ekonomi Dan Keagamaan 7, no. 2 (2020): 149, https://doi.org/10.29300/mzn.v7i2.3396.","previouslyFormattedCitation":"Muhammad Ngizzul Muttaqin, “Unregistered Marriage Between Indonesian Citizens and Foreign Citizens With the Legal Perspective of Marriage in Indonesia,” &lt;i&gt;Jurnal Ilmiah Mizani: Wacana Hukum, Ekonomi Dan Keagamaan&lt;/i&gt; 7, no. 2 (2020): 149, https://doi.org/10.29300/mzn.v7i2.3396."},"properties":{"noteIndex":21},"schema":"https://github.com/citation-style-language/schema/raw/master/csl-citation.json"}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Muhammad Ngizzul Muttaqin, “Unregistered Marriage Between Indonesian Citizens and Foreign Citizens With the Legal Perspective of Marriage in Indonesia,” </w:t>
      </w:r>
      <w:r w:rsidR="00201F1F" w:rsidRPr="00F6627D">
        <w:rPr>
          <w:rFonts w:asciiTheme="majorBidi" w:hAnsiTheme="majorBidi" w:cstheme="majorBidi"/>
          <w:i/>
          <w:noProof/>
        </w:rPr>
        <w:t>Jurnal Ilmiah Mizani: Wacana Hukum, Ekonomi Dan Keagamaan</w:t>
      </w:r>
      <w:r w:rsidR="00201F1F" w:rsidRPr="00F6627D">
        <w:rPr>
          <w:rFonts w:asciiTheme="majorBidi" w:hAnsiTheme="majorBidi" w:cstheme="majorBidi"/>
          <w:noProof/>
        </w:rPr>
        <w:t xml:space="preserve"> 7, no. 2 (2020): 149, https://doi.org/10.29300/mzn.v7i2.3396.</w:t>
      </w:r>
      <w:r w:rsidRPr="00F6627D">
        <w:rPr>
          <w:rFonts w:asciiTheme="majorBidi" w:hAnsiTheme="majorBidi" w:cstheme="majorBidi"/>
        </w:rPr>
        <w:fldChar w:fldCharType="end"/>
      </w:r>
    </w:p>
  </w:footnote>
  <w:footnote w:id="22">
    <w:p w14:paraId="35E5A8C4" w14:textId="505EAA1C" w:rsidR="00EC32D7" w:rsidRPr="00F6627D" w:rsidRDefault="00EC32D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proofErr w:type="spellStart"/>
      <w:r w:rsidRPr="00F6627D">
        <w:rPr>
          <w:rFonts w:asciiTheme="majorBidi" w:hAnsiTheme="majorBidi" w:cstheme="majorBidi"/>
        </w:rPr>
        <w:t>Coyle</w:t>
      </w:r>
      <w:proofErr w:type="spellEnd"/>
      <w:r w:rsidRPr="00F6627D">
        <w:rPr>
          <w:rFonts w:asciiTheme="majorBidi" w:hAnsiTheme="majorBidi" w:cstheme="majorBidi"/>
        </w:rPr>
        <w:t xml:space="preserve">, S. (2023). Natural Law </w:t>
      </w:r>
      <w:proofErr w:type="spellStart"/>
      <w:r w:rsidRPr="00F6627D">
        <w:rPr>
          <w:rFonts w:asciiTheme="majorBidi" w:hAnsiTheme="majorBidi" w:cstheme="majorBidi"/>
        </w:rPr>
        <w:t>Theory</w:t>
      </w:r>
      <w:proofErr w:type="spellEnd"/>
      <w:r w:rsidRPr="00F6627D">
        <w:rPr>
          <w:rFonts w:asciiTheme="majorBidi" w:hAnsiTheme="majorBidi" w:cstheme="majorBidi"/>
        </w:rPr>
        <w:t xml:space="preserve">, “New” </w:t>
      </w:r>
      <w:proofErr w:type="spellStart"/>
      <w:r w:rsidRPr="00F6627D">
        <w:rPr>
          <w:rFonts w:asciiTheme="majorBidi" w:hAnsiTheme="majorBidi" w:cstheme="majorBidi"/>
        </w:rPr>
        <w:t>and</w:t>
      </w:r>
      <w:proofErr w:type="spellEnd"/>
      <w:r w:rsidRPr="00F6627D">
        <w:rPr>
          <w:rFonts w:asciiTheme="majorBidi" w:hAnsiTheme="majorBidi" w:cstheme="majorBidi"/>
        </w:rPr>
        <w:t xml:space="preserve"> Old. </w:t>
      </w:r>
      <w:r w:rsidRPr="00F6627D">
        <w:rPr>
          <w:rFonts w:asciiTheme="majorBidi" w:hAnsiTheme="majorBidi" w:cstheme="majorBidi"/>
          <w:i/>
          <w:iCs/>
        </w:rPr>
        <w:t xml:space="preserve">The American </w:t>
      </w:r>
      <w:proofErr w:type="spellStart"/>
      <w:r w:rsidRPr="00F6627D">
        <w:rPr>
          <w:rFonts w:asciiTheme="majorBidi" w:hAnsiTheme="majorBidi" w:cstheme="majorBidi"/>
          <w:i/>
          <w:iCs/>
        </w:rPr>
        <w:t>Journal</w:t>
      </w:r>
      <w:proofErr w:type="spellEnd"/>
      <w:r w:rsidRPr="00F6627D">
        <w:rPr>
          <w:rFonts w:asciiTheme="majorBidi" w:hAnsiTheme="majorBidi" w:cstheme="majorBidi"/>
          <w:i/>
          <w:iCs/>
        </w:rPr>
        <w:t xml:space="preserve"> </w:t>
      </w:r>
      <w:proofErr w:type="spellStart"/>
      <w:r w:rsidRPr="00F6627D">
        <w:rPr>
          <w:rFonts w:asciiTheme="majorBidi" w:hAnsiTheme="majorBidi" w:cstheme="majorBidi"/>
          <w:i/>
          <w:iCs/>
        </w:rPr>
        <w:t>of</w:t>
      </w:r>
      <w:proofErr w:type="spellEnd"/>
      <w:r w:rsidRPr="00F6627D">
        <w:rPr>
          <w:rFonts w:asciiTheme="majorBidi" w:hAnsiTheme="majorBidi" w:cstheme="majorBidi"/>
          <w:i/>
          <w:iCs/>
        </w:rPr>
        <w:t xml:space="preserve"> </w:t>
      </w:r>
      <w:proofErr w:type="spellStart"/>
      <w:r w:rsidRPr="00F6627D">
        <w:rPr>
          <w:rFonts w:asciiTheme="majorBidi" w:hAnsiTheme="majorBidi" w:cstheme="majorBidi"/>
          <w:i/>
          <w:iCs/>
        </w:rPr>
        <w:t>Jurisprudence</w:t>
      </w:r>
      <w:proofErr w:type="spellEnd"/>
      <w:r w:rsidRPr="00F6627D">
        <w:rPr>
          <w:rFonts w:asciiTheme="majorBidi" w:hAnsiTheme="majorBidi" w:cstheme="majorBidi"/>
        </w:rPr>
        <w:t xml:space="preserve">, </w:t>
      </w:r>
      <w:r w:rsidRPr="00F6627D">
        <w:rPr>
          <w:rFonts w:asciiTheme="majorBidi" w:hAnsiTheme="majorBidi" w:cstheme="majorBidi"/>
          <w:i/>
          <w:iCs/>
        </w:rPr>
        <w:t>68</w:t>
      </w:r>
      <w:r w:rsidRPr="00F6627D">
        <w:rPr>
          <w:rFonts w:asciiTheme="majorBidi" w:hAnsiTheme="majorBidi" w:cstheme="majorBidi"/>
        </w:rPr>
        <w:t>(1), 33-62. https://doi.org/10.1093/ajj/auad004</w:t>
      </w:r>
    </w:p>
  </w:footnote>
  <w:footnote w:id="23">
    <w:p w14:paraId="382368CE" w14:textId="68ED8969" w:rsidR="002C7407" w:rsidRPr="00F6627D" w:rsidRDefault="002C740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{"citationItems":[{"id":"ITEM-1","itemData":{"author":[{"dropping-particle":"","family":"Lili Rasjidi dan Ira Thania Rasjidi","given":"","non-dropping-particle":"","parse-names":false,"suffix":""}],"edition":"Cetakan ke","id":"ITEM-1","issued":{"date-parts":[["2007"]]},"publisher":"Citra Aditya Bakti","publisher-place":"Bandung","title":"Dasar Dasar Filsafat dan Teori Hukum","type":"book"},"uris":["http://www.mendeley.com/documents/?uuid=94ffbded-5807-4f7b-8116-8caf0ddc117b"]}],"mendeley":{"formattedCitation":"Lili Rasjidi dan Ira Thania Rasjidi, &lt;i&gt;Dasar Dasar Filsafat Dan Teori Hukum&lt;/i&gt;, Cetakan ke (Bandung: Citra Aditya Bakti, 2007).","manualFormatting":"Lili Rasjidi dan Ira Thania Rasjidi, Dasar Dasar Filsafat Dan Teori Hukum, Cetakan ke. (Bandung: Citra Aditya Bakti, 2007), hlm.","plainTextFormattedCitation":"Lili Rasjidi dan Ira Thania Rasjidi, Dasar Dasar Filsafat Dan Teori Hukum, Cetakan ke (Bandung: Citra Aditya Bakti, 2007).","previouslyFormattedCitation":"Lili Rasjidi dan Ira Thania Rasjidi, &lt;i&gt;Dasar Dasar Filsafat Dan Teori Hukum&lt;/i&gt;, Cetakan ke (Bandung: Citra Aditya Bakti, 2007)."},"properties":{"noteIndex":23},"schema":"https://github.com/citation-style-language/schema/raw/master/csl-citation.json"}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Lili Rasjidi dan Ira Thania Rasjidi, </w:t>
      </w:r>
      <w:r w:rsidRPr="00F6627D">
        <w:rPr>
          <w:rFonts w:asciiTheme="majorBidi" w:hAnsiTheme="majorBidi" w:cstheme="majorBidi"/>
          <w:i/>
          <w:noProof/>
        </w:rPr>
        <w:t>Dasar Dasar Filsafat Dan Teori Hukum</w:t>
      </w:r>
      <w:r w:rsidRPr="00F6627D">
        <w:rPr>
          <w:rFonts w:asciiTheme="majorBidi" w:hAnsiTheme="majorBidi" w:cstheme="majorBidi"/>
          <w:noProof/>
        </w:rPr>
        <w:t>, Cetakan ke. (Bandung: Citra Aditya Bakti, 2007), hlm.</w:t>
      </w:r>
      <w:r w:rsidRPr="00F6627D">
        <w:rPr>
          <w:rFonts w:asciiTheme="majorBidi" w:hAnsiTheme="majorBidi" w:cstheme="majorBidi"/>
        </w:rPr>
        <w:fldChar w:fldCharType="end"/>
      </w:r>
      <w:r w:rsidRPr="00F6627D">
        <w:rPr>
          <w:rFonts w:asciiTheme="majorBidi" w:hAnsiTheme="majorBidi" w:cstheme="majorBidi"/>
        </w:rPr>
        <w:t xml:space="preserve"> 48. Menilik sumbernya hukum alam ini ada yang bersumber dari Tuhan (irasional dan yang bersumber dari akal (rasio) manusia). Pemikiran hukum alam yang berasal dari Tuhan dikembangkan misalnya dan terutama oleh para pemikir skolastik pada Abad Pertengahan, seperti Thomas </w:t>
      </w:r>
      <w:proofErr w:type="spellStart"/>
      <w:r w:rsidRPr="00F6627D">
        <w:rPr>
          <w:rFonts w:asciiTheme="majorBidi" w:hAnsiTheme="majorBidi" w:cstheme="majorBidi"/>
        </w:rPr>
        <w:t>Aquino</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Gratianus</w:t>
      </w:r>
      <w:proofErr w:type="spellEnd"/>
      <w:r w:rsidRPr="00F6627D">
        <w:rPr>
          <w:rFonts w:asciiTheme="majorBidi" w:hAnsiTheme="majorBidi" w:cstheme="majorBidi"/>
        </w:rPr>
        <w:t xml:space="preserve">, John </w:t>
      </w:r>
      <w:proofErr w:type="spellStart"/>
      <w:r w:rsidRPr="00F6627D">
        <w:rPr>
          <w:rFonts w:asciiTheme="majorBidi" w:hAnsiTheme="majorBidi" w:cstheme="majorBidi"/>
        </w:rPr>
        <w:t>Salisbury</w:t>
      </w:r>
      <w:proofErr w:type="spellEnd"/>
      <w:r w:rsidRPr="00F6627D">
        <w:rPr>
          <w:rFonts w:asciiTheme="majorBidi" w:hAnsiTheme="majorBidi" w:cstheme="majorBidi"/>
        </w:rPr>
        <w:t xml:space="preserve">, Dante, Piere </w:t>
      </w:r>
      <w:proofErr w:type="spellStart"/>
      <w:r w:rsidRPr="00F6627D">
        <w:rPr>
          <w:rFonts w:asciiTheme="majorBidi" w:hAnsiTheme="majorBidi" w:cstheme="majorBidi"/>
        </w:rPr>
        <w:t>Dubois</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Marsilius</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Padua</w:t>
      </w:r>
      <w:proofErr w:type="spellEnd"/>
      <w:r w:rsidRPr="00F6627D">
        <w:rPr>
          <w:rFonts w:asciiTheme="majorBidi" w:hAnsiTheme="majorBidi" w:cstheme="majorBidi"/>
        </w:rPr>
        <w:t xml:space="preserve">, Johannes Haus dan lain-lain. Sedangkan para pendasar dari ajaran hukum alam yang bersumber dari akal manusia ialah, misalnya, Hugo </w:t>
      </w:r>
      <w:proofErr w:type="spellStart"/>
      <w:r w:rsidRPr="00F6627D">
        <w:rPr>
          <w:rFonts w:asciiTheme="majorBidi" w:hAnsiTheme="majorBidi" w:cstheme="majorBidi"/>
        </w:rPr>
        <w:t>de</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Groot</w:t>
      </w:r>
      <w:proofErr w:type="spellEnd"/>
      <w:r w:rsidRPr="00F6627D">
        <w:rPr>
          <w:rFonts w:asciiTheme="majorBidi" w:hAnsiTheme="majorBidi" w:cstheme="majorBidi"/>
        </w:rPr>
        <w:t xml:space="preserve">, Christian </w:t>
      </w:r>
      <w:proofErr w:type="spellStart"/>
      <w:r w:rsidRPr="00F6627D">
        <w:rPr>
          <w:rFonts w:asciiTheme="majorBidi" w:hAnsiTheme="majorBidi" w:cstheme="majorBidi"/>
        </w:rPr>
        <w:t>Thomasius</w:t>
      </w:r>
      <w:proofErr w:type="spellEnd"/>
      <w:r w:rsidRPr="00F6627D">
        <w:rPr>
          <w:rFonts w:asciiTheme="majorBidi" w:hAnsiTheme="majorBidi" w:cstheme="majorBidi"/>
        </w:rPr>
        <w:t xml:space="preserve">, Immanuel </w:t>
      </w:r>
      <w:proofErr w:type="spellStart"/>
      <w:r w:rsidRPr="00F6627D">
        <w:rPr>
          <w:rFonts w:asciiTheme="majorBidi" w:hAnsiTheme="majorBidi" w:cstheme="majorBidi"/>
        </w:rPr>
        <w:t>Kant</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Fichte</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Hegel</w:t>
      </w:r>
      <w:proofErr w:type="spellEnd"/>
      <w:r w:rsidRPr="00F6627D">
        <w:rPr>
          <w:rFonts w:asciiTheme="majorBidi" w:hAnsiTheme="majorBidi" w:cstheme="majorBidi"/>
        </w:rPr>
        <w:t xml:space="preserve"> dan Rudolf </w:t>
      </w:r>
      <w:proofErr w:type="spellStart"/>
      <w:r w:rsidRPr="00F6627D">
        <w:rPr>
          <w:rFonts w:asciiTheme="majorBidi" w:hAnsiTheme="majorBidi" w:cstheme="majorBidi"/>
        </w:rPr>
        <w:t>Stammler</w:t>
      </w:r>
      <w:proofErr w:type="spellEnd"/>
      <w:r w:rsidRPr="00F6627D">
        <w:rPr>
          <w:rFonts w:asciiTheme="majorBidi" w:hAnsiTheme="majorBidi" w:cstheme="majorBidi"/>
        </w:rPr>
        <w:t xml:space="preserve">. Menurut </w:t>
      </w:r>
      <w:proofErr w:type="spellStart"/>
      <w:r w:rsidRPr="00F6627D">
        <w:rPr>
          <w:rFonts w:asciiTheme="majorBidi" w:hAnsiTheme="majorBidi" w:cstheme="majorBidi"/>
        </w:rPr>
        <w:t>Friedmann</w:t>
      </w:r>
      <w:proofErr w:type="spellEnd"/>
      <w:r w:rsidRPr="00F6627D">
        <w:rPr>
          <w:rFonts w:asciiTheme="majorBidi" w:hAnsiTheme="majorBidi" w:cstheme="majorBidi"/>
        </w:rPr>
        <w:t>, sejarah tentang hukum alam merupakan sejarah umat manusia dalam usahanya untuk menemukan apa yang dinamakan keadilan yang mutlak (</w:t>
      </w:r>
      <w:proofErr w:type="spellStart"/>
      <w:r w:rsidRPr="00F6627D">
        <w:rPr>
          <w:rFonts w:asciiTheme="majorBidi" w:hAnsiTheme="majorBidi" w:cstheme="majorBidi"/>
          <w:i/>
          <w:iCs/>
        </w:rPr>
        <w:t>absolute</w:t>
      </w:r>
      <w:proofErr w:type="spellEnd"/>
      <w:r w:rsidRPr="00F6627D">
        <w:rPr>
          <w:rFonts w:asciiTheme="majorBidi" w:hAnsiTheme="majorBidi" w:cstheme="majorBidi"/>
          <w:i/>
          <w:iCs/>
        </w:rPr>
        <w:t xml:space="preserve"> </w:t>
      </w:r>
      <w:proofErr w:type="spellStart"/>
      <w:r w:rsidRPr="00F6627D">
        <w:rPr>
          <w:rFonts w:asciiTheme="majorBidi" w:hAnsiTheme="majorBidi" w:cstheme="majorBidi"/>
          <w:i/>
          <w:iCs/>
        </w:rPr>
        <w:t>justice</w:t>
      </w:r>
      <w:proofErr w:type="spellEnd"/>
      <w:r w:rsidRPr="00F6627D">
        <w:rPr>
          <w:rFonts w:asciiTheme="majorBidi" w:hAnsiTheme="majorBidi" w:cstheme="majorBidi"/>
        </w:rPr>
        <w:t>) selain kegagalan-kegagalan yang dialaminya.</w:t>
      </w:r>
      <w:r w:rsidR="00EC32D7" w:rsidRPr="00F6627D">
        <w:rPr>
          <w:rFonts w:asciiTheme="majorBidi" w:hAnsiTheme="majorBidi" w:cstheme="majorBidi"/>
        </w:rPr>
        <w:t xml:space="preserve"> </w:t>
      </w:r>
      <w:r w:rsidR="00EC32D7"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{"citationItems":[{"id":"ITEM-1","itemData":{"author":[{"dropping-particle":"","family":"Seagrave","given":"S. Adam","non-dropping-particle":"","parse-names":false,"suffix":""}],"container-title":"The Review of Metaphysics","id":"ITEM-1","issue":"3","issued":{"date-parts":[["2009"]]},"page":"491-523","title":"Cicero , Aquinas , and Contemporary Issues in Natural Law Theory","type":"article-journal","volume":"62"},"uris":["http://www.mendeley.com/documents/?uuid=6103cd90-cefc-48fa-9a37-3b264c387e36"]}],"mendeley":{"formattedCitation":"S. Adam Seagrave, “Cicero , Aquinas , and Contemporary Issues in Natural Law Theory,” &lt;i&gt;The Review of Metaphysics&lt;/i&gt; 62, no. 3 (2009): 491–523.","plainTextFormattedCitation":"S. Adam Seagrave, “Cicero , Aquinas , and Contemporary Issues in Natural Law Theory,” The Review of Metaphysics 62, no. 3 (2009): 491–523.","previouslyFormattedCitation":"S. Adam Seagrave, “Cicero , Aquinas , and Contemporary Issues in Natural Law Theory,” &lt;i&gt;The Review of Metaphysics&lt;/i&gt; 62, no. 3 (2009): 491–523."},"properties":{"noteIndex":23},"schema":"https://github.com/citation-style-language/schema/raw/master/csl-citation.json"}</w:instrText>
      </w:r>
      <w:r w:rsidR="00EC32D7" w:rsidRPr="00F6627D">
        <w:rPr>
          <w:rFonts w:asciiTheme="majorBidi" w:hAnsiTheme="majorBidi" w:cstheme="majorBidi"/>
        </w:rPr>
        <w:fldChar w:fldCharType="separate"/>
      </w:r>
      <w:r w:rsidR="00EC32D7" w:rsidRPr="00F6627D">
        <w:rPr>
          <w:rFonts w:asciiTheme="majorBidi" w:hAnsiTheme="majorBidi" w:cstheme="majorBidi"/>
          <w:noProof/>
        </w:rPr>
        <w:t xml:space="preserve">S. Adam Seagrave, “Cicero , Aquinas , and Contemporary Issues in Natural Law Theory,” </w:t>
      </w:r>
      <w:r w:rsidR="00EC32D7" w:rsidRPr="00F6627D">
        <w:rPr>
          <w:rFonts w:asciiTheme="majorBidi" w:hAnsiTheme="majorBidi" w:cstheme="majorBidi"/>
          <w:i/>
          <w:noProof/>
        </w:rPr>
        <w:t>The Review of Metaphysics</w:t>
      </w:r>
      <w:r w:rsidR="00EC32D7" w:rsidRPr="00F6627D">
        <w:rPr>
          <w:rFonts w:asciiTheme="majorBidi" w:hAnsiTheme="majorBidi" w:cstheme="majorBidi"/>
          <w:noProof/>
        </w:rPr>
        <w:t xml:space="preserve"> 62, no. 3 (2009): 491–523.</w:t>
      </w:r>
      <w:r w:rsidR="00EC32D7" w:rsidRPr="00F6627D">
        <w:rPr>
          <w:rFonts w:asciiTheme="majorBidi" w:hAnsiTheme="majorBidi" w:cstheme="majorBidi"/>
        </w:rPr>
        <w:fldChar w:fldCharType="end"/>
      </w:r>
      <w:r w:rsidR="00EC32D7"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{"citationItems":[{"id":"ITEM-1","itemData":{"DOI":"10.1017/S0034670500034914","ISSN":"00346705","abstract":"Widely divergent views exist among modern scholars concerning the relationship between natural law and natural rights. Some hold that the two concepts are logically incompatible with one another. Others maintain that natural rights were derived from natural law in the work of Aquinas or, alternatively, that natural law was derived from natural right in the work of Hobbes. All these views seem open to criticism. An alternative approach is suggested by a consideration of the idea of permissive natural law. Copyright © 2002 University of Notre Dame.","author":[{"dropping-particle":"","family":"Tierney","given":"Brian","non-dropping-particle":"","parse-names":false,"suffix":""}],"container-title":"Review of Politics","id":"ITEM-1","issue":"3","issued":{"date-parts":[["2002"]]},"page":"389-406","title":"Natural law and natural rights: Old problems and recent approaches","type":"article-journal","volume":"64"},"uris":["http://www.mendeley.com/documents/?uuid=80f7c26b-e57b-444b-bcf6-591d0afd1a80"]}],"mendeley":{"formattedCitation":"Brian Tierney, “Natural Law and Natural Rights: Old Problems and Recent Approaches,” &lt;i&gt;Review of Politics&lt;/i&gt; 64, no. 3 (2002): 389–406, https://doi.org/10.1017/S0034670500034914.","plainTextFormattedCitation":"Brian Tierney, “Natural Law and Natural Rights: Old Problems and Recent Approaches,” Review of Politics 64, no. 3 (2002): 389–406, https://doi.org/10.1017/S0034670500034914.","previouslyFormattedCitation":"Brian Tierney, “Natural Law and Natural Rights: Old Problems and Recent Approaches,” &lt;i&gt;Review of Politics&lt;/i&gt; 64, no. 3 (2002): 389–406, https://doi.org/10.1017/S0034670500034914."},"properties":{"noteIndex":23},"schema":"https://github.com/citation-style-language/schema/raw/master/csl-citation.json"}</w:instrText>
      </w:r>
      <w:r w:rsidR="00EC32D7" w:rsidRPr="00F6627D">
        <w:rPr>
          <w:rFonts w:asciiTheme="majorBidi" w:hAnsiTheme="majorBidi" w:cstheme="majorBidi"/>
        </w:rPr>
        <w:fldChar w:fldCharType="separate"/>
      </w:r>
      <w:r w:rsidR="00201F1F" w:rsidRPr="00F6627D">
        <w:rPr>
          <w:rFonts w:asciiTheme="majorBidi" w:hAnsiTheme="majorBidi" w:cstheme="majorBidi"/>
          <w:noProof/>
        </w:rPr>
        <w:t xml:space="preserve">Brian Tierney, “Natural Law and Natural Rights: Old Problems and Recent Approaches,” </w:t>
      </w:r>
      <w:r w:rsidR="00201F1F" w:rsidRPr="00F6627D">
        <w:rPr>
          <w:rFonts w:asciiTheme="majorBidi" w:hAnsiTheme="majorBidi" w:cstheme="majorBidi"/>
          <w:i/>
          <w:noProof/>
        </w:rPr>
        <w:t>Review of Politics</w:t>
      </w:r>
      <w:r w:rsidR="00201F1F" w:rsidRPr="00F6627D">
        <w:rPr>
          <w:rFonts w:asciiTheme="majorBidi" w:hAnsiTheme="majorBidi" w:cstheme="majorBidi"/>
          <w:noProof/>
        </w:rPr>
        <w:t xml:space="preserve"> 64, no. 3 (2002): 389–406, https://doi.org/10.1017/S0034670500034914.</w:t>
      </w:r>
      <w:r w:rsidR="00EC32D7" w:rsidRPr="00F6627D">
        <w:rPr>
          <w:rFonts w:asciiTheme="majorBidi" w:hAnsiTheme="majorBidi" w:cstheme="majorBidi"/>
        </w:rPr>
        <w:fldChar w:fldCharType="end"/>
      </w:r>
      <w:r w:rsidR="00463DFA" w:rsidRPr="00F6627D">
        <w:rPr>
          <w:rFonts w:asciiTheme="majorBidi" w:hAnsiTheme="majorBidi" w:cstheme="majorBidi"/>
        </w:rPr>
        <w:t xml:space="preserve"> </w:t>
      </w:r>
      <w:r w:rsidR="00463DFA" w:rsidRPr="00F6627D">
        <w:rPr>
          <w:rFonts w:asciiTheme="majorBidi" w:hAnsiTheme="majorBidi" w:cstheme="majorBidi"/>
        </w:rPr>
        <w:fldChar w:fldCharType="begin" w:fldLock="1"/>
      </w:r>
      <w:r w:rsidR="00EB60B8" w:rsidRPr="00F6627D">
        <w:rPr>
          <w:rFonts w:asciiTheme="majorBidi" w:hAnsiTheme="majorBidi" w:cstheme="majorBidi"/>
        </w:rPr>
        <w:instrText>ADDIN CSL_CITATION {"citationItems":[{"id":"ITEM-1","itemData":{"abstract":"El propósito del presente estudio fue conocer la percepción del adolescente que estudia preparatoria, sobre la funcionalidad familiar de la familia a la cual pertenece y determinar si existían diferencias de tal funcionalidad con las variables edad, sexo, y tipo de familia. El estudio se basó en el Marco de Organización Sistèmico de Marie Luise Friedemann (1994), que describe a la familia desde la perspectiva sistèmica donde los individuos son vistos como subsistemas del sistema familiar total, en el cual se logra la funcionalidad a través de la congruencia de cuatro procesos familiares y que son susceptibles de ser afectados, coherencia, individuación, cambio del sistema y mantenimiento del sistema. El","author":[{"dropping-particle":"","family":"John Finnis","given":"","non-dropping-particle":"","parse-names":false,"suffix":""}],"id":"ITEM-1","issued":{"date-parts":[["2011"]]},"publisher":"Oxford University","publisher-place":"United Kingdom","title":"Natural Law and Natural Rights","type":"book"},"uris":["http://www.mendeley.com/documents/?uuid=b65ac1a5-f9f8-42e6-9fcf-548e2dd08f64"]}],"mendeley":{"formattedCitation":"John Finnis, &lt;i&gt;Natural Law and Natural Rights&lt;/i&gt; (United Kingdom: Oxford University, 2011).","plainTextFormattedCitation":"John Finnis, Natural Law and Natural Rights (United Kingdom: Oxford University, 2011).","previouslyFormattedCitation":"John Finnis, &lt;i&gt;Natural Law and Natural Rights&lt;/i&gt; (United Kingdom: Oxford University, 2011)."},"properties":{"noteIndex":23},"schema":"https://github.com/citation-style-language/schema/raw/master/csl-citation.json"}</w:instrText>
      </w:r>
      <w:r w:rsidR="00463DFA" w:rsidRPr="00F6627D">
        <w:rPr>
          <w:rFonts w:asciiTheme="majorBidi" w:hAnsiTheme="majorBidi" w:cstheme="majorBidi"/>
        </w:rPr>
        <w:fldChar w:fldCharType="separate"/>
      </w:r>
      <w:r w:rsidR="00463DFA" w:rsidRPr="00F6627D">
        <w:rPr>
          <w:rFonts w:asciiTheme="majorBidi" w:hAnsiTheme="majorBidi" w:cstheme="majorBidi"/>
          <w:noProof/>
        </w:rPr>
        <w:t xml:space="preserve">John Finnis, </w:t>
      </w:r>
      <w:r w:rsidR="00463DFA" w:rsidRPr="00F6627D">
        <w:rPr>
          <w:rFonts w:asciiTheme="majorBidi" w:hAnsiTheme="majorBidi" w:cstheme="majorBidi"/>
          <w:i/>
          <w:noProof/>
        </w:rPr>
        <w:t>Natural Law and Natural Rights</w:t>
      </w:r>
      <w:r w:rsidR="00463DFA" w:rsidRPr="00F6627D">
        <w:rPr>
          <w:rFonts w:asciiTheme="majorBidi" w:hAnsiTheme="majorBidi" w:cstheme="majorBidi"/>
          <w:noProof/>
        </w:rPr>
        <w:t xml:space="preserve"> (United Kingdom: Oxford University, 2011).</w:t>
      </w:r>
      <w:r w:rsidR="00463DFA" w:rsidRPr="00F6627D">
        <w:rPr>
          <w:rFonts w:asciiTheme="majorBidi" w:hAnsiTheme="majorBidi" w:cstheme="majorBidi"/>
        </w:rPr>
        <w:fldChar w:fldCharType="end"/>
      </w:r>
    </w:p>
  </w:footnote>
  <w:footnote w:id="24">
    <w:p w14:paraId="41788758" w14:textId="511B01B5" w:rsidR="002C7407" w:rsidRPr="00F6627D" w:rsidRDefault="002C740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{"citationItems":[{"id":"ITEM-1","itemData":{"author":[{"dropping-particle":"","family":"Marwan Mas","given":"","non-dropping-particle":"","parse-names":false,"suffix":""}],"id":"ITEM-1","issued":{"date-parts":[["2004"]]},"publisher":"Galia Indonesia","publisher-place":"Jakarta","title":"Pengantar Ilmu Hukum","type":"book"},"uris":["http://www.mendeley.com/documents/?uuid=6f25c340-0f16-4cdc-bd98-382bc92600c1"]}],"mendeley":{"formattedCitation":"Marwan Mas, &lt;i&gt;Pengantar Ilmu Hukum&lt;/i&gt; (Jakarta: Galia Indonesia, 2004).","manualFormatting":"Marwan Mas, Pengantar Ilmu Hukum (Jakarta: Galia Indonesia, 2004), hlm.","plainTextFormattedCitation":"Marwan Mas, Pengantar Ilmu Hukum (Jakarta: Galia Indonesia, 2004).","previouslyFormattedCitation":"Marwan Mas, &lt;i&gt;Pengantar Ilmu Hukum&lt;/i&gt; (Jakarta: Galia Indonesia, 2004)."},"properties":{"noteIndex":24},"schema":"https://github.com/citation-style-language/schema/raw/master/csl-citation.json"}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Marwan Mas, </w:t>
      </w:r>
      <w:r w:rsidRPr="00F6627D">
        <w:rPr>
          <w:rFonts w:asciiTheme="majorBidi" w:hAnsiTheme="majorBidi" w:cstheme="majorBidi"/>
          <w:i/>
          <w:noProof/>
        </w:rPr>
        <w:t>Pengantar Ilmu Hukum</w:t>
      </w:r>
      <w:r w:rsidRPr="00F6627D">
        <w:rPr>
          <w:rFonts w:asciiTheme="majorBidi" w:hAnsiTheme="majorBidi" w:cstheme="majorBidi"/>
          <w:noProof/>
        </w:rPr>
        <w:t xml:space="preserve"> (Jakarta: Galia Indonesia, 2004), hlm.</w:t>
      </w:r>
      <w:r w:rsidRPr="00F6627D">
        <w:rPr>
          <w:rFonts w:asciiTheme="majorBidi" w:hAnsiTheme="majorBidi" w:cstheme="majorBidi"/>
        </w:rPr>
        <w:fldChar w:fldCharType="end"/>
      </w:r>
      <w:r w:rsidRPr="00F6627D">
        <w:rPr>
          <w:rFonts w:asciiTheme="majorBidi" w:hAnsiTheme="majorBidi" w:cstheme="majorBidi"/>
        </w:rPr>
        <w:t xml:space="preserve"> 116.</w:t>
      </w:r>
      <w:r w:rsidR="00EC32D7" w:rsidRPr="00F6627D">
        <w:rPr>
          <w:rFonts w:asciiTheme="majorBidi" w:hAnsiTheme="majorBidi" w:cstheme="majorBidi"/>
        </w:rPr>
        <w:t xml:space="preserve"> </w:t>
      </w:r>
      <w:r w:rsidR="00EC32D7"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{"citationItems":[{"id":"ITEM-1","itemData":{"author":[{"dropping-particle":"","family":"Seagrave","given":"S Adam","non-dropping-particle":"","parse-names":false,"suffix":""}],"container-title":"Journal of the History of Ideas","id":"ITEM-1","issue":"2","issued":{"date-parts":[["2019"]]},"page":"305-327","title":"How Old Are Modern Rights ? On the Lockean Roots of Contemporary Human Rights Discourse","type":"article-journal","volume":"72"},"uris":["http://www.mendeley.com/documents/?uuid=b3659897-487c-49ca-93e1-76ec92d756de"]}],"mendeley":{"formattedCitation":"S Adam Seagrave, “How Old Are Modern Rights ? On the Lockean Roots of Contemporary Human Rights Discourse,” &lt;i&gt;Journal of the History of Ideas&lt;/i&gt; 72, no. 2 (2019): 305–27.","plainTextFormattedCitation":"S Adam Seagrave, “How Old Are Modern Rights ? On the Lockean Roots of Contemporary Human Rights Discourse,” Journal of the History of Ideas 72, no. 2 (2019): 305–27.","previouslyFormattedCitation":"S Adam Seagrave, “How Old Are Modern Rights ? On the Lockean Roots of Contemporary Human Rights Discourse,” &lt;i&gt;Journal of the History of Ideas&lt;/i&gt; 72, no. 2 (2019): 305–27."},"properties":{"noteIndex":24},"schema":"https://github.com/citation-style-language/schema/raw/master/csl-citation.json"}</w:instrText>
      </w:r>
      <w:r w:rsidR="00EC32D7" w:rsidRPr="00F6627D">
        <w:rPr>
          <w:rFonts w:asciiTheme="majorBidi" w:hAnsiTheme="majorBidi" w:cstheme="majorBidi"/>
        </w:rPr>
        <w:fldChar w:fldCharType="separate"/>
      </w:r>
      <w:r w:rsidR="00201F1F" w:rsidRPr="00F6627D">
        <w:rPr>
          <w:rFonts w:asciiTheme="majorBidi" w:hAnsiTheme="majorBidi" w:cstheme="majorBidi"/>
          <w:noProof/>
        </w:rPr>
        <w:t xml:space="preserve">S Adam Seagrave, “How Old Are Modern Rights ? On the Lockean Roots of Contemporary Human Rights Discourse,” </w:t>
      </w:r>
      <w:r w:rsidR="00201F1F" w:rsidRPr="00F6627D">
        <w:rPr>
          <w:rFonts w:asciiTheme="majorBidi" w:hAnsiTheme="majorBidi" w:cstheme="majorBidi"/>
          <w:i/>
          <w:noProof/>
        </w:rPr>
        <w:t>Journal of the History of Ideas</w:t>
      </w:r>
      <w:r w:rsidR="00201F1F" w:rsidRPr="00F6627D">
        <w:rPr>
          <w:rFonts w:asciiTheme="majorBidi" w:hAnsiTheme="majorBidi" w:cstheme="majorBidi"/>
          <w:noProof/>
        </w:rPr>
        <w:t xml:space="preserve"> 72, no. 2 (2019): 305–27.</w:t>
      </w:r>
      <w:r w:rsidR="00EC32D7" w:rsidRPr="00F6627D">
        <w:rPr>
          <w:rFonts w:asciiTheme="majorBidi" w:hAnsiTheme="majorBidi" w:cstheme="majorBidi"/>
        </w:rPr>
        <w:fldChar w:fldCharType="end"/>
      </w:r>
    </w:p>
  </w:footnote>
  <w:footnote w:id="25">
    <w:p w14:paraId="47ED1302" w14:textId="5F50A3F7" w:rsidR="002C7407" w:rsidRPr="00F6627D" w:rsidRDefault="002C740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{"citationItems":[{"id":"ITEM-1","itemData":{"author":[{"dropping-particle":"","family":"Marwan Mas","given":"","non-dropping-particle":"","parse-names":false,"suffix":""}],"id":"ITEM-1","issued":{"date-parts":[["2004"]]},"publisher":"Galia Indonesia","publisher-place":"Jakarta","title":"Pengantar Ilmu Hukum","type":"book"},"uris":["http://www.mendeley.com/documents/?uuid=6f25c340-0f16-4cdc-bd98-382bc92600c1"]}],"mendeley":{"formattedCitation":"Marwan Mas, &lt;i&gt;Pengantar Ilmu Hukum&lt;/i&gt;.","plainTextFormattedCitation":"Marwan Mas, Pengantar Ilmu Hukum.","previouslyFormattedCitation":"Marwan Mas, &lt;i&gt;Pengantar Ilmu Hukum&lt;/i&gt;."},"properties":{"noteIndex":25},"schema":"https://github.com/citation-style-language/schema/raw/master/csl-citation.json"}</w:instrText>
      </w:r>
      <w:r w:rsidRPr="00F6627D">
        <w:rPr>
          <w:rFonts w:asciiTheme="majorBidi" w:hAnsiTheme="majorBidi" w:cstheme="majorBidi"/>
        </w:rPr>
        <w:fldChar w:fldCharType="separate"/>
      </w:r>
      <w:r w:rsidR="00EC32D7" w:rsidRPr="00F6627D">
        <w:rPr>
          <w:rFonts w:asciiTheme="majorBidi" w:hAnsiTheme="majorBidi" w:cstheme="majorBidi"/>
          <w:noProof/>
        </w:rPr>
        <w:t xml:space="preserve">Marwan Mas, </w:t>
      </w:r>
      <w:r w:rsidR="00EC32D7" w:rsidRPr="00F6627D">
        <w:rPr>
          <w:rFonts w:asciiTheme="majorBidi" w:hAnsiTheme="majorBidi" w:cstheme="majorBidi"/>
          <w:i/>
          <w:noProof/>
        </w:rPr>
        <w:t>Pengantar Ilmu Hukum</w:t>
      </w:r>
      <w:r w:rsidR="00EC32D7" w:rsidRPr="00F6627D">
        <w:rPr>
          <w:rFonts w:asciiTheme="majorBidi" w:hAnsiTheme="majorBidi" w:cstheme="majorBidi"/>
          <w:noProof/>
        </w:rPr>
        <w:t>.</w:t>
      </w:r>
      <w:r w:rsidRPr="00F6627D">
        <w:rPr>
          <w:rFonts w:asciiTheme="majorBidi" w:hAnsiTheme="majorBidi" w:cstheme="majorBidi"/>
        </w:rPr>
        <w:fldChar w:fldCharType="end"/>
      </w:r>
    </w:p>
  </w:footnote>
  <w:footnote w:id="26">
    <w:p w14:paraId="6CFF1DF9" w14:textId="34351466" w:rsidR="002C7407" w:rsidRPr="00F6627D" w:rsidRDefault="002C740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{"citationItems":[{"id":"ITEM-1","itemData":{"abstract":"Di akhir abad ke-20, literatur hukum tampaknya mulai secara luas mendiskusikan “Legal Theory”. Dalam pandangan Legal Theory, ilmu hukum terdiri atas tiga lapisan sebagaimana dikemukakan oleh Jan Gijssels dan Mark van Hocke,“De darde trap van de …","author":[{"dropping-particle":"","family":"Atmadja, I Dewa Gede","given":"I Nyoman Putu Budiarta","non-dropping-particle":"","parse-names":false,"suffix":""}],"id":"ITEM-1","issued":{"date-parts":[["2018"]]},"number-of-pages":"233","publisher":"Setara Press","publisher-place":"Malang","title":"Teori-Teori Hukum","type":"book"},"uris":["http://www.mendeley.com/documents/?uuid=d9f97ae4-e9d0-454c-ae07-49f97c250cb9"]}],"mendeley":{"formattedCitation":"I Nyoman Putu Budiarta Atmadja, I Dewa Gede, &lt;i&gt;Teori-Teori Hukum&lt;/i&gt; (Malang: Setara Press, 2018), http://repository.warmadewa.ac.id/id/eprint/441/.","manualFormatting":"I Nyoman Putu Budiarta Atmadja, I Dewa Gede, Teori-Teori Hukum (Malang: Setara Press, 2018), hlm","plainTextFormattedCitation":"I Nyoman Putu Budiarta Atmadja, I Dewa Gede, Teori-Teori Hukum (Malang: Setara Press, 2018), http://repository.warmadewa.ac.id/id/eprint/441/.","previouslyFormattedCitation":"I Nyoman Putu Budiarta Atmadja, I Dewa Gede, &lt;i&gt;Teori-Teori Hukum&lt;/i&gt; (Malang: Setara Press, 2018), http://repository.warmadewa.ac.id/id/eprint/441/."},"properties":{"noteIndex":26},"schema":"https://github.com/citation-style-language/schema/raw/master/csl-citation.json"}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I Nyoman Putu Budiarta Atmadja, I Dewa Gede, </w:t>
      </w:r>
      <w:r w:rsidRPr="00F6627D">
        <w:rPr>
          <w:rFonts w:asciiTheme="majorBidi" w:hAnsiTheme="majorBidi" w:cstheme="majorBidi"/>
          <w:i/>
          <w:noProof/>
        </w:rPr>
        <w:t>Teori-Teori Hukum</w:t>
      </w:r>
      <w:r w:rsidRPr="00F6627D">
        <w:rPr>
          <w:rFonts w:asciiTheme="majorBidi" w:hAnsiTheme="majorBidi" w:cstheme="majorBidi"/>
          <w:noProof/>
        </w:rPr>
        <w:t xml:space="preserve"> (Malang: Setara Press, 2018), hlm</w:t>
      </w:r>
      <w:r w:rsidRPr="00F6627D">
        <w:rPr>
          <w:rFonts w:asciiTheme="majorBidi" w:hAnsiTheme="majorBidi" w:cstheme="majorBidi"/>
        </w:rPr>
        <w:fldChar w:fldCharType="end"/>
      </w:r>
      <w:r w:rsidRPr="00F6627D">
        <w:rPr>
          <w:rFonts w:asciiTheme="majorBidi" w:hAnsiTheme="majorBidi" w:cstheme="majorBidi"/>
        </w:rPr>
        <w:t>. 111.</w:t>
      </w:r>
    </w:p>
  </w:footnote>
  <w:footnote w:id="27">
    <w:p w14:paraId="122DC907" w14:textId="4AC4AFC7" w:rsidR="002C7407" w:rsidRPr="00F6627D" w:rsidRDefault="002C740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{"citationItems":[{"id":"ITEM-1","itemData":{"author":[{"dropping-particle":"","family":"Bernard L.Tanya, Yoan N. Simanjuntak","given":"&amp; Markus Y. Hage","non-dropping-particle":"","parse-names":false,"suffix":""}],"id":"ITEM-1","issued":{"date-parts":[["2010"]]},"publisher":"Genta Publishing","publisher-place":"Yogyakarta","title":"Teori Hukum. Strategi Tertib Manusia Lintas Ruang Generasi","type":"book"},"uris":["http://www.mendeley.com/documents/?uuid=96148fb5-f69b-4f5e-8fa4-45c103b4f646"]}],"mendeley":{"formattedCitation":"&amp; Markus Y. Hage Bernard L.Tanya, Yoan N. Simanjuntak, &lt;i&gt;Teori Hukum. Strategi Tertib Manusia Lintas Ruang Generasi&lt;/i&gt; (Yogyakarta: Genta Publishing, 2010).","manualFormatting":"&amp; Markus Y. Hage Bernard L.Tanya, Yoan N. Simanjuntak, Teori Hukum. Strategi Tertib Manusia Lintas Ruang Generasi (Yogyakarta: Genta Publishing, 2010), hlm.","plainTextFormattedCitation":"&amp; Markus Y. Hage Bernard L.Tanya, Yoan N. Simanjuntak, Teori Hukum. Strategi Tertib Manusia Lintas Ruang Generasi (Yogyakarta: Genta Publishing, 2010).","previouslyFormattedCitation":"&amp; Markus Y. Hage Bernard L.Tanya, Yoan N. Simanjuntak, &lt;i&gt;Teori Hukum. Strategi Tertib Manusia Lintas Ruang Generasi&lt;/i&gt; (Yogyakarta: Genta Publishing, 2010)."},"properties":{"noteIndex":27},"schema":"https://github.com/citation-style-language/schema/raw/master/csl-citation.json"}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&amp; Markus Y. Hage Bernard L.Tanya, Yoan N. Simanjuntak, </w:t>
      </w:r>
      <w:r w:rsidRPr="00F6627D">
        <w:rPr>
          <w:rFonts w:asciiTheme="majorBidi" w:hAnsiTheme="majorBidi" w:cstheme="majorBidi"/>
          <w:i/>
          <w:noProof/>
        </w:rPr>
        <w:t>Teori Hukum. Strategi Tertib Manusia Lintas Ruang Generasi</w:t>
      </w:r>
      <w:r w:rsidRPr="00F6627D">
        <w:rPr>
          <w:rFonts w:asciiTheme="majorBidi" w:hAnsiTheme="majorBidi" w:cstheme="majorBidi"/>
          <w:noProof/>
        </w:rPr>
        <w:t xml:space="preserve"> (Yogyakarta: Genta Publishing, 2010), hlm.</w:t>
      </w:r>
      <w:r w:rsidRPr="00F6627D">
        <w:rPr>
          <w:rFonts w:asciiTheme="majorBidi" w:hAnsiTheme="majorBidi" w:cstheme="majorBidi"/>
        </w:rPr>
        <w:fldChar w:fldCharType="end"/>
      </w:r>
      <w:r w:rsidRPr="00F6627D">
        <w:rPr>
          <w:rFonts w:asciiTheme="majorBidi" w:hAnsiTheme="majorBidi" w:cstheme="majorBidi"/>
        </w:rPr>
        <w:t xml:space="preserve"> 73-74.</w:t>
      </w:r>
    </w:p>
  </w:footnote>
  <w:footnote w:id="28">
    <w:p w14:paraId="0185D6DB" w14:textId="00B607A6" w:rsidR="002C7407" w:rsidRPr="00F6627D" w:rsidRDefault="002C740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{"citationItems":[{"id":"ITEM-1","itemData":{"author":[{"dropping-particle":"","family":"Bernard L.Tanya, Yoan N. Simanjuntak","given":"&amp; Markus Y. Hage","non-dropping-particle":"","parse-names":false,"suffix":""}],"id":"ITEM-1","issued":{"date-parts":[["2010"]]},"publisher":"Genta Publishing","publisher-place":"Yogyakarta","title":"Teori Hukum. Strategi Tertib Manusia Lintas Ruang Generasi","type":"book"},"uris":["http://www.mendeley.com/documents/?uuid=96148fb5-f69b-4f5e-8fa4-45c103b4f646"]}],"mendeley":{"formattedCitation":"Bernard L.Tanya, Yoan N. Simanjuntak.","plainTextFormattedCitation":"Bernard L.Tanya, Yoan N. Simanjuntak.","previouslyFormattedCitation":"Bernard L.Tanya, Yoan N. Simanjuntak."},"properties":{"noteIndex":28},"schema":"https://github.com/citation-style-language/schema/raw/master/csl-citation.json"}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Bernard L.Tanya, Yoan N. Simanjuntak.</w:t>
      </w:r>
      <w:r w:rsidRPr="00F6627D">
        <w:rPr>
          <w:rFonts w:asciiTheme="majorBidi" w:hAnsiTheme="majorBidi" w:cstheme="majorBidi"/>
        </w:rPr>
        <w:fldChar w:fldCharType="end"/>
      </w:r>
      <w:r w:rsidRPr="00F6627D">
        <w:rPr>
          <w:rFonts w:asciiTheme="majorBidi" w:hAnsiTheme="majorBidi" w:cstheme="majorBidi"/>
        </w:rPr>
        <w:t>, hlm. 75.</w:t>
      </w:r>
    </w:p>
  </w:footnote>
  <w:footnote w:id="29">
    <w:p w14:paraId="6F1E5AE5" w14:textId="0185F4AE" w:rsidR="00EA664A" w:rsidRPr="00F6627D" w:rsidRDefault="00EA664A"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{"citationItems":[{"id":"ITEM-1","itemData":{"author":[{"dropping-particle":"","family":"CST Kansil Dkk","given":"","non-dropping-particle":"","parse-names":false,"suffix":""}],"id":"ITEM-1","issued":{"date-parts":[["2009"]]},"publisher":"Jala Permata","publisher-place":"Jakarta","title":"Kamus Istilah Hukum","type":"book"},"uris":["http://www.mendeley.com/documents/?uuid=7753c639-fbc5-449e-835d-a8872056cf66"]}],"mendeley":{"formattedCitation":"CST Kansil Dkk, &lt;i&gt;Kamus Istilah Hukum&lt;/i&gt; (Jakarta: Jala Permata, 2009).","manualFormatting":"CST Kansil dkk, Kamus Istilah Hukum (Jakarta: Jala Permata, 2009), ","plainTextFormattedCitation":"CST Kansil Dkk, Kamus Istilah Hukum (Jakarta: Jala Permata, 2009).","previouslyFormattedCitation":"CST Kansil Dkk, &lt;i&gt;Kamus Istilah Hukum&lt;/i&gt; (Jakarta: Jala Permata, 2009)."},"properties":{"noteIndex":29},"schema":"https://github.com/citation-style-language/schema/raw/master/csl-citation.json"}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CST Kansil dkk, </w:t>
      </w:r>
      <w:r w:rsidRPr="00F6627D">
        <w:rPr>
          <w:rFonts w:asciiTheme="majorBidi" w:hAnsiTheme="majorBidi" w:cstheme="majorBidi"/>
          <w:i/>
          <w:noProof/>
        </w:rPr>
        <w:t>Kamus Istilah Hukum</w:t>
      </w:r>
      <w:r w:rsidRPr="00F6627D">
        <w:rPr>
          <w:rFonts w:asciiTheme="majorBidi" w:hAnsiTheme="majorBidi" w:cstheme="majorBidi"/>
          <w:noProof/>
        </w:rPr>
        <w:t xml:space="preserve"> (Jakarta: Jala Permata, 2009), </w:t>
      </w:r>
      <w:r w:rsidRPr="00F6627D">
        <w:rPr>
          <w:rFonts w:asciiTheme="majorBidi" w:hAnsiTheme="majorBidi" w:cstheme="majorBidi"/>
        </w:rPr>
        <w:fldChar w:fldCharType="end"/>
      </w:r>
      <w:r w:rsidRPr="00F6627D">
        <w:rPr>
          <w:rFonts w:asciiTheme="majorBidi" w:hAnsiTheme="majorBidi" w:cstheme="majorBidi"/>
        </w:rPr>
        <w:t xml:space="preserve"> 385.</w:t>
      </w:r>
    </w:p>
  </w:footnote>
  <w:footnote w:id="30">
    <w:p w14:paraId="7A91EA84" w14:textId="11F8352B" w:rsidR="00EA664A" w:rsidRPr="00F6627D" w:rsidRDefault="00EA664A"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proofErr w:type="spellStart"/>
      <w:r w:rsidRPr="00F6627D">
        <w:rPr>
          <w:rFonts w:asciiTheme="majorBidi" w:hAnsiTheme="majorBidi" w:cstheme="majorBidi"/>
        </w:rPr>
        <w:t>Mertokusumo</w:t>
      </w:r>
      <w:proofErr w:type="spellEnd"/>
      <w:r w:rsidRPr="00F6627D">
        <w:rPr>
          <w:rFonts w:asciiTheme="majorBidi" w:hAnsiTheme="majorBidi" w:cstheme="majorBidi"/>
        </w:rPr>
        <w:t xml:space="preserve"> dikutip dari </w:t>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{"citationItems":[{"id":"ITEM-1","itemData":{"author":[{"dropping-particle":"","family":"Salim. HS","given":"","non-dropping-particle":"","parse-names":false,"suffix":""}],"id":"ITEM-1","issued":{"date-parts":[["2010"]]},"publisher":"Raja Grafindo Persada","publisher-place":"Jakarta","title":"Perkembangan Teori Dalam Ilmu Hukum","type":"book"},"uris":["http://www.mendeley.com/documents/?uuid=4fc324ac-2035-448d-a265-55c90f9b0306"]}],"mendeley":{"formattedCitation":"Salim. HS, &lt;i&gt;Perkembangan Teori Dalam Ilmu Hukum&lt;/i&gt; (Jakarta: Raja Grafindo Persada, 2010).","manualFormatting":"Salim. HS, Perkembangan Teori Dalam Ilmu Hukum (Jakarta: Raja Grafindo Persada, 2010), hlm.","plainTextFormattedCitation":"Salim. HS, Perkembangan Teori Dalam Ilmu Hukum (Jakarta: Raja Grafindo Persada, 2010).","previouslyFormattedCitation":"Salim. HS, &lt;i&gt;Perkembangan Teori Dalam Ilmu Hukum&lt;/i&gt; (Jakarta: Raja Grafindo Persada, 2010)."},"properties":{"noteIndex":30},"schema":"https://github.com/citation-style-language/schema/raw/master/csl-citation.json"}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Salim. HS, </w:t>
      </w:r>
      <w:r w:rsidRPr="00F6627D">
        <w:rPr>
          <w:rFonts w:asciiTheme="majorBidi" w:hAnsiTheme="majorBidi" w:cstheme="majorBidi"/>
          <w:i/>
          <w:noProof/>
        </w:rPr>
        <w:t>Perkembangan Teori Dalam Ilmu Hukum</w:t>
      </w:r>
      <w:r w:rsidRPr="00F6627D">
        <w:rPr>
          <w:rFonts w:asciiTheme="majorBidi" w:hAnsiTheme="majorBidi" w:cstheme="majorBidi"/>
          <w:noProof/>
        </w:rPr>
        <w:t xml:space="preserve"> (Jakarta: Raja Grafindo Persada, 2010), hlm.</w:t>
      </w:r>
      <w:r w:rsidRPr="00F6627D">
        <w:rPr>
          <w:rFonts w:asciiTheme="majorBidi" w:hAnsiTheme="majorBidi" w:cstheme="majorBidi"/>
        </w:rPr>
        <w:fldChar w:fldCharType="end"/>
      </w:r>
      <w:r w:rsidRPr="00F6627D">
        <w:rPr>
          <w:rFonts w:asciiTheme="majorBidi" w:hAnsiTheme="majorBidi" w:cstheme="majorBidi"/>
        </w:rPr>
        <w:t xml:space="preserve"> 24.</w:t>
      </w:r>
    </w:p>
  </w:footnote>
  <w:footnote w:id="31">
    <w:p w14:paraId="4ADEB660" w14:textId="4B33EB02" w:rsidR="00EA664A" w:rsidRPr="00F6627D" w:rsidRDefault="00EA664A"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{"citationItems":[{"id":"ITEM-1","itemData":{"ISBN":"9783319334073","abstract":"Instead of the usual apologetic treatment found in legal doctrine, linked to the determinacy, immutability or predictability of norms, this book treats legal certainty innovatively, holistically and in depth. Using a method at once analytical and functional, Professor Ávila examines the structural elements of legal certainty, from its definition and foundations to its various dimensions, normative forces and efficacies, citing a wealth of examples from case law to support each of the theses defended. No subject is more important and topical than legal certainty. Problems relating to lack of understanding, instability and unpredictability of law intensify day by day everywhere, in civil law and common law countries alike. Normative sources are increasingly diverse in origin (national, international, community) and multiple in nature (legal, contractual, jurisprudential). They change constantly, and present increasingly frequent problems of ambiguity and vagueness that significantly hinder their comprehension. This state of affairs, which to a greater or lesser extent is true of any legal order, justifies a return to the subject of legal certainty. In this book, essential questions are answered such as: Legal certainty in what sense? Certainty of what, for whom, in whose vision and by whom? When, to what extent, and to what end? \"(...) it is probably the most comprehensive and systematic study ever produced on this subject using the analytical method.\" (Riccardo Guastini, Professor of Jurisprudence, University of Genoa, Italy). Instead of the usual apologetic treatment found in legal doctrine, linked to the determinacy, immutability or predictability of norms, this book treats legal certainty innovatively, holistically and in depth. Using a method at once analytical and functional, Professor Ávila examines the structural elements of legal certainty, from its definition and foundations to its various dimensions, normative forces and efficacies, citing a wealth of examples from case law to support each of the theses defended. No subject is more important and topical than legal certainty. Problems relating to lack of understanding, instability and unpredictability of law intensify day by day everywhere, in civil law and common law countries alike. Normative sources are increasingly diverse in origin (national, international, community) and multiple in nature (legal, contractual, jurisprudential). They change constantly, and present increasingly frequent pr…","author":[{"dropping-particle":"","family":"Ávila","given":"Humberto","non-dropping-particle":"","parse-names":false,"suffix":""}],"editor":[{"dropping-particle":"","family":"Laporta, Francisco J.","given":"Frederick Schauer and Torben Spaak","non-dropping-particle":"","parse-names":false,"suffix":""}],"id":"ITEM-1","issued":{"date-parts":[["2016"]]},"publisher":"Springer International Publishing","publisher-place":"Switzerland","title":"Certainty in law","type":"book"},"uris":["http://www.mendeley.com/documents/?uuid=7db2a748-31f0-462c-b607-37b2bc5cde07"]}],"mendeley":{"formattedCitation":"Humberto Ávila, &lt;i&gt;Certainty in Law&lt;/i&gt;, ed. Frederick Schauer and Torben Spaak Laporta, Francisco J. (Switzerland: Springer International Publishing, 2016).","manualFormatting":"Humberto Ávila, Certainty in Law, ed. Frederick Schauer and Torben Spaak Laporta, Francisco J. (Switzerland: Springer International Publishing, 2016), hlm.","plainTextFormattedCitation":"Humberto Ávila, Certainty in Law, ed. Frederick Schauer and Torben Spaak Laporta, Francisco J. (Switzerland: Springer International Publishing, 2016).","previouslyFormattedCitation":"Humberto Ávila, &lt;i&gt;Certainty in Law&lt;/i&gt;, ed. Frederick Schauer and Torben Spaak Laporta, Francisco J. (Switzerland: Springer International Publishing, 2016)."},"properties":{"noteIndex":31},"schema":"https://github.com/citation-style-language/schema/raw/master/csl-citation.json"}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Humberto Ávila, </w:t>
      </w:r>
      <w:r w:rsidRPr="00F6627D">
        <w:rPr>
          <w:rFonts w:asciiTheme="majorBidi" w:hAnsiTheme="majorBidi" w:cstheme="majorBidi"/>
          <w:i/>
          <w:noProof/>
        </w:rPr>
        <w:t>Certainty in Law</w:t>
      </w:r>
      <w:r w:rsidRPr="00F6627D">
        <w:rPr>
          <w:rFonts w:asciiTheme="majorBidi" w:hAnsiTheme="majorBidi" w:cstheme="majorBidi"/>
          <w:noProof/>
        </w:rPr>
        <w:t>, ed. Frederick Schauer and Torben Spaak Laporta, Francisco J. (Switzerland: Springer International Publishing, 2016), hlm.</w:t>
      </w:r>
      <w:r w:rsidRPr="00F6627D">
        <w:rPr>
          <w:rFonts w:asciiTheme="majorBidi" w:hAnsiTheme="majorBidi" w:cstheme="majorBidi"/>
        </w:rPr>
        <w:fldChar w:fldCharType="end"/>
      </w:r>
      <w:r w:rsidRPr="00F6627D">
        <w:rPr>
          <w:rFonts w:asciiTheme="majorBidi" w:hAnsiTheme="majorBidi" w:cstheme="majorBidi"/>
        </w:rPr>
        <w:t xml:space="preserve"> 49.</w:t>
      </w:r>
    </w:p>
  </w:footnote>
  <w:footnote w:id="32">
    <w:p w14:paraId="5D07546B" w14:textId="17A310B0" w:rsidR="00EA664A" w:rsidRPr="00F6627D" w:rsidRDefault="00EA664A"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32D7" w:rsidRPr="00F6627D">
        <w:rPr>
          <w:rFonts w:asciiTheme="majorBidi" w:hAnsiTheme="majorBidi" w:cstheme="majorBidi"/>
        </w:rPr>
        <w:instrText>ADDIN CSL_CITATION {"citationItems":[{"id":"ITEM-1","itemData":{"author":[{"dropping-particle":"","family":"Stone","given":"Jason","non-dropping-particle":"","parse-names":false,"suffix":""}],"container-title":"Public Land &amp; Resources Law Review Volume","id":"ITEM-1","issue":"June","issued":{"date-parts":[["2006"]]},"title":"Review Ubi Jus Incertum , Ibi Jus Nullum : Where the Right Is Uncertain , There Is No Right : United States v . Navajo Nation","type":"article-journal","volume":"27"},"uris":["http://www.mendeley.com/documents/?uuid=31f5ed91-8ea0-477c-94c7-82b7706df0e4"]}],"mendeley":{"formattedCitation":"Jason Stone, “Review Ubi Jus Incertum , Ibi Jus Nullum : Where the Right Is Uncertain , There Is No Right : United States v . Navajo Nation,” &lt;i&gt;Public Land &amp; Resources Law Review Volume&lt;/i&gt; 27, no. June (2006).","manualFormatting":"Jason Stone, “Ubi Jus Incertum , Ibi Jus Nullum : Where the Right Is Uncertain , There Is No Right : United States v . Navajo Nation,” Public Land &amp; Resources Law Review Volume 27, no. June (2006), hlm.","plainTextFormattedCitation":"Jason Stone, “Review Ubi Jus Incertum , Ibi Jus Nullum : Where the Right Is Uncertain , There Is No Right : United States v . Navajo Nation,” Public Land &amp; Resources Law Review Volume 27, no. June (2006).","previouslyFormattedCitation":"Jason Stone, “Review Ubi Jus Incertum , Ibi Jus Nullum : Where the Right Is Uncertain , There Is No Right : United States v . Navajo Nation,” &lt;i&gt;Public Land &amp; Resources Law Review Volume&lt;/i&gt; 27, no. June (2006)."},"properties":{"noteIndex":32},"schema":"https://github.com/citation-style-language/schema/raw/master/csl-citation.json"}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Jason Stone, “Ubi Jus Incertum , Ibi Jus Nullum : Where the Right Is Uncertain , There Is No Right : United States v . Navajo Nation,” </w:t>
      </w:r>
      <w:r w:rsidRPr="00F6627D">
        <w:rPr>
          <w:rFonts w:asciiTheme="majorBidi" w:hAnsiTheme="majorBidi" w:cstheme="majorBidi"/>
          <w:i/>
          <w:noProof/>
        </w:rPr>
        <w:t>Public Land &amp; Resources Law Review Volume</w:t>
      </w:r>
      <w:r w:rsidRPr="00F6627D">
        <w:rPr>
          <w:rFonts w:asciiTheme="majorBidi" w:hAnsiTheme="majorBidi" w:cstheme="majorBidi"/>
          <w:noProof/>
        </w:rPr>
        <w:t xml:space="preserve"> 27, no. June (2006), hlm.</w:t>
      </w:r>
      <w:r w:rsidRPr="00F6627D">
        <w:rPr>
          <w:rFonts w:asciiTheme="majorBidi" w:hAnsiTheme="majorBidi" w:cstheme="majorBidi"/>
        </w:rPr>
        <w:fldChar w:fldCharType="end"/>
      </w:r>
      <w:r w:rsidRPr="00F6627D">
        <w:rPr>
          <w:rFonts w:asciiTheme="majorBidi" w:hAnsiTheme="majorBidi" w:cstheme="majorBidi"/>
        </w:rPr>
        <w:t xml:space="preserve"> 3</w:t>
      </w:r>
    </w:p>
  </w:footnote>
  <w:footnote w:id="33">
    <w:p w14:paraId="7D3E7B03" w14:textId="589ECEAE" w:rsidR="00EA664A" w:rsidRPr="00F6627D" w:rsidRDefault="00EA664A" w:rsidP="00F6627D">
      <w:pPr>
        <w:autoSpaceDE w:val="0"/>
        <w:autoSpaceDN w:val="0"/>
        <w:adjustRightInd w:val="0"/>
        <w:spacing w:after="0" w:line="240" w:lineRule="auto"/>
        <w:ind w:left="142" w:hanging="142"/>
        <w:jc w:val="both"/>
        <w:rPr>
          <w:rFonts w:asciiTheme="majorBidi" w:hAnsiTheme="majorBidi" w:cstheme="majorBidi"/>
          <w:sz w:val="20"/>
          <w:szCs w:val="20"/>
          <w:lang w:val="en-ID"/>
        </w:rPr>
      </w:pPr>
      <w:r w:rsidRPr="00F6627D">
        <w:rPr>
          <w:rStyle w:val="FootnoteReference"/>
          <w:rFonts w:asciiTheme="majorBidi" w:hAnsiTheme="majorBidi" w:cstheme="majorBidi"/>
          <w:sz w:val="20"/>
          <w:szCs w:val="20"/>
        </w:rPr>
        <w:footnoteRef/>
      </w:r>
      <w:r w:rsidRPr="00F6627D">
        <w:rPr>
          <w:rFonts w:asciiTheme="majorBidi" w:hAnsiTheme="majorBidi" w:cstheme="majorBidi"/>
          <w:sz w:val="20"/>
          <w:szCs w:val="20"/>
        </w:rPr>
        <w:t xml:space="preserve"> </w:t>
      </w:r>
      <w:r w:rsidR="00CF1591" w:rsidRPr="00F6627D">
        <w:rPr>
          <w:rFonts w:asciiTheme="majorBidi" w:hAnsiTheme="majorBidi" w:cstheme="majorBidi"/>
          <w:sz w:val="20"/>
          <w:szCs w:val="20"/>
        </w:rPr>
        <w:t>Dikutip</w:t>
      </w:r>
      <w:r w:rsidRPr="00F6627D">
        <w:rPr>
          <w:rFonts w:asciiTheme="majorBidi" w:hAnsiTheme="majorBidi" w:cstheme="majorBidi"/>
          <w:sz w:val="20"/>
          <w:szCs w:val="20"/>
        </w:rPr>
        <w:t xml:space="preserve"> </w:t>
      </w:r>
      <w:r w:rsidR="00CF1591" w:rsidRPr="00F6627D">
        <w:rPr>
          <w:rFonts w:asciiTheme="majorBidi" w:hAnsiTheme="majorBidi" w:cstheme="majorBidi"/>
          <w:sz w:val="20"/>
          <w:szCs w:val="20"/>
        </w:rPr>
        <w:t>dari</w:t>
      </w:r>
      <w:r w:rsidRPr="00F6627D">
        <w:rPr>
          <w:rFonts w:asciiTheme="majorBidi" w:hAnsiTheme="majorBidi" w:cstheme="majorBidi"/>
          <w:sz w:val="20"/>
          <w:szCs w:val="20"/>
        </w:rPr>
        <w:t xml:space="preserve"> </w:t>
      </w:r>
      <w:r w:rsidRPr="00F6627D">
        <w:rPr>
          <w:rFonts w:asciiTheme="majorBidi" w:hAnsiTheme="majorBidi" w:cstheme="majorBidi"/>
          <w:sz w:val="20"/>
          <w:szCs w:val="20"/>
        </w:rPr>
        <w:fldChar w:fldCharType="begin" w:fldLock="1"/>
      </w:r>
      <w:r w:rsidR="00EC6576" w:rsidRPr="00F6627D">
        <w:rPr>
          <w:rFonts w:asciiTheme="majorBidi" w:hAnsiTheme="majorBidi" w:cstheme="majorBidi"/>
          <w:sz w:val="20"/>
          <w:szCs w:val="20"/>
        </w:rPr>
        <w:instrText>ADDIN CSL_CITATION {"citationItems":[{"id":"ITEM-1","itemData":{"ISBN":"9783319334073","abstract":"Instead of the usual apologetic treatment found in legal doctrine, linked to the determinacy, immutability or predictability of norms, this book treats legal certainty innovatively, holistically and in depth. Using a method at once analytical and functional, Professor Ávila examines the structural elements of legal certainty, from its definition and foundations to its various dimensions, normative forces and efficacies, citing a wealth of examples from case law to support each of the theses defended. No subject is more important and topical than legal certainty. Problems relating to lack of understanding, instability and unpredictability of law intensify day by day everywhere, in civil law and common law countries alike. Normative sources are increasingly diverse in origin (national, international, community) and multiple in nature (legal, contractual, jurisprudential). They change constantly, and present increasingly frequent problems of ambiguity and vagueness that significantly hinder their comprehension. This state of affairs, which to a greater or lesser extent is true of any legal order, justifies a return to the subject of legal certainty. In this book, essential questions are answered such as: Legal certainty in what sense? Certainty of what, for whom, in whose vision and by whom? When, to what extent, and to what end? \"(...) it is probably the most comprehensive and systematic study ever produced on this subject using the analytical method.\" (Riccardo Guastini, Professor of Jurisprudence, University of Genoa, Italy). Instead of the usual apologetic treatment found in legal doctrine, linked to the determinacy, immutability or predictability of norms, this book treats legal certainty innovatively, holistically and in depth. Using a method at once analytical and functional, Professor Ávila examines the structural elements of legal certainty, from its definition and foundations to its various dimensions, normative forces and efficacies, citing a wealth of examples from case law to support each of the theses defended. No subject is more important and topical than legal certainty. Problems relating to lack of understanding, instability and unpredictability of law intensify day by day everywhere, in civil law and common law countries alike. Normative sources are increasingly diverse in origin (national, international, community) and multiple in nature (legal, contractual, jurisprudential). They change constantly, and present increasingly frequent pr…","author":[{"dropping-particle":"","family":"Ávila","given":"Humberto","non-dropping-particle":"","parse-names":false,"suffix":""}],"editor":[{"dropping-particle":"","family":"Laporta, Francisco J.","given":"Frederick Schauer and Torben Spaak","non-dropping-particle":"","parse-names":false,"suffix":""}],"id":"ITEM-1","issued":{"date-parts":[["2016"]]},"publisher":"Springer International Publishing","publisher-place":"Switzerland","title":"Certainty in law","type":"book"},"uris":["http://www.mendeley.com/documents/?uuid=7db2a748-31f0-462c-b607-37b2bc5cde07"]}],"mendeley":{"formattedCitation":"Ávila, &lt;i&gt;Certainty in Law&lt;/i&gt;.","manualFormatting":"Humberto Ávila, Certainty in Law, ed. Frederick Schauer and Torben Spaak Laporta, Francisco J. (Switzerland: Springer International Publishing, 2016), ","plainTextFormattedCitation":"Ávila, Certainty in Law.","previouslyFormattedCitation":"Ávila, &lt;i&gt;Certainty in Law&lt;/i&gt;."},"properties":{"noteIndex":33},"schema":"https://github.com/citation-style-language/schema/raw/master/csl-citation.json"}</w:instrText>
      </w:r>
      <w:r w:rsidRPr="00F6627D">
        <w:rPr>
          <w:rFonts w:asciiTheme="majorBidi" w:hAnsiTheme="majorBidi" w:cstheme="majorBidi"/>
          <w:sz w:val="20"/>
          <w:szCs w:val="20"/>
        </w:rPr>
        <w:fldChar w:fldCharType="separate"/>
      </w:r>
      <w:r w:rsidRPr="00F6627D">
        <w:rPr>
          <w:rFonts w:asciiTheme="majorBidi" w:hAnsiTheme="majorBidi" w:cstheme="majorBidi"/>
          <w:noProof/>
          <w:sz w:val="20"/>
          <w:szCs w:val="20"/>
        </w:rPr>
        <w:t xml:space="preserve">Humberto Ávila, </w:t>
      </w:r>
      <w:r w:rsidRPr="00F6627D">
        <w:rPr>
          <w:rFonts w:asciiTheme="majorBidi" w:hAnsiTheme="majorBidi" w:cstheme="majorBidi"/>
          <w:i/>
          <w:noProof/>
          <w:sz w:val="20"/>
          <w:szCs w:val="20"/>
        </w:rPr>
        <w:t>Certainty in Law</w:t>
      </w:r>
      <w:r w:rsidRPr="00F6627D">
        <w:rPr>
          <w:rFonts w:asciiTheme="majorBidi" w:hAnsiTheme="majorBidi" w:cstheme="majorBidi"/>
          <w:noProof/>
          <w:sz w:val="20"/>
          <w:szCs w:val="20"/>
        </w:rPr>
        <w:t xml:space="preserve">, ed. Frederick Schauer and Torben Spaak Laporta, Francisco J. (Switzerland: Springer International Publishing, 2016), </w:t>
      </w:r>
      <w:r w:rsidRPr="00F6627D">
        <w:rPr>
          <w:rFonts w:asciiTheme="majorBidi" w:hAnsiTheme="majorBidi" w:cstheme="majorBidi"/>
          <w:sz w:val="20"/>
          <w:szCs w:val="20"/>
        </w:rPr>
        <w:fldChar w:fldCharType="end"/>
      </w:r>
      <w:r w:rsidRPr="00F6627D">
        <w:rPr>
          <w:rFonts w:asciiTheme="majorBidi" w:hAnsiTheme="majorBidi" w:cstheme="majorBidi"/>
          <w:sz w:val="20"/>
          <w:szCs w:val="20"/>
        </w:rPr>
        <w:t xml:space="preserve"> 47.</w:t>
      </w:r>
    </w:p>
  </w:footnote>
  <w:footnote w:id="34">
    <w:p w14:paraId="610222BD" w14:textId="5C9AFA65" w:rsidR="00EA664A" w:rsidRPr="00F6627D" w:rsidRDefault="00EA664A"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 xml:space="preserve">L. </w:t>
      </w:r>
      <w:proofErr w:type="spellStart"/>
      <w:r w:rsidRPr="00F6627D">
        <w:rPr>
          <w:rFonts w:asciiTheme="majorBidi" w:hAnsiTheme="majorBidi" w:cstheme="majorBidi"/>
        </w:rPr>
        <w:t>Recaséns</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Siches</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Filosofía</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del</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Derecho</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México</w:t>
      </w:r>
      <w:proofErr w:type="spellEnd"/>
      <w:r w:rsidRPr="00F6627D">
        <w:rPr>
          <w:rFonts w:asciiTheme="majorBidi" w:hAnsiTheme="majorBidi" w:cstheme="majorBidi"/>
        </w:rPr>
        <w:t xml:space="preserve">, </w:t>
      </w:r>
      <w:proofErr w:type="spellStart"/>
      <w:r w:rsidRPr="00F6627D">
        <w:rPr>
          <w:rFonts w:asciiTheme="majorBidi" w:hAnsiTheme="majorBidi" w:cstheme="majorBidi"/>
        </w:rPr>
        <w:t>Porrúa</w:t>
      </w:r>
      <w:proofErr w:type="spellEnd"/>
      <w:r w:rsidRPr="00F6627D">
        <w:rPr>
          <w:rFonts w:asciiTheme="majorBidi" w:hAnsiTheme="majorBidi" w:cstheme="majorBidi"/>
        </w:rPr>
        <w:t xml:space="preserve">, 1959, p. 224, dalam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{"citationItems":[{"id":"ITEM-1","itemData":{"ISBN":"9783319334073","abstract":"Instead of the usual apologetic treatment found in legal doctrine, linked to the determinacy, immutability or predictability of norms, this book treats legal certainty innovatively, holistically and in depth. Using a method at once analytical and functional, Professor Ávila examines the structural elements of legal certainty, from its definition and foundations to its various dimensions, normative forces and efficacies, citing a wealth of examples from case law to support each of the theses defended. No subject is more important and topical than legal certainty. Problems relating to lack of understanding, instability and unpredictability of law intensify day by day everywhere, in civil law and common law countries alike. Normative sources are increasingly diverse in origin (national, international, community) and multiple in nature (legal, contractual, jurisprudential). They change constantly, and present increasingly frequent problems of ambiguity and vagueness that significantly hinder their comprehension. This state of affairs, which to a greater or lesser extent is true of any legal order, justifies a return to the subject of legal certainty. In this book, essential questions are answered such as: Legal certainty in what sense? Certainty of what, for whom, in whose vision and by whom? When, to what extent, and to what end? \"(...) it is probably the most comprehensive and systematic study ever produced on this subject using the analytical method.\" (Riccardo Guastini, Professor of Jurisprudence, University of Genoa, Italy). Instead of the usual apologetic treatment found in legal doctrine, linked to the determinacy, immutability or predictability of norms, this book treats legal certainty innovatively, holistically and in depth. Using a method at once analytical and functional, Professor Ávila examines the structural elements of legal certainty, from its definition and foundations to its various dimensions, normative forces and efficacies, citing a wealth of examples from case law to support each of the theses defended. No subject is more important and topical than legal certainty. Problems relating to lack of understanding, instability and unpredictability of law intensify day by day everywhere, in civil law and common law countries alike. Normative sources are increasingly diverse in origin (national, international, community) and multiple in nature (legal, contractual, jurisprudential). They change constantly, and present increasingly frequent pr…","author":[{"dropping-particle":"","family":"Ávila","given":"Humberto","non-dropping-particle":"","parse-names":false,"suffix":""}],"editor":[{"dropping-particle":"","family":"Laporta, Francisco J.","given":"Frederick Schauer and Torben Spaak","non-dropping-particle":"","parse-names":false,"suffix":""}],"id":"ITEM-1","issued":{"date-parts":[["2016"]]},"publisher":"Springer International Publishing","publisher-place":"Switzerland","title":"Certainty in law","type":"book"},"uris":["http://www.mendeley.com/documents/?uuid=7db2a748-31f0-462c-b607-37b2bc5cde07"]}],"mendeley":{"formattedCitation":"Ávila.","plainTextFormattedCitation":"Ávila.","previouslyFormattedCitation":"Ávila."},"properties":{"noteIndex":34},"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Ávila.</w:t>
      </w:r>
      <w:r w:rsidRPr="00F6627D">
        <w:rPr>
          <w:rFonts w:asciiTheme="majorBidi" w:hAnsiTheme="majorBidi" w:cstheme="majorBidi"/>
        </w:rPr>
        <w:fldChar w:fldCharType="end"/>
      </w:r>
    </w:p>
  </w:footnote>
  <w:footnote w:id="35">
    <w:p w14:paraId="29FBA838" w14:textId="4D546680" w:rsidR="00EA664A" w:rsidRPr="00F6627D" w:rsidRDefault="00EA664A"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 xml:space="preserve">Dikutip dari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{"citationItems":[{"id":"ITEM-1","itemData":{"ISBN":"9783319334073","abstract":"Instead of the usual apologetic treatment found in legal doctrine, linked to the determinacy, immutability or predictability of norms, this book treats legal certainty innovatively, holistically and in depth. Using a method at once analytical and functional, Professor Ávila examines the structural elements of legal certainty, from its definition and foundations to its various dimensions, normative forces and efficacies, citing a wealth of examples from case law to support each of the theses defended. No subject is more important and topical than legal certainty. Problems relating to lack of understanding, instability and unpredictability of law intensify day by day everywhere, in civil law and common law countries alike. Normative sources are increasingly diverse in origin (national, international, community) and multiple in nature (legal, contractual, jurisprudential). They change constantly, and present increasingly frequent problems of ambiguity and vagueness that significantly hinder their comprehension. This state of affairs, which to a greater or lesser extent is true of any legal order, justifies a return to the subject of legal certainty. In this book, essential questions are answered such as: Legal certainty in what sense? Certainty of what, for whom, in whose vision and by whom? When, to what extent, and to what end? \"(...) it is probably the most comprehensive and systematic study ever produced on this subject using the analytical method.\" (Riccardo Guastini, Professor of Jurisprudence, University of Genoa, Italy). Instead of the usual apologetic treatment found in legal doctrine, linked to the determinacy, immutability or predictability of norms, this book treats legal certainty innovatively, holistically and in depth. Using a method at once analytical and functional, Professor Ávila examines the structural elements of legal certainty, from its definition and foundations to its various dimensions, normative forces and efficacies, citing a wealth of examples from case law to support each of the theses defended. No subject is more important and topical than legal certainty. Problems relating to lack of understanding, instability and unpredictability of law intensify day by day everywhere, in civil law and common law countries alike. Normative sources are increasingly diverse in origin (national, international, community) and multiple in nature (legal, contractual, jurisprudential). They change constantly, and present increasingly frequent pr…","author":[{"dropping-particle":"","family":"Ávila","given":"Humberto","non-dropping-particle":"","parse-names":false,"suffix":""}],"editor":[{"dropping-particle":"","family":"Laporta, Francisco J.","given":"Frederick Schauer and Torben Spaak","non-dropping-particle":"","parse-names":false,"suffix":""}],"id":"ITEM-1","issued":{"date-parts":[["2016"]]},"publisher":"Springer International Publishing","publisher-place":"Switzerland","title":"Certainty in law","type":"book"},"uris":["http://www.mendeley.com/documents/?uuid=7db2a748-31f0-462c-b607-37b2bc5cde07"]}],"mendeley":{"formattedCitation":"Ávila.","plainTextFormattedCitation":"Ávila.","previouslyFormattedCitation":"Ávila."},"properties":{"noteIndex":35},"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Ávila.</w:t>
      </w:r>
      <w:r w:rsidRPr="00F6627D">
        <w:rPr>
          <w:rFonts w:asciiTheme="majorBidi" w:hAnsiTheme="majorBidi" w:cstheme="majorBidi"/>
        </w:rPr>
        <w:fldChar w:fldCharType="end"/>
      </w:r>
      <w:r w:rsidRPr="00F6627D">
        <w:rPr>
          <w:rFonts w:asciiTheme="majorBidi" w:hAnsiTheme="majorBidi" w:cstheme="majorBidi"/>
        </w:rPr>
        <w:t xml:space="preserve"> 5</w:t>
      </w:r>
    </w:p>
  </w:footnote>
  <w:footnote w:id="36">
    <w:p w14:paraId="406B09A9" w14:textId="406C3D78" w:rsidR="009F76BE" w:rsidRPr="00F6627D" w:rsidRDefault="009F76BE"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{"citationItems":[{"id":"ITEM-1","itemData":{"DOI":"10.1017/S092215652100008X","ISSN":"14789698","abstract":"The article analyses the individual communications of the UN Human Rights Committee (HRC) on how the latter conceptualizes equality under the International Covenant on Civil and Political Rights (ICCPR). It finds an implicit taxonomy in the case law that is not reflected in the doctrinal formulae that the HRC applies. The argument proceeds in several steps: First, I argue that the concept of equality in human rights treaties depends heavily on its operationalization by courts and quasi-judicial bodies, like the HRC. Second, I analyse the doctrinal formulae that the HRC has developed in order to specify equality. I argue that the doctrine is rather inconsistent and does not give significant guidance for resolving actual cases. Third, I present the results of a systematic analysis of the case law of the HRC. The latter shows a rather stable pattern which is not reflected in the doctrinal formulae: The best predictor whether the HRC finds a violation of Article 26 ICCPR or another equality norm of the Convention is the existence of a suspect criterion on which the challenged distinction was based. There are only very few cases in which a violation is found in the absence of a suspect criterion. The majority of these cases arguably concern arbitrary state actions. At the same time, the HRC has only rarely held that a state has not violated an equality norm despite the existence of a suspect criterion.","author":[{"dropping-particle":"","family":"Petersen","given":"Niels","non-dropping-particle":"","parse-names":false,"suffix":""}],"container-title":"Leiden Journal of International Law","id":"ITEM-1","issue":"2","issued":{"date-parts":[["2021"]]},"page":"421-440","title":"The implicit taxonomy of the equality jurisprudence of the UN Human Rights Committee","type":"article-journal","volume":"34"},"uris":["http://www.mendeley.com/documents/?uuid=94913b91-70e7-45ac-8e8b-98159428d3cd"]}],"mendeley":{"formattedCitation":"Niels Petersen, “The Implicit Taxonomy of the Equality Jurisprudence of the UN Human Rights Committee,” &lt;i&gt;Leiden Journal of International Law&lt;/i&gt; 34, no. 2 (2021): 421–40, https://doi.org/10.1017/S092215652100008X.","plainTextFormattedCitation":"Niels Petersen, “The Implicit Taxonomy of the Equality Jurisprudence of the UN Human Rights Committee,” Leiden Journal of International Law 34, no. 2 (2021): 421–40, https://doi.org/10.1017/S092215652100008X.","previouslyFormattedCitation":"Niels Petersen, “The Implicit Taxonomy of the Equality Jurisprudence of the UN Human Rights Committee,” &lt;i&gt;Leiden Journal of International Law&lt;/i&gt; 34, no. 2 (2021): 421–40, https://doi.org/10.1017/S092215652100008X."},"properties":{"noteIndex":36},"schema":"https://github.com/citation-style-language/schema/raw/master/csl-citation.json"}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Niels Petersen, “The Implicit Taxonomy of the Equality Jurisprudence of the UN Human Rights Committee,” </w:t>
      </w:r>
      <w:r w:rsidR="00201F1F" w:rsidRPr="00F6627D">
        <w:rPr>
          <w:rFonts w:asciiTheme="majorBidi" w:hAnsiTheme="majorBidi" w:cstheme="majorBidi"/>
          <w:i/>
          <w:noProof/>
        </w:rPr>
        <w:t>Leiden Journal of International Law</w:t>
      </w:r>
      <w:r w:rsidR="00201F1F" w:rsidRPr="00F6627D">
        <w:rPr>
          <w:rFonts w:asciiTheme="majorBidi" w:hAnsiTheme="majorBidi" w:cstheme="majorBidi"/>
          <w:noProof/>
        </w:rPr>
        <w:t xml:space="preserve"> 34, no. 2 (2021): 421–40, https://doi.org/10.1017/S092215652100008X.</w:t>
      </w:r>
      <w:r w:rsidRPr="00F6627D">
        <w:rPr>
          <w:rFonts w:asciiTheme="majorBidi" w:hAnsiTheme="majorBidi" w:cstheme="majorBidi"/>
        </w:rPr>
        <w:fldChar w:fldCharType="end"/>
      </w:r>
    </w:p>
  </w:footnote>
  <w:footnote w:id="37">
    <w:p w14:paraId="28AFCF29" w14:textId="01F3E3FD" w:rsidR="006E0136" w:rsidRPr="00F6627D" w:rsidRDefault="006E0136"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{"citationItems":[{"id":"ITEM-1","itemData":{"author":[{"dropping-particle":"","family":"Malekian","given":"Farhad","non-dropping-particle":"","parse-names":false,"suffix":""}],"container-title":"Principles of Islamic International Criminal Law: A Comparative Search","id":"ITEM-1","issued":{"date-parts":[["2011"]]},"publisher":"Brill","publisher-place":"Leiden","title":"Principles of Islamic International Law","type":"chapter"},"uris":["http://www.mendeley.com/documents/?uuid=109dc2c8-0d8e-4cae-892f-3d6fbaff5134"]}],"mendeley":{"formattedCitation":"Farhad Malekian, “Principles of Islamic International Law,” in &lt;i&gt;Principles of Islamic International Criminal Law: A Comparative Search&lt;/i&gt; (Leiden: Brill, 2011).","manualFormatting":"Farhad Malekian, “Principles of Islamic International Law,” in Principles of Islamic International Criminal Law: A Comparative Search (Leiden: Brill, 2011), ","plainTextFormattedCitation":"Farhad Malekian, “Principles of Islamic International Law,” in Principles of Islamic International Criminal Law: A Comparative Search (Leiden: Brill, 2011).","previouslyFormattedCitation":"Farhad Malekian, “Principles of Islamic International Law,” in &lt;i&gt;Principles of Islamic International Criminal Law: A Comparative Search&lt;/i&gt; (Leiden: Brill, 2011)."},"properties":{"noteIndex":37},"schema":"https://github.com/citation-style-language/schema/raw/master/csl-citation.json"}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Farhad Malekian, “Principles of Islamic International Law,” in </w:t>
      </w:r>
      <w:r w:rsidRPr="00F6627D">
        <w:rPr>
          <w:rFonts w:asciiTheme="majorBidi" w:hAnsiTheme="majorBidi" w:cstheme="majorBidi"/>
          <w:i/>
          <w:noProof/>
        </w:rPr>
        <w:t>Principles of Islamic International Criminal Law: A Comparative Search</w:t>
      </w:r>
      <w:r w:rsidRPr="00F6627D">
        <w:rPr>
          <w:rFonts w:asciiTheme="majorBidi" w:hAnsiTheme="majorBidi" w:cstheme="majorBidi"/>
          <w:noProof/>
        </w:rPr>
        <w:t xml:space="preserve"> (Leiden: Brill, 2011), </w:t>
      </w:r>
      <w:r w:rsidRPr="00F6627D">
        <w:rPr>
          <w:rFonts w:asciiTheme="majorBidi" w:hAnsiTheme="majorBidi" w:cstheme="majorBidi"/>
        </w:rPr>
        <w:fldChar w:fldCharType="end"/>
      </w:r>
      <w:r w:rsidRPr="00F6627D">
        <w:rPr>
          <w:rFonts w:asciiTheme="majorBidi" w:hAnsiTheme="majorBidi" w:cstheme="majorBidi"/>
        </w:rPr>
        <w:t xml:space="preserve"> 27</w:t>
      </w:r>
    </w:p>
  </w:footnote>
  <w:footnote w:id="38">
    <w:p w14:paraId="610B4EC3" w14:textId="37B2E0EA" w:rsidR="00FD32F2" w:rsidRPr="00F6627D" w:rsidRDefault="00FD32F2"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hyperlink r:id="rId2" w:history="1">
        <w:r w:rsidRPr="00F6627D">
          <w:rPr>
            <w:rStyle w:val="Hyperlink"/>
            <w:rFonts w:asciiTheme="majorBidi" w:hAnsiTheme="majorBidi" w:cstheme="majorBidi"/>
          </w:rPr>
          <w:t>https://www.britannica.com/event/Peloponnesian-War</w:t>
        </w:r>
      </w:hyperlink>
      <w:r w:rsidRPr="00F6627D">
        <w:rPr>
          <w:rFonts w:asciiTheme="majorBidi" w:hAnsiTheme="majorBidi" w:cstheme="majorBidi"/>
        </w:rPr>
        <w:t>, diakses tanggal 3 Agustus 2023</w:t>
      </w:r>
    </w:p>
  </w:footnote>
  <w:footnote w:id="39">
    <w:p w14:paraId="59D7CF0E" w14:textId="7EF89850" w:rsidR="00FA28BF" w:rsidRPr="00F6627D" w:rsidRDefault="00FA28BF"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hyperlink r:id="rId3" w:history="1">
        <w:r w:rsidRPr="00F6627D">
          <w:rPr>
            <w:rStyle w:val="Hyperlink"/>
            <w:rFonts w:asciiTheme="majorBidi" w:hAnsiTheme="majorBidi" w:cstheme="majorBidi"/>
          </w:rPr>
          <w:t>https://history.nebraska.gov/equality-before-the-law-thoughts-on-the-origin-of-nebraskas-state-motto/</w:t>
        </w:r>
      </w:hyperlink>
      <w:r w:rsidRPr="00F6627D">
        <w:rPr>
          <w:rFonts w:asciiTheme="majorBidi" w:hAnsiTheme="majorBidi" w:cstheme="majorBidi"/>
        </w:rPr>
        <w:t>, diakses pada tanggal 3 Agustus 2023</w:t>
      </w:r>
    </w:p>
  </w:footnote>
  <w:footnote w:id="40">
    <w:p w14:paraId="340C945C" w14:textId="64ABBF3A" w:rsidR="009F3BF0" w:rsidRPr="00F6627D" w:rsidRDefault="009F3BF0"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{"citationItems":[{"id":"ITEM-1","itemData":{"DOI":"10.1017/9781316493526","abstract":"The right to make decisions is important for every individual. It allows us to express ourselves, discover our likes and dislikes, and lead our lives in the way we desire. People with cognitive disability have historically been denied this right in many different ways - sometimes informally by family members or carers, and other times formally by a courtroom or other legal authority. This book provides a discussion of the importance of decision-making and the ways in which it is currently denied to people with cognitive disability. It identifies the human right to equal recognition before the law as the key to ensuring the equal right to decision-making of people with cognitive disabilities. Looking to the future, it also provides a roadmap to achieving such equality.","author":[{"dropping-particle":"","family":"Arstein-Kerslake","given":"Anna","non-dropping-particle":"","parse-names":false,"suffix":""}],"id":"ITEM-1","issued":{"date-parts":[["2017"]]},"publisher":"Cahaya Atma Pustaka","publisher-place":"United Kingdom","title":"Restoring Voice to People with Cognitive Disabilities: Realizing the Right to Equal Recognition Before the Law","type":"book"},"uris":["http://www.mendeley.com/documents/?uuid=fa159f36-b138-4317-b0df-ef4b0c7dc3cc"]}],"mendeley":{"formattedCitation":"Anna Arstein-Kerslake, &lt;i&gt;Restoring Voice to People with Cognitive Disabilities: Realizing the Right to Equal Recognition Before the Law&lt;/i&gt; (United Kingdom: Cahaya Atma Pustaka, 2017), https://doi.org/10.1017/9781316493526.","manualFormatting":"Anna Arstein-Kerslake, Restoring Voice to People with Cognitive Disabilities: Realizing the Right to Equal Recognition Before the Law (United Kingdom: Cahaya Atma Pustaka, 2017), hlm.","plainTextFormattedCitation":"Anna Arstein-Kerslake, Restoring Voice to People with Cognitive Disabilities: Realizing the Right to Equal Recognition Before the Law (United Kingdom: Cahaya Atma Pustaka, 2017), https://doi.org/10.1017/9781316493526.","previouslyFormattedCitation":"Anna Arstein-Kerslake, &lt;i&gt;Restoring Voice to People with Cognitive Disabilities: Realizing the Right to Equal Recognition Before the Law&lt;/i&gt; (United Kingdom: Cahaya Atma Pustaka, 2017), https://doi.org/10.1017/9781316493526."},"properties":{"noteIndex":40},"schema":"https://github.com/citation-style-language/schema/raw/master/csl-citation.json"}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Anna Arstein-Kerslake, </w:t>
      </w:r>
      <w:r w:rsidRPr="00F6627D">
        <w:rPr>
          <w:rFonts w:asciiTheme="majorBidi" w:hAnsiTheme="majorBidi" w:cstheme="majorBidi"/>
          <w:i/>
          <w:noProof/>
        </w:rPr>
        <w:t>Restoring Voice to People with Cognitive Disabilities: Realizing the Right to Equal Recognition Before the Law</w:t>
      </w:r>
      <w:r w:rsidRPr="00F6627D">
        <w:rPr>
          <w:rFonts w:asciiTheme="majorBidi" w:hAnsiTheme="majorBidi" w:cstheme="majorBidi"/>
          <w:noProof/>
        </w:rPr>
        <w:t xml:space="preserve"> (United Kingdom: Cahaya Atma Pustaka, 2017), hlm.</w:t>
      </w:r>
      <w:r w:rsidRPr="00F6627D">
        <w:rPr>
          <w:rFonts w:asciiTheme="majorBidi" w:hAnsiTheme="majorBidi" w:cstheme="majorBidi"/>
        </w:rPr>
        <w:fldChar w:fldCharType="end"/>
      </w:r>
      <w:r w:rsidRPr="00F6627D">
        <w:rPr>
          <w:rFonts w:asciiTheme="majorBidi" w:hAnsiTheme="majorBidi" w:cstheme="majorBidi"/>
        </w:rPr>
        <w:t xml:space="preserve"> 1</w:t>
      </w:r>
    </w:p>
  </w:footnote>
  <w:footnote w:id="41">
    <w:p w14:paraId="5E167919" w14:textId="2C026BC0" w:rsidR="00B01B27" w:rsidRPr="00F6627D" w:rsidRDefault="00B01B2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{"citationItems":[{"id":"ITEM-1","itemData":{"DOI":"10.1017/S0021855306000039","ISBN":"0021855306000","ISSN":"14643731","author":[{"dropping-particle":"","family":"Grant","given":"Evadné","non-dropping-particle":"","parse-names":false,"suffix":""}],"container-title":"Journal of African Law","id":"ITEM-1","issue":"1","issued":{"date-parts":[["2006"]]},"page":"2-23","title":"Human rights, cultural diversity and customary law in south africa","type":"article-journal","volume":"50"},"uris":["http://www.mendeley.com/documents/?uuid=b9f332e1-fb2f-419f-ac64-d63e33599fca"]}],"mendeley":{"formattedCitation":"Evadné Grant, “Human Rights, Cultural Diversity and Customary Law in South Africa,” &lt;i&gt;Journal of African Law&lt;/i&gt; 50, no. 1 (2006): 2–23, https://doi.org/10.1017/S0021855306000039.","plainTextFormattedCitation":"Evadné Grant, “Human Rights, Cultural Diversity and Customary Law in South Africa,” Journal of African Law 50, no. 1 (2006): 2–23, https://doi.org/10.1017/S0021855306000039.","previouslyFormattedCitation":"Evadné Grant, “Human Rights, Cultural Diversity and Customary Law in South Africa,” &lt;i&gt;Journal of African Law&lt;/i&gt; 50, no. 1 (2006): 2–23, https://doi.org/10.1017/S0021855306000039."},"properties":{"noteIndex":41},"schema":"https://github.com/citation-style-language/schema/raw/master/csl-citation.json"}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Evadné Grant, “Human Rights, Cultural Diversity and Customary Law in South Africa,” </w:t>
      </w:r>
      <w:r w:rsidR="00201F1F" w:rsidRPr="00F6627D">
        <w:rPr>
          <w:rFonts w:asciiTheme="majorBidi" w:hAnsiTheme="majorBidi" w:cstheme="majorBidi"/>
          <w:i/>
          <w:noProof/>
        </w:rPr>
        <w:t>Journal of African Law</w:t>
      </w:r>
      <w:r w:rsidR="00201F1F" w:rsidRPr="00F6627D">
        <w:rPr>
          <w:rFonts w:asciiTheme="majorBidi" w:hAnsiTheme="majorBidi" w:cstheme="majorBidi"/>
          <w:noProof/>
        </w:rPr>
        <w:t xml:space="preserve"> 50, no. 1 (2006): 2–23, https://doi.org/10.1017/S0021855306000039.</w:t>
      </w:r>
      <w:r w:rsidRPr="00F6627D">
        <w:rPr>
          <w:rFonts w:asciiTheme="majorBidi" w:hAnsiTheme="majorBidi" w:cstheme="majorBidi"/>
        </w:rPr>
        <w:fldChar w:fldCharType="end"/>
      </w:r>
    </w:p>
  </w:footnote>
  <w:footnote w:id="42">
    <w:p w14:paraId="08D90C4E" w14:textId="622B2F43" w:rsidR="00F36337" w:rsidRPr="00F6627D" w:rsidRDefault="00F3633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Pr="00F6627D">
        <w:rPr>
          <w:rFonts w:asciiTheme="majorBidi" w:hAnsiTheme="majorBidi" w:cstheme="majorBidi"/>
        </w:rPr>
        <w:instrText>ADDIN CSL_CITATION {"citationItems":[{"id":"ITEM-1","itemData":{"author":[{"dropping-particle":"","family":"Fawcett","given":"J. J.","non-dropping-particle":"","parse-names":false,"suffix":""}],"container-title":"The Cambridge Law Journal","id":"ITEM-1","issue":"1","issued":{"date-parts":[["1990"]]},"page":"44-62","title":"Evasion of Law and Mandatory Rules in Private International Law","type":"article-journal","volume":"49"},"uris":["http://www.mendeley.com/documents/?uuid=594a8cda-f239-4c30-b6cc-0a5f858e2ffc"]}],"mendeley":{"formattedCitation":"J. J. Fawcett, “Evasion of Law and Mandatory Rules in Private International Law,” &lt;i&gt;The Cambridge Law Journal&lt;/i&gt; 49, no. 1 (1990): 44–62.","plainTextFormattedCitation":"J. J. Fawcett, “Evasion of Law and Mandatory Rules in Private International Law,” The Cambridge Law Journal 49, no. 1 (1990): 44–62.","previouslyFormattedCitation":"J. J. Fawcett, “Evasion of Law and Mandatory Rules in Private International Law,” &lt;i&gt;The Cambridge Law Journal&lt;/i&gt; 49, no. 1 (1990): 44–62."},"properties":{"noteIndex":42},"schema":"https://github.com/citation-style-language/schema/raw/master/csl-citation.json"}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J. J. Fawcett, “Evasion of Law and Mandatory Rules in Private International Law,” </w:t>
      </w:r>
      <w:r w:rsidRPr="00F6627D">
        <w:rPr>
          <w:rFonts w:asciiTheme="majorBidi" w:hAnsiTheme="majorBidi" w:cstheme="majorBidi"/>
          <w:i/>
          <w:noProof/>
        </w:rPr>
        <w:t>The Cambridge Law Journal</w:t>
      </w:r>
      <w:r w:rsidRPr="00F6627D">
        <w:rPr>
          <w:rFonts w:asciiTheme="majorBidi" w:hAnsiTheme="majorBidi" w:cstheme="majorBidi"/>
          <w:noProof/>
        </w:rPr>
        <w:t xml:space="preserve"> 49, no. 1 (1990): 44–62.</w:t>
      </w:r>
      <w:r w:rsidRPr="00F6627D">
        <w:rPr>
          <w:rFonts w:asciiTheme="majorBidi" w:hAnsiTheme="majorBidi" w:cstheme="majorBidi"/>
        </w:rPr>
        <w:fldChar w:fldCharType="end"/>
      </w:r>
    </w:p>
  </w:footnote>
  <w:footnote w:id="43">
    <w:p w14:paraId="395E4A7C" w14:textId="45B72A63" w:rsidR="00F36337" w:rsidRPr="00F6627D" w:rsidRDefault="00F3633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{"citationItems":[{"id":"ITEM-1","itemData":{"DOI":"10.12737/20911","ISSN":"1605-6590","abstract":"The article is devoted to the definition of the conditions under which it is possible to apply the rules on evasion of law in civil relations complicated by a foreign element. It is possible to recognize evasion of law only by identification of characteristic features of this legal phenomenon in private international law. The author substantiates the idea that the dispute about the validity of imposing a ban on evasion of law in private international law doesn’t have political and legal importance: should not deny the theory of evasion of law, but to define the conditions under which it is possible to apply the norms of evasion of law. The problem is how to make the norms of evasion of law an effective means of suppression to disservice of an indefinite number of people, the protection of public policy. When imposing a ban on the evasion of law the most important is the question of the pending consequences when and where the acts of evasion of law will be revealed. The article deals with the question of identification the legal consequences of qualification of actions as done through evasion of law. Besides, the article attends to the response to “evasion of law” in the national legal systems.","author":[{"dropping-particle":"","family":"Tikhon Podshivalov","given":"","non-dropping-particle":"","parse-names":false,"suffix":""}],"container-title":"Journal of Russian Law","id":"ITEM-1","issue":"8","issued":{"date-parts":[["2016"]]},"page":"0-0","title":"Evasion of Law in Private International Law","type":"article-journal","volume":"4"},"uris":["http://www.mendeley.com/documents/?uuid=55e09ba6-bfaf-4c18-bdc6-eed81f933554"]}],"mendeley":{"formattedCitation":"Tikhon Podshivalov, “Evasion of Law in Private International Law,” &lt;i&gt;Journal of Russian Law&lt;/i&gt; 4, no. 8 (2016): 0–0, https://doi.org/10.12737/20911.","plainTextFormattedCitation":"Tikhon Podshivalov, “Evasion of Law in Private International Law,” Journal of Russian Law 4, no. 8 (2016): 0–0, https://doi.org/10.12737/20911.","previouslyFormattedCitation":"Tikhon Podshivalov, “Evasion of Law in Private International Law,” &lt;i&gt;Journal of Russian Law&lt;/i&gt; 4, no. 8 (2016): 0–0, https://doi.org/10.12737/20911."},"properties":{"noteIndex":43},"schema":"https://github.com/citation-style-language/schema/raw/master/csl-citation.json"}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Tikhon Podshivalov, “Evasion of Law in Private International Law,” </w:t>
      </w:r>
      <w:r w:rsidR="00201F1F" w:rsidRPr="00F6627D">
        <w:rPr>
          <w:rFonts w:asciiTheme="majorBidi" w:hAnsiTheme="majorBidi" w:cstheme="majorBidi"/>
          <w:i/>
          <w:noProof/>
        </w:rPr>
        <w:t>Journal of Russian Law</w:t>
      </w:r>
      <w:r w:rsidR="00201F1F" w:rsidRPr="00F6627D">
        <w:rPr>
          <w:rFonts w:asciiTheme="majorBidi" w:hAnsiTheme="majorBidi" w:cstheme="majorBidi"/>
          <w:noProof/>
        </w:rPr>
        <w:t xml:space="preserve"> 4, no. 8 (2016): 0–0, https://doi.org/10.12737/20911.</w:t>
      </w:r>
      <w:r w:rsidRPr="00F6627D">
        <w:rPr>
          <w:rFonts w:asciiTheme="majorBidi" w:hAnsiTheme="majorBidi" w:cstheme="majorBidi"/>
        </w:rPr>
        <w:fldChar w:fldCharType="end"/>
      </w:r>
    </w:p>
  </w:footnote>
  <w:footnote w:id="44">
    <w:p w14:paraId="4A40BEC8" w14:textId="6943450F" w:rsidR="00463DFA" w:rsidRPr="00F6627D" w:rsidRDefault="00463DFA"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Pr="00F6627D">
        <w:rPr>
          <w:rFonts w:asciiTheme="majorBidi" w:hAnsiTheme="majorBidi" w:cstheme="majorBidi"/>
        </w:rPr>
        <w:instrText>ADDIN CSL_CITATION {"citationItems":[{"id":"ITEM-1","itemData":{"author":[{"dropping-particle":"","family":"Goodrich","given":"Herbert F","non-dropping-particle":"","parse-names":false,"suffix":""}],"container-title":"University of Michigan Law School Scholarship Repository Articles","id":"ITEM-1","issued":{"date-parts":[["1922"]]},"title":"Foreign Marriages and the Conflict of Laws","type":"article-journal","volume":"21"},"uris":["http://www.mendeley.com/documents/?uuid=aa54098e-6ebf-43ff-b246-c56258065d15"]}],"mendeley":{"formattedCitation":"Herbert F Goodrich, “Foreign Marriages and the Conflict of Laws,” &lt;i&gt;University of Michigan Law School Scholarship Repository Articles&lt;/i&gt; 21 (1922).","plainTextFormattedCitation":"Herbert F Goodrich, “Foreign Marriages and the Conflict of Laws,” University of Michigan Law School Scholarship Repository Articles 21 (1922).","previouslyFormattedCitation":"Herbert F Goodrich, “Foreign Marriages and the Conflict of Laws,” &lt;i&gt;University of Michigan Law School Scholarship Repository Articles&lt;/i&gt; 21 (1922)."},"properties":{"noteIndex":44},"schema":"https://github.com/citation-style-language/schema/raw/master/csl-citation.json"}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Herbert F Goodrich, “Foreign Marriages and the Conflict of Laws,” </w:t>
      </w:r>
      <w:r w:rsidRPr="00F6627D">
        <w:rPr>
          <w:rFonts w:asciiTheme="majorBidi" w:hAnsiTheme="majorBidi" w:cstheme="majorBidi"/>
          <w:i/>
          <w:noProof/>
        </w:rPr>
        <w:t>University of Michigan Law School Scholarship Repository Articles</w:t>
      </w:r>
      <w:r w:rsidRPr="00F6627D">
        <w:rPr>
          <w:rFonts w:asciiTheme="majorBidi" w:hAnsiTheme="majorBidi" w:cstheme="majorBidi"/>
          <w:noProof/>
        </w:rPr>
        <w:t xml:space="preserve"> 21 (1922).</w:t>
      </w:r>
      <w:r w:rsidRPr="00F6627D">
        <w:rPr>
          <w:rFonts w:asciiTheme="majorBidi" w:hAnsiTheme="majorBidi" w:cstheme="majorBidi"/>
        </w:rPr>
        <w:fldChar w:fldCharType="end"/>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{"citationItems":[{"id":"ITEM-1","itemData":{"DOI":"10.2307/1063624","ISSN":"00426601","author":[{"dropping-particle":"","family":"Review","given":"Virginia Law","non-dropping-particle":"","parse-names":false,"suffix":""}],"container-title":"Virginia Law Review","id":"ITEM-1","issue":"2","issued":{"date-parts":[["1916"]]},"page":"144","title":"Conflict of Laws. Validity of Foreign Marriages. Evasion of Law of Domicile","type":"article-journal","volume":"4"},"uris":["http://www.mendeley.com/documents/?uuid=85c8e238-a4af-4413-821e-5da635351a39"]}],"mendeley":{"formattedCitation":"Virginia Law Review, “Conflict of Laws. Validity of Foreign Marriages. Evasion of Law of Domicile,” &lt;i&gt;Virginia Law Review&lt;/i&gt; 4, no. 2 (1916): 144, https://doi.org/10.2307/1063624.","plainTextFormattedCitation":"Virginia Law Review, “Conflict of Laws. Validity of Foreign Marriages. Evasion of Law of Domicile,” Virginia Law Review 4, no. 2 (1916): 144, https://doi.org/10.2307/1063624.","previouslyFormattedCitation":"Virginia Law Review, “Conflict of Laws. Validity of Foreign Marriages. Evasion of Law of Domicile,” &lt;i&gt;Virginia Law Review&lt;/i&gt; 4, no. 2 (1916): 144, https://doi.org/10.2307/1063624."},"properties":{"noteIndex":44},"schema":"https://github.com/citation-style-language/schema/raw/master/csl-citation.json"}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Virginia Law Review, “Conflict of Laws. Validity of Foreign Marriages. Evasion of Law of Domicile,” </w:t>
      </w:r>
      <w:r w:rsidR="00201F1F" w:rsidRPr="00F6627D">
        <w:rPr>
          <w:rFonts w:asciiTheme="majorBidi" w:hAnsiTheme="majorBidi" w:cstheme="majorBidi"/>
          <w:i/>
          <w:noProof/>
        </w:rPr>
        <w:t>Virginia Law Review</w:t>
      </w:r>
      <w:r w:rsidR="00201F1F" w:rsidRPr="00F6627D">
        <w:rPr>
          <w:rFonts w:asciiTheme="majorBidi" w:hAnsiTheme="majorBidi" w:cstheme="majorBidi"/>
          <w:noProof/>
        </w:rPr>
        <w:t xml:space="preserve"> 4, no. 2 (1916): 144, https://doi.org/10.2307/1063624.</w:t>
      </w:r>
      <w:r w:rsidRPr="00F6627D">
        <w:rPr>
          <w:rFonts w:asciiTheme="majorBidi" w:hAnsiTheme="majorBidi" w:cstheme="majorBidi"/>
        </w:rPr>
        <w:fldChar w:fldCharType="end"/>
      </w:r>
    </w:p>
  </w:footnote>
  <w:footnote w:id="45">
    <w:p w14:paraId="251BE84F" w14:textId="0FC11F59" w:rsidR="004B4428" w:rsidRPr="00F6627D" w:rsidRDefault="004B4428"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hyperlink r:id="rId4" w:history="1">
        <w:r w:rsidRPr="00F6627D">
          <w:rPr>
            <w:rStyle w:val="Hyperlink"/>
            <w:rFonts w:asciiTheme="majorBidi" w:hAnsiTheme="majorBidi" w:cstheme="majorBidi"/>
          </w:rPr>
          <w:t>https://www.metrotvnews.com/play/NnjC7LWL-pasangan-beda-agama-bisa-menikah-di-5-negara-ini</w:t>
        </w:r>
      </w:hyperlink>
      <w:r w:rsidRPr="00F6627D">
        <w:rPr>
          <w:rFonts w:asciiTheme="majorBidi" w:hAnsiTheme="majorBidi" w:cstheme="majorBidi"/>
        </w:rPr>
        <w:t>, diakses pada tanggal 29 Agustus 2023</w:t>
      </w:r>
    </w:p>
  </w:footnote>
  <w:footnote w:id="46">
    <w:p w14:paraId="2642989A" w14:textId="090B04D0" w:rsidR="00EB60B8" w:rsidRPr="00F6627D" w:rsidRDefault="00EB60B8"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{"citationItems":[{"id":"ITEM-1","itemData":{"author":[{"dropping-particle":"","family":"G. Liet-Veaux","given":"","non-dropping-particle":"","parse-names":false,"suffix":""}],"container-title":"La Revue administrative","id":"ITEM-1","issue":"188","issued":{"date-parts":[["2023"]]},"page":"146-148","title":"JURISPRUDENCE ADMINISTRATIVE: Réflexions sur les droits acquis d 'une décis","type":"article-journal","volume":"188"},"uris":["http://www.mendeley.com/documents/?uuid=a25f3642-8ddc-4a4f-97b1-301711dc6004"]}],"mendeley":{"formattedCitation":"G. Liet-Veaux, “JURISPRUDENCE ADMINISTRATIVE: Réflexions Sur Les Droits Acquis d ’une Décis,” &lt;i&gt;La Revue Administrative&lt;/i&gt; 188, no. 188 (2023): 146–48.","plainTextFormattedCitation":"G. Liet-Veaux, “JURISPRUDENCE ADMINISTRATIVE: Réflexions Sur Les Droits Acquis d ’une Décis,” La Revue Administrative 188, no. 188 (2023): 146–48.","previouslyFormattedCitation":"G. Liet-Veaux, “JURISPRUDENCE ADMINISTRATIVE: Réflexions Sur Les Droits Acquis d ’une Décis,” &lt;i&gt;La Revue Administrative&lt;/i&gt; 188, no. 188 (2023): 146–48."},"properties":{"noteIndex":46},"schema":"https://github.com/citation-style-language/schema/raw/master/csl-citation.json"}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G. Liet-Veaux, “JURISPRUDENCE ADMINISTRATIVE: Réflexions Sur Les Droits Acquis d ’une Décis,” </w:t>
      </w:r>
      <w:r w:rsidR="00201F1F" w:rsidRPr="00F6627D">
        <w:rPr>
          <w:rFonts w:asciiTheme="majorBidi" w:hAnsiTheme="majorBidi" w:cstheme="majorBidi"/>
          <w:i/>
          <w:noProof/>
        </w:rPr>
        <w:t>La Revue Administrative</w:t>
      </w:r>
      <w:r w:rsidR="00201F1F" w:rsidRPr="00F6627D">
        <w:rPr>
          <w:rFonts w:asciiTheme="majorBidi" w:hAnsiTheme="majorBidi" w:cstheme="majorBidi"/>
          <w:noProof/>
        </w:rPr>
        <w:t xml:space="preserve"> 188, no. 188 (2023): 146–48.</w:t>
      </w:r>
      <w:r w:rsidRPr="00F6627D">
        <w:rPr>
          <w:rFonts w:asciiTheme="majorBidi" w:hAnsiTheme="majorBidi" w:cstheme="majorBidi"/>
        </w:rPr>
        <w:fldChar w:fldCharType="end"/>
      </w:r>
    </w:p>
  </w:footnote>
  <w:footnote w:id="47">
    <w:p w14:paraId="55B2246B" w14:textId="192663D9" w:rsidR="00EB60B8" w:rsidRPr="00F6627D" w:rsidRDefault="00EB60B8"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EC6576" w:rsidRPr="00F6627D">
        <w:rPr>
          <w:rFonts w:asciiTheme="majorBidi" w:hAnsiTheme="majorBidi" w:cstheme="majorBidi"/>
        </w:rPr>
        <w:instrText>ADDIN CSL_CITATION {"citationItems":[{"id":"ITEM-1","itemData":{"author":[{"dropping-particle":"","family":"R. D. Carswell","given":"","non-dropping-particle":"","parse-names":false,"suffix":""}],"container-title":"The International and Comparative Law Quarterly","id":"ITEM-1","issue":"2","issued":{"date-parts":[["1959"]]},"page":"268-288","title":"The Doctrine of Vested Rights in Private International Law","type":"article-journal","volume":"8"},"uris":["http://www.mendeley.com/documents/?uuid=7dd44312-bdd7-4088-ba77-d212014fa674"]}],"mendeley":{"formattedCitation":"R. D. Carswell, “The Doctrine of Vested Rights in Private International Law,” &lt;i&gt;The International and Comparative Law Quarterly&lt;/i&gt; 8, no. 2 (1959): 268–88.","plainTextFormattedCitation":"R. D. Carswell, “The Doctrine of Vested Rights in Private International Law,” The International and Comparative Law Quarterly 8, no. 2 (1959): 268–88.","previouslyFormattedCitation":"R. D. Carswell, “The Doctrine of Vested Rights in Private International Law,” &lt;i&gt;The International and Comparative Law Quarterly&lt;/i&gt; 8, no. 2 (1959): 268–88."},"properties":{"noteIndex":47},"schema":"https://github.com/citation-style-language/schema/raw/master/csl-citation.json"}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R. D. Carswell, “The Doctrine of Vested Rights in Private International Law,” </w:t>
      </w:r>
      <w:r w:rsidR="00201F1F" w:rsidRPr="00F6627D">
        <w:rPr>
          <w:rFonts w:asciiTheme="majorBidi" w:hAnsiTheme="majorBidi" w:cstheme="majorBidi"/>
          <w:i/>
          <w:noProof/>
        </w:rPr>
        <w:t>The International and Comparative Law Quarterly</w:t>
      </w:r>
      <w:r w:rsidR="00201F1F" w:rsidRPr="00F6627D">
        <w:rPr>
          <w:rFonts w:asciiTheme="majorBidi" w:hAnsiTheme="majorBidi" w:cstheme="majorBidi"/>
          <w:noProof/>
        </w:rPr>
        <w:t xml:space="preserve"> 8, no. 2 (1959): 268–88.</w:t>
      </w:r>
      <w:r w:rsidRPr="00F6627D">
        <w:rPr>
          <w:rFonts w:asciiTheme="majorBidi" w:hAnsiTheme="majorBidi" w:cstheme="majorBidi"/>
        </w:rPr>
        <w:fldChar w:fldCharType="end"/>
      </w:r>
    </w:p>
  </w:footnote>
  <w:footnote w:id="48">
    <w:p w14:paraId="0CBD257E" w14:textId="7E00E01C" w:rsidR="004140FC" w:rsidRPr="00F6627D" w:rsidRDefault="004140FC"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Pr="00F6627D">
        <w:rPr>
          <w:rFonts w:asciiTheme="majorBidi" w:hAnsiTheme="majorBidi" w:cstheme="majorBidi"/>
        </w:rPr>
        <w:instrText>ADDIN CSL_CITATION {"citationItems":[{"id":"ITEM-1","itemData":{"author":[{"dropping-particle":"","family":"Sudargo Gautama","given":"","non-dropping-particle":"","parse-names":false,"suffix":""}],"edition":"Cetakan ke","id":"ITEM-1","issued":{"date-parts":[["1987"]]},"publisher":"Binacipta","publisher-place":"Bandung","title":"Pengantar Hukum Perdata Internasional Indonesia","type":"book"},"uris":["http://www.mendeley.com/documents/?uuid=352ca2c9-63ec-400c-94ae-321c57ba1e5a"]}],"mendeley":{"formattedCitation":"Sudargo Gautama, &lt;i&gt;Pengantar Hukum Perdata Internasional Indonesia&lt;/i&gt;, Cetakan ke (Bandung: Binacipta, 1987).","manualFormatting":"Sudargo Gautama, Pengantar Hukum Perdata Internasional Indonesia, Cetakan ke (Bandung: Binacipta, 1987), 210.","plainTextFormattedCitation":"Sudargo Gautama, Pengantar Hukum Perdata Internasional Indonesia, Cetakan ke (Bandung: Binacipta, 1987).","previouslyFormattedCitation":"Sudargo Gautama, &lt;i&gt;Pengantar Hukum Perdata Internasional Indonesia&lt;/i&gt;, Cetakan ke (Bandung: Binacipta, 1987)."},"properties":{"noteIndex":48},"schema":"https://github.com/citation-style-language/schema/raw/master/csl-citation.json"}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Sudargo Gautama, </w:t>
      </w:r>
      <w:r w:rsidRPr="00F6627D">
        <w:rPr>
          <w:rFonts w:asciiTheme="majorBidi" w:hAnsiTheme="majorBidi" w:cstheme="majorBidi"/>
          <w:i/>
          <w:noProof/>
        </w:rPr>
        <w:t>Pengantar Hukum Perdata Internasional Indonesia</w:t>
      </w:r>
      <w:r w:rsidRPr="00F6627D">
        <w:rPr>
          <w:rFonts w:asciiTheme="majorBidi" w:hAnsiTheme="majorBidi" w:cstheme="majorBidi"/>
          <w:noProof/>
        </w:rPr>
        <w:t>, Cetakan ke (Bandung: Binacipta, 1987), 210.</w:t>
      </w:r>
      <w:r w:rsidRPr="00F6627D">
        <w:rPr>
          <w:rFonts w:asciiTheme="majorBidi" w:hAnsiTheme="majorBidi" w:cstheme="majorBidi"/>
        </w:rPr>
        <w:fldChar w:fldCharType="end"/>
      </w:r>
    </w:p>
  </w:footnote>
  <w:footnote w:id="49">
    <w:p w14:paraId="5DE96AF0" w14:textId="088F0DCE" w:rsidR="004140FC" w:rsidRPr="00F6627D" w:rsidRDefault="004140FC"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Pr="00F6627D">
        <w:rPr>
          <w:rFonts w:asciiTheme="majorBidi" w:hAnsiTheme="majorBidi" w:cstheme="majorBidi"/>
        </w:rPr>
        <w:instrText>ADDIN CSL_CITATION {"citationItems":[{"id":"ITEM-1","itemData":{"author":[{"dropping-particle":"","family":"Sudargo Gautama","given":"","non-dropping-particle":"","parse-names":false,"suffix":""}],"edition":"Cetakan ke","id":"ITEM-1","issued":{"date-parts":[["1987"]]},"publisher":"Binacipta","publisher-place":"Bandung","title":"Pengantar Hukum Perdata Internasional Indonesia","type":"book"},"uris":["http://www.mendeley.com/documents/?uuid=352ca2c9-63ec-400c-94ae-321c57ba1e5a"]}],"mendeley":{"formattedCitation":"Sudargo Gautama.","plainTextFormattedCitation":"Sudargo Gautama.","previouslyFormattedCitation":"Sudargo Gautama."},"properties":{"noteIndex":49},"schema":"https://github.com/citation-style-language/schema/raw/master/csl-citation.json"}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Sudargo Gautama.</w:t>
      </w:r>
      <w:r w:rsidRPr="00F6627D">
        <w:rPr>
          <w:rFonts w:asciiTheme="majorBidi" w:hAnsiTheme="majorBidi" w:cstheme="majorBidi"/>
        </w:rPr>
        <w:fldChar w:fldCharType="end"/>
      </w:r>
    </w:p>
  </w:footnote>
  <w:footnote w:id="50">
    <w:p w14:paraId="0CE1B152" w14:textId="434E1730" w:rsidR="004140FC" w:rsidRPr="00F6627D" w:rsidRDefault="004140FC"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Pr="00F6627D">
        <w:rPr>
          <w:rFonts w:asciiTheme="majorBidi" w:hAnsiTheme="majorBidi" w:cstheme="majorBidi"/>
        </w:rPr>
        <w:instrText>ADDIN CSL_CITATION {"citationItems":[{"id":"ITEM-1","itemData":{"author":[{"dropping-particle":"","family":"Sudargo Gautama","given":"","non-dropping-particle":"","parse-names":false,"suffix":""}],"edition":"Cetakan ke","id":"ITEM-1","issued":{"date-parts":[["1987"]]},"publisher":"Binacipta","publisher-place":"Bandung","title":"Pengantar Hukum Perdata Internasional Indonesia","type":"book"},"uris":["http://www.mendeley.com/documents/?uuid=352ca2c9-63ec-400c-94ae-321c57ba1e5a"]}],"mendeley":{"formattedCitation":"Sudargo Gautama.","plainTextFormattedCitation":"Sudargo Gautama.","previouslyFormattedCitation":"Sudargo Gautama."},"properties":{"noteIndex":50},"schema":"https://github.com/citation-style-language/schema/raw/master/csl-citation.json"}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Sudargo Gautama.</w:t>
      </w:r>
      <w:r w:rsidRPr="00F6627D">
        <w:rPr>
          <w:rFonts w:asciiTheme="majorBidi" w:hAnsiTheme="majorBidi" w:cstheme="majorBidi"/>
        </w:rPr>
        <w:fldChar w:fldCharType="end"/>
      </w:r>
    </w:p>
  </w:footnote>
  <w:footnote w:id="51">
    <w:p w14:paraId="405A191A" w14:textId="4B6AA2B0" w:rsidR="004140FC" w:rsidRPr="00F6627D" w:rsidRDefault="004140FC"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C47F19" w:rsidRPr="00F6627D">
        <w:rPr>
          <w:rFonts w:asciiTheme="majorBidi" w:hAnsiTheme="majorBidi" w:cstheme="majorBidi"/>
        </w:rPr>
        <w:instrText>ADDIN CSL_CITATION {"citationItems":[{"id":"ITEM-1","itemData":{"author":[{"dropping-particle":"","family":"Bayu Seto Hardjowahono","given":"","non-dropping-particle":"","parse-names":false,"suffix":""}],"edition":"Edisi Keem","id":"ITEM-1","issued":{"date-parts":[["2006"]]},"publisher-place":"Bandung","title":"Dasar-Dasar Hukum Perdata Internasional Buku Kesatu","type":"book"},"uris":["http://www.mendeley.com/documents/?uuid=068cb83a-ef7f-4e3a-bfd2-42faa0e9566a"]}],"mendeley":{"formattedCitation":"Bayu Seto Hardjowahono, &lt;i&gt;Dasar-Dasar Hukum Perdata Internasional Buku Kesatu&lt;/i&gt;, Edisi Keem (Bandung, 2006).","manualFormatting":"Bayu Seto Hardjowahono, Dasar-Dasar Hukum Perdata Internasional Buku Kesatu, Edisi Keem (Bandung, 2006), 151.","plainTextFormattedCitation":"Bayu Seto Hardjowahono, Dasar-Dasar Hukum Perdata Internasional Buku Kesatu, Edisi Keem (Bandung, 2006).","previouslyFormattedCitation":"Bayu Seto Hardjowahono, &lt;i&gt;Dasar-Dasar Hukum Perdata Internasional Buku Kesatu&lt;/i&gt;, Edisi Keem (Bandung, 2006)."},"properties":{"noteIndex":51},"schema":"https://github.com/citation-style-language/schema/raw/master/csl-citation.json"}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Bayu Seto Hardjowahono, </w:t>
      </w:r>
      <w:r w:rsidRPr="00F6627D">
        <w:rPr>
          <w:rFonts w:asciiTheme="majorBidi" w:hAnsiTheme="majorBidi" w:cstheme="majorBidi"/>
          <w:i/>
          <w:noProof/>
        </w:rPr>
        <w:t>Dasar-Dasar Hukum Perdata Internasional Buku Kesatu</w:t>
      </w:r>
      <w:r w:rsidRPr="00F6627D">
        <w:rPr>
          <w:rFonts w:asciiTheme="majorBidi" w:hAnsiTheme="majorBidi" w:cstheme="majorBidi"/>
          <w:noProof/>
        </w:rPr>
        <w:t>, Edisi Keem (Bandung, 2006)</w:t>
      </w:r>
      <w:r w:rsidR="00C47F19" w:rsidRPr="00F6627D">
        <w:rPr>
          <w:rFonts w:asciiTheme="majorBidi" w:hAnsiTheme="majorBidi" w:cstheme="majorBidi"/>
          <w:noProof/>
        </w:rPr>
        <w:t>, 151</w:t>
      </w:r>
      <w:r w:rsidRPr="00F6627D">
        <w:rPr>
          <w:rFonts w:asciiTheme="majorBidi" w:hAnsiTheme="majorBidi" w:cstheme="majorBidi"/>
          <w:noProof/>
        </w:rPr>
        <w:t>.</w:t>
      </w:r>
      <w:r w:rsidRPr="00F6627D">
        <w:rPr>
          <w:rFonts w:asciiTheme="majorBidi" w:hAnsiTheme="majorBidi" w:cstheme="majorBidi"/>
        </w:rPr>
        <w:fldChar w:fldCharType="end"/>
      </w:r>
    </w:p>
  </w:footnote>
  <w:footnote w:id="52">
    <w:p w14:paraId="7832AA40" w14:textId="15454240" w:rsidR="00C47F19" w:rsidRPr="00F6627D" w:rsidRDefault="00C47F19"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Pr="00F6627D">
        <w:rPr>
          <w:rFonts w:asciiTheme="majorBidi" w:hAnsiTheme="majorBidi" w:cstheme="majorBidi"/>
        </w:rPr>
        <w:instrText>ADDIN CSL_CITATION {"citationItems":[{"id":"ITEM-1","itemData":{"author":[{"dropping-particle":"","family":"Sudargo Gautama","given":"","non-dropping-particle":"","parse-names":false,"suffix":""}],"edition":"Cetakan ke","id":"ITEM-1","issued":{"date-parts":[["1987"]]},"publisher":"Binacipta","publisher-place":"Bandung","title":"Pengantar Hukum Perdata Internasional Indonesia","type":"book"},"uris":["http://www.mendeley.com/documents/?uuid=352ca2c9-63ec-400c-94ae-321c57ba1e5a"]}],"mendeley":{"formattedCitation":"Sudargo Gautama, &lt;i&gt;Pengantar Hukum Perdata Internasional Indonesia&lt;/i&gt;.","manualFormatting":"Sudargo Gautama, Pengantar Hukum Perdata Internasional Indonesia, 211.","plainTextFormattedCitation":"Sudargo Gautama, Pengantar Hukum Perdata Internasional Indonesia.","previouslyFormattedCitation":"Sudargo Gautama, &lt;i&gt;Pengantar Hukum Perdata Internasional Indonesia&lt;/i&gt;."},"properties":{"noteIndex":52},"schema":"https://github.com/citation-style-language/schema/raw/master/csl-citation.json"}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Sudargo Gautama, </w:t>
      </w:r>
      <w:r w:rsidRPr="00F6627D">
        <w:rPr>
          <w:rFonts w:asciiTheme="majorBidi" w:hAnsiTheme="majorBidi" w:cstheme="majorBidi"/>
          <w:i/>
          <w:noProof/>
        </w:rPr>
        <w:t xml:space="preserve">Pengantar Hukum Perdata Internasional Indonesia, </w:t>
      </w:r>
      <w:r w:rsidRPr="00F6627D">
        <w:rPr>
          <w:rFonts w:asciiTheme="majorBidi" w:hAnsiTheme="majorBidi" w:cstheme="majorBidi"/>
          <w:iCs/>
          <w:noProof/>
        </w:rPr>
        <w:t>211</w:t>
      </w:r>
      <w:r w:rsidRPr="00F6627D">
        <w:rPr>
          <w:rFonts w:asciiTheme="majorBidi" w:hAnsiTheme="majorBidi" w:cstheme="majorBidi"/>
          <w:noProof/>
        </w:rPr>
        <w:t>.</w:t>
      </w:r>
      <w:r w:rsidRPr="00F6627D">
        <w:rPr>
          <w:rFonts w:asciiTheme="majorBidi" w:hAnsiTheme="majorBidi" w:cstheme="majorBidi"/>
        </w:rPr>
        <w:fldChar w:fldCharType="end"/>
      </w:r>
    </w:p>
  </w:footnote>
  <w:footnote w:id="53">
    <w:p w14:paraId="5C9CB048" w14:textId="727B018B" w:rsidR="00C47F19" w:rsidRPr="00F6627D" w:rsidRDefault="00C47F19"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Pr="00F6627D">
        <w:rPr>
          <w:rFonts w:asciiTheme="majorBidi" w:hAnsiTheme="majorBidi" w:cstheme="majorBidi"/>
        </w:rPr>
        <w:instrText>ADDIN CSL_CITATION {"citationItems":[{"id":"ITEM-1","itemData":{"author":[{"dropping-particle":"","family":"Sudargo Gautama","given":"","non-dropping-particle":"","parse-names":false,"suffix":""}],"edition":"2","id":"ITEM-1","issued":{"date-parts":[["1998"]]},"publisher":"Alumni","publisher-place":"Bandung","title":"Hukum Perdata Internasional Indonesia, buku kelima","type":"book"},"uris":["http://www.mendeley.com/documents/?uuid=3e1d9a2a-cee4-4c03-a6d5-5a63bf379356"]}],"mendeley":{"formattedCitation":"Sudargo Gautama, &lt;i&gt;Hukum Perdata Internasional Indonesia, Buku Kelima&lt;/i&gt;, 2nd ed. (Bandung: Alumni, 1998).","manualFormatting":"Sudargo Gautama, Hukum Perdata Internasional Indonesia, Buku Kelima, 2nd ed. (Bandung: Alumni, 1998), 325.","plainTextFormattedCitation":"Sudargo Gautama, Hukum Perdata Internasional Indonesia, Buku Kelima, 2nd ed. (Bandung: Alumni, 1998).","previouslyFormattedCitation":"Sudargo Gautama, &lt;i&gt;Hukum Perdata Internasional Indonesia, Buku Kelima&lt;/i&gt;, 2nd ed. (Bandung: Alumni, 1998)."},"properties":{"noteIndex":53},"schema":"https://github.com/citation-style-language/schema/raw/master/csl-citation.json"}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Sudargo Gautama, </w:t>
      </w:r>
      <w:r w:rsidRPr="00F6627D">
        <w:rPr>
          <w:rFonts w:asciiTheme="majorBidi" w:hAnsiTheme="majorBidi" w:cstheme="majorBidi"/>
          <w:i/>
          <w:noProof/>
        </w:rPr>
        <w:t>Hukum Perdata Internasional Indonesia, Buku Kelima</w:t>
      </w:r>
      <w:r w:rsidRPr="00F6627D">
        <w:rPr>
          <w:rFonts w:asciiTheme="majorBidi" w:hAnsiTheme="majorBidi" w:cstheme="majorBidi"/>
          <w:noProof/>
        </w:rPr>
        <w:t>, 2nd ed. (Bandung: Alumni, 1998), 325.</w:t>
      </w:r>
      <w:r w:rsidRPr="00F6627D">
        <w:rPr>
          <w:rFonts w:asciiTheme="majorBidi" w:hAnsiTheme="majorBidi" w:cstheme="majorBidi"/>
        </w:rPr>
        <w:fldChar w:fldCharType="end"/>
      </w:r>
    </w:p>
  </w:footnote>
  <w:footnote w:id="54">
    <w:p w14:paraId="36382E01" w14:textId="362D04EA" w:rsidR="00EC6576" w:rsidRPr="00F6627D" w:rsidRDefault="00EC6576"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C47F19" w:rsidRPr="00F6627D">
        <w:rPr>
          <w:rFonts w:asciiTheme="majorBidi" w:hAnsiTheme="majorBidi" w:cstheme="majorBidi"/>
        </w:rPr>
        <w:instrText>ADDIN CSL_CITATION {"citationItems":[{"id":"ITEM-1","itemData":{"DOI":"10.17304/ijil.vol14.3.700","ISSN":"1693-5594","abstract":"Indonesian Private International Law (PIL) until now is based on Algemene Bepalingen van Wetgeving (AB) described in the State Gazette No.23 of 1847. The latest development of Indonesian PIL was the issuance of Academic Bill of PIL in 2014. Between the time span of more than 150 years, what is the development of Indonesian PIL? Whether the principles of PIL as stipulated in Article 16 AB (Principle of Nationality), 17 AB (Lex Re Sitae) and 18 AB (Locus Rigit Actum) remains in the Bill of Indonesian PIL? Is there any alteration? Is there any PIL regulation in any other Indonesian prevailing regulation besides AB? This writing would like to answer such questions and reviewing the Bill of Indonesian PIL. The comparison research method will be made to the PIL regulation in the Netherlands to see the development of AB in its original country, particularly the three PIL’s Principles.","author":[{"dropping-particle":"","family":"Allagan","given":"Tiurma M. P.","non-dropping-particle":"","parse-names":false,"suffix":""}],"container-title":"Indonesian Journal of International Law","id":"ITEM-1","issue":"3","issued":{"date-parts":[["2017"]]},"page":"381","title":"Indonesian Private International Law:the Development After More Than a Century","type":"article-journal","volume":"14"},"uris":["http://www.mendeley.com/documents/?uuid=e69e444e-8eb3-4b95-b390-5184030658b6"]}],"mendeley":{"formattedCitation":"Tiurma M. P. Allagan, “Indonesian Private International Law:The Development After More Than a Century,” &lt;i&gt;Indonesian Journal of International Law&lt;/i&gt; 14, no. 3 (2017): 381, https://doi.org/10.17304/ijil.vol14.3.700.","plainTextFormattedCitation":"Tiurma M. P. Allagan, “Indonesian Private International Law:The Development After More Than a Century,” Indonesian Journal of International Law 14, no. 3 (2017): 381, https://doi.org/10.17304/ijil.vol14.3.700.","previouslyFormattedCitation":"Tiurma M. P. Allagan, “Indonesian Private International Law:The Development After More Than a Century,” &lt;i&gt;Indonesian Journal of International Law&lt;/i&gt; 14, no. 3 (2017): 381, https://doi.org/10.17304/ijil.vol14.3.700."},"properties":{"noteIndex":54},"schema":"https://github.com/citation-style-language/schema/raw/master/csl-citation.json"}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Tiurma M. P. Allagan, “Indonesian Private International Law:The Development After More Than a Century,” </w:t>
      </w:r>
      <w:r w:rsidRPr="00F6627D">
        <w:rPr>
          <w:rFonts w:asciiTheme="majorBidi" w:hAnsiTheme="majorBidi" w:cstheme="majorBidi"/>
          <w:i/>
          <w:noProof/>
        </w:rPr>
        <w:t>Indonesian Journal of International Law</w:t>
      </w:r>
      <w:r w:rsidRPr="00F6627D">
        <w:rPr>
          <w:rFonts w:asciiTheme="majorBidi" w:hAnsiTheme="majorBidi" w:cstheme="majorBidi"/>
          <w:noProof/>
        </w:rPr>
        <w:t xml:space="preserve"> 14, no. 3 (2017): 381, https://doi.org/10.17304/ijil.vol14.3.700.</w:t>
      </w:r>
      <w:r w:rsidRPr="00F6627D">
        <w:rPr>
          <w:rFonts w:asciiTheme="majorBidi" w:hAnsiTheme="majorBidi" w:cstheme="majorBidi"/>
        </w:rPr>
        <w:fldChar w:fldCharType="end"/>
      </w:r>
    </w:p>
  </w:footnote>
  <w:footnote w:id="55">
    <w:p w14:paraId="4A50FE34" w14:textId="0DDCBDAB" w:rsidR="006B5F3A" w:rsidRPr="00F6627D" w:rsidRDefault="006B5F3A"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C47F19" w:rsidRPr="00F6627D">
        <w:rPr>
          <w:rFonts w:asciiTheme="majorBidi" w:hAnsiTheme="majorBidi" w:cstheme="majorBidi"/>
        </w:rPr>
        <w:instrText>ADDIN CSL_CITATION {"citationItems":[{"id":"ITEM-1","itemData":{"author":[{"dropping-particle":"","family":"Recep Çiğdem","given":"","non-dropping-particle":"","parse-names":false,"suffix":""}],"container-title":"Acta Orientalia Academiae Scientiarum Hungaricae","id":"ITEM-1","issue":"1","issued":{"date-parts":[["2015"]]},"page":"59-86","title":"Interfaith Marriage in Comparative Perspective","type":"article-journal","volume":"68"},"uris":["http://www.mendeley.com/documents/?uuid=e746e339-d8d2-4102-98e6-b2dbcc799bc2"]}],"mendeley":{"formattedCitation":"Recep Çiğdem, “Interfaith Marriage in Comparative Perspective,” &lt;i&gt;Acta Orientalia Academiae Scientiarum Hungaricae&lt;/i&gt; 68, no. 1 (2015): 59–86.","plainTextFormattedCitation":"Recep Çiğdem, “Interfaith Marriage in Comparative Perspective,” Acta Orientalia Academiae Scientiarum Hungaricae 68, no. 1 (2015): 59–86.","previouslyFormattedCitation":"Recep Çiğdem, “Interfaith Marriage in Comparative Perspective,” &lt;i&gt;Acta Orientalia Academiae Scientiarum Hungaricae&lt;/i&gt; 68, no. 1 (2015): 59–86."},"properties":{"noteIndex":55},"schema":"https://github.com/citation-style-language/schema/raw/master/csl-citation.json"}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Recep Çiğdem, “Interfaith Marriage in Comparative Perspective,” </w:t>
      </w:r>
      <w:r w:rsidRPr="00F6627D">
        <w:rPr>
          <w:rFonts w:asciiTheme="majorBidi" w:hAnsiTheme="majorBidi" w:cstheme="majorBidi"/>
          <w:i/>
          <w:noProof/>
        </w:rPr>
        <w:t>Acta Orientalia Academiae Scientiarum Hungaricae</w:t>
      </w:r>
      <w:r w:rsidRPr="00F6627D">
        <w:rPr>
          <w:rFonts w:asciiTheme="majorBidi" w:hAnsiTheme="majorBidi" w:cstheme="majorBidi"/>
          <w:noProof/>
        </w:rPr>
        <w:t xml:space="preserve"> 68, no. 1 (2015): 59–86.</w:t>
      </w:r>
      <w:r w:rsidRPr="00F6627D">
        <w:rPr>
          <w:rFonts w:asciiTheme="majorBidi" w:hAnsiTheme="majorBidi" w:cstheme="majorBidi"/>
        </w:rPr>
        <w:fldChar w:fldCharType="end"/>
      </w:r>
    </w:p>
  </w:footnote>
  <w:footnote w:id="56">
    <w:p w14:paraId="68DC5D8B" w14:textId="70499097" w:rsidR="00B34229" w:rsidRPr="00F6627D" w:rsidRDefault="00B34229"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C47F19" w:rsidRPr="00F6627D">
        <w:rPr>
          <w:rFonts w:asciiTheme="majorBidi" w:hAnsiTheme="majorBidi" w:cstheme="majorBidi"/>
        </w:rPr>
        <w:instrText>ADDIN CSL_CITATION {"citationItems":[{"id":"ITEM-1","itemData":{"author":[{"dropping-particle":"","family":"Cavan","given":"Ruth Shonle","non-dropping-particle":"","parse-names":false,"suffix":""}],"container-title":"Journal for the Scientific Study of Religion","id":"ITEM-1","issue":"4","issued":{"date-parts":[["1970"]]},"page":"311-320","title":"Concepts and Terminology in Interreligious Marriage","type":"article-journal","volume":"9"},"uris":["http://www.mendeley.com/documents/?uuid=02882e83-0f1c-4e2a-8ddd-f175def81384"]}],"mendeley":{"formattedCitation":"Ruth Shonle Cavan, “Concepts and Terminology in Interreligious Marriage,” &lt;i&gt;Journal for the Scientific Study of Religion&lt;/i&gt; 9, no. 4 (1970): 311–20.","plainTextFormattedCitation":"Ruth Shonle Cavan, “Concepts and Terminology in Interreligious Marriage,” Journal for the Scientific Study of Religion 9, no. 4 (1970): 311–20.","previouslyFormattedCitation":"Ruth Shonle Cavan, “Concepts and Terminology in Interreligious Marriage,” &lt;i&gt;Journal for the Scientific Study of Religion&lt;/i&gt; 9, no. 4 (1970): 311–20."},"properties":{"noteIndex":56},"schema":"https://github.com/citation-style-language/schema/raw/master/csl-citation.json"}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Ruth Shonle Cavan, “Concepts and Terminology in Interreligious Marriage,” </w:t>
      </w:r>
      <w:r w:rsidR="00201F1F" w:rsidRPr="00F6627D">
        <w:rPr>
          <w:rFonts w:asciiTheme="majorBidi" w:hAnsiTheme="majorBidi" w:cstheme="majorBidi"/>
          <w:i/>
          <w:noProof/>
        </w:rPr>
        <w:t>Journal for the Scientific Study of Religion</w:t>
      </w:r>
      <w:r w:rsidR="00201F1F" w:rsidRPr="00F6627D">
        <w:rPr>
          <w:rFonts w:asciiTheme="majorBidi" w:hAnsiTheme="majorBidi" w:cstheme="majorBidi"/>
          <w:noProof/>
        </w:rPr>
        <w:t xml:space="preserve"> 9, no. 4 (1970): 311–20.</w:t>
      </w:r>
      <w:r w:rsidRPr="00F6627D">
        <w:rPr>
          <w:rFonts w:asciiTheme="majorBidi" w:hAnsiTheme="majorBidi" w:cstheme="majorBidi"/>
        </w:rPr>
        <w:fldChar w:fldCharType="end"/>
      </w:r>
      <w:r w:rsidR="00C80A99" w:rsidRPr="00F6627D">
        <w:rPr>
          <w:rFonts w:asciiTheme="majorBidi" w:hAnsiTheme="majorBidi" w:cstheme="majorBidi"/>
        </w:rPr>
        <w:fldChar w:fldCharType="begin" w:fldLock="1"/>
      </w:r>
      <w:r w:rsidR="00C47F19" w:rsidRPr="00F6627D">
        <w:rPr>
          <w:rFonts w:asciiTheme="majorBidi" w:hAnsiTheme="majorBidi" w:cstheme="majorBidi"/>
        </w:rPr>
        <w:instrText>ADDIN CSL_CITATION {"citationItems":[{"id":"ITEM-1","itemData":{"author":[{"dropping-particle":"","family":"Sewenet","given":"Alex Minichele","non-dropping-particle":"","parse-names":false,"suffix":""},{"dropping-particle":"","family":"Tessagaye","given":"Fasil Merawi","non-dropping-particle":"","parse-names":false,"suffix":""},{"dropping-particle":"","family":"Tadele","given":"Getnet","non-dropping-particle":"","parse-names":false,"suffix":""}],"id":"ITEM-1","issue":"6","issued":{"date-parts":[["2017"]]},"title":"Interreligious Marriage : Social and Religious Perspectives","type":"article-journal"},"uris":["http://www.mendeley.com/documents/?uuid=66e9cf26-a74f-410c-ba08-256a680cc899"]}],"mendeley":{"formattedCitation":"Alex Minichele Sewenet, Fasil Merawi Tessagaye, and Getnet Tadele, “Interreligious Marriage : Social and Religious Perspectives,” no. 6 (2017).","plainTextFormattedCitation":"Alex Minichele Sewenet, Fasil Merawi Tessagaye, and Getnet Tadele, “Interreligious Marriage : Social and Religious Perspectives,” no. 6 (2017).","previouslyFormattedCitation":"Alex Minichele Sewenet, Fasil Merawi Tessagaye, and Getnet Tadele, “Interreligious Marriage : Social and Religious Perspectives,” no. 6 (2017)."},"properties":{"noteIndex":56},"schema":"https://github.com/citation-style-language/schema/raw/master/csl-citation.json"}</w:instrText>
      </w:r>
      <w:r w:rsidR="00C80A99" w:rsidRPr="00F6627D">
        <w:rPr>
          <w:rFonts w:asciiTheme="majorBidi" w:hAnsiTheme="majorBidi" w:cstheme="majorBidi"/>
        </w:rPr>
        <w:fldChar w:fldCharType="separate"/>
      </w:r>
      <w:r w:rsidR="00C80A99" w:rsidRPr="00F6627D">
        <w:rPr>
          <w:rFonts w:asciiTheme="majorBidi" w:hAnsiTheme="majorBidi" w:cstheme="majorBidi"/>
          <w:noProof/>
        </w:rPr>
        <w:t>Alex Minichele Sewenet, Fasil Merawi Tessagaye, and Getnet Tadele, “Interreligious Marriage : Social and Religious Perspectives,” no. 6 (2017).</w:t>
      </w:r>
      <w:r w:rsidR="00C80A99" w:rsidRPr="00F6627D">
        <w:rPr>
          <w:rFonts w:asciiTheme="majorBidi" w:hAnsiTheme="majorBidi" w:cstheme="majorBidi"/>
        </w:rPr>
        <w:fldChar w:fldCharType="end"/>
      </w:r>
    </w:p>
  </w:footnote>
  <w:footnote w:id="57">
    <w:p w14:paraId="503F59A3" w14:textId="68EC5C5A" w:rsidR="004140FC" w:rsidRPr="00F6627D" w:rsidRDefault="004140FC"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C47F19" w:rsidRPr="00F6627D">
        <w:rPr>
          <w:rFonts w:asciiTheme="majorBidi" w:hAnsiTheme="majorBidi" w:cstheme="majorBidi"/>
        </w:rPr>
        <w:instrText>ADDIN CSL_CITATION {"citationItems":[{"id":"ITEM-1","itemData":{"DOI":"10.4337/9781784713478","author":[{"dropping-particle":"De","family":"Villiers","given":"F. A.","non-dropping-particle":"","parse-names":false,"suffix":""}],"container-title":"Private International Law and Public Law","id":"ITEM-1","issue":"1","issued":{"date-parts":[["1970"]]},"page":"99-106","title":"Private International Law and Public Policy: Two Recent Dutch Cases","type":"article-journal","volume":"3"},"uris":["http://www.mendeley.com/documents/?uuid=2976c993-c06f-47c3-b40e-b8ea640b2a2a"]}],"mendeley":{"formattedCitation":"F. A. De Villiers, “Private International Law and Public Policy: Two Recent Dutch Cases,” &lt;i&gt;Private International Law and Public Law&lt;/i&gt; 3, no. 1 (1970): 99–106, https://doi.org/10.4337/9781784713478.","plainTextFormattedCitation":"F. A. De Villiers, “Private International Law and Public Policy: Two Recent Dutch Cases,” Private International Law and Public Law 3, no. 1 (1970): 99–106, https://doi.org/10.4337/9781784713478.","previouslyFormattedCitation":"F. A. De Villiers, “Private International Law and Public Policy: Two Recent Dutch Cases,” &lt;i&gt;Private International Law and Public Law&lt;/i&gt; 3, no. 1 (1970): 99–106, https://doi.org/10.4337/9781784713478."},"properties":{"noteIndex":57},"schema":"https://github.com/citation-style-language/schema/raw/master/csl-citation.json"}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F. A. De Villiers, “Private International Law and Public Policy: Two Recent Dutch Cases,” </w:t>
      </w:r>
      <w:r w:rsidRPr="00F6627D">
        <w:rPr>
          <w:rFonts w:asciiTheme="majorBidi" w:hAnsiTheme="majorBidi" w:cstheme="majorBidi"/>
          <w:i/>
          <w:noProof/>
        </w:rPr>
        <w:t>Private International Law and Public Law</w:t>
      </w:r>
      <w:r w:rsidRPr="00F6627D">
        <w:rPr>
          <w:rFonts w:asciiTheme="majorBidi" w:hAnsiTheme="majorBidi" w:cstheme="majorBidi"/>
          <w:noProof/>
        </w:rPr>
        <w:t xml:space="preserve"> 3, no. 1 (1970): 99–106, https://doi.org/10.4337/9781784713478.</w:t>
      </w:r>
      <w:r w:rsidRPr="00F6627D">
        <w:rPr>
          <w:rFonts w:asciiTheme="majorBidi" w:hAnsiTheme="majorBidi" w:cstheme="majorBidi"/>
        </w:rPr>
        <w:fldChar w:fldCharType="end"/>
      </w:r>
    </w:p>
  </w:footnote>
  <w:footnote w:id="58">
    <w:p w14:paraId="0411A9F1" w14:textId="50F8297C" w:rsidR="004140FC" w:rsidRPr="00F6627D" w:rsidRDefault="004140FC"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C47F19" w:rsidRPr="00F6627D">
        <w:rPr>
          <w:rFonts w:asciiTheme="majorBidi" w:hAnsiTheme="majorBidi" w:cstheme="majorBidi"/>
        </w:rPr>
        <w:instrText>ADDIN CSL_CITATION {"citationItems":[{"id":"ITEM-1","itemData":{"author":[{"dropping-particle":"","family":"Yongping Xiao and Zhengxin Huo","given":"","non-dropping-particle":"","parse-names":false,"suffix":""}],"container-title":"The American Journal of Comparative Law","id":"ITEM-1","issue":"3","issued":{"date-parts":[["2005"]]},"page":"653-677","title":"Ordre Public in China's Private International Law","type":"article-journal","volume":"53"},"uris":["http://www.mendeley.com/documents/?uuid=e3171af9-1797-4f7f-89d3-49741d0fbbe1"]}],"mendeley":{"formattedCitation":"Yongping Xiao and Zhengxin Huo, “Ordre Public in China’s Private International Law,” &lt;i&gt;The American Journal of Comparative Law&lt;/i&gt; 53, no. 3 (2005): 653–77.","plainTextFormattedCitation":"Yongping Xiao and Zhengxin Huo, “Ordre Public in China’s Private International Law,” The American Journal of Comparative Law 53, no. 3 (2005): 653–77.","previouslyFormattedCitation":"Yongping Xiao and Zhengxin Huo, “Ordre Public in China’s Private International Law,” &lt;i&gt;The American Journal of Comparative Law&lt;/i&gt; 53, no. 3 (2005): 653–77."},"properties":{"noteIndex":58},"schema":"https://github.com/citation-style-language/schema/raw/master/csl-citation.json"}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Yongping Xiao and Zhengxin Huo, “Ordre Public in China’s Private International Law,” </w:t>
      </w:r>
      <w:r w:rsidRPr="00F6627D">
        <w:rPr>
          <w:rFonts w:asciiTheme="majorBidi" w:hAnsiTheme="majorBidi" w:cstheme="majorBidi"/>
          <w:i/>
          <w:noProof/>
        </w:rPr>
        <w:t>The American Journal of Comparative Law</w:t>
      </w:r>
      <w:r w:rsidRPr="00F6627D">
        <w:rPr>
          <w:rFonts w:asciiTheme="majorBidi" w:hAnsiTheme="majorBidi" w:cstheme="majorBidi"/>
          <w:noProof/>
        </w:rPr>
        <w:t xml:space="preserve"> 53, no. 3 (2005): 653–77.</w:t>
      </w:r>
      <w:r w:rsidRPr="00F6627D">
        <w:rPr>
          <w:rFonts w:asciiTheme="majorBidi" w:hAnsiTheme="majorBidi" w:cstheme="majorBidi"/>
        </w:rPr>
        <w:fldChar w:fldCharType="end"/>
      </w:r>
    </w:p>
  </w:footnote>
  <w:footnote w:id="59">
    <w:p w14:paraId="25F250AA" w14:textId="093CDB71" w:rsidR="00503052" w:rsidRPr="00F6627D" w:rsidRDefault="00503052"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proofErr w:type="spellStart"/>
      <w:r w:rsidRPr="00F6627D">
        <w:rPr>
          <w:rFonts w:asciiTheme="majorBidi" w:hAnsiTheme="majorBidi" w:cstheme="majorBidi"/>
        </w:rPr>
        <w:t>Sudargo</w:t>
      </w:r>
      <w:proofErr w:type="spellEnd"/>
      <w:r w:rsidRPr="00F6627D">
        <w:rPr>
          <w:rFonts w:asciiTheme="majorBidi" w:hAnsiTheme="majorBidi" w:cstheme="majorBidi"/>
        </w:rPr>
        <w:t xml:space="preserve"> Gautama, Pengantar Hukum…., p. 133</w:t>
      </w:r>
    </w:p>
  </w:footnote>
  <w:footnote w:id="60">
    <w:p w14:paraId="7AFDD6C4" w14:textId="372880AC" w:rsidR="00883437" w:rsidRPr="00F6627D" w:rsidRDefault="0088343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C47F19" w:rsidRPr="00F6627D">
        <w:rPr>
          <w:rFonts w:asciiTheme="majorBidi" w:hAnsiTheme="majorBidi" w:cstheme="majorBidi"/>
        </w:rPr>
        <w:instrText>ADDIN CSL_CITATION {"citationItems":[{"id":"ITEM-1","itemData":{"DOI":"10.14421/sh.v3i1.1947","ISSN":"2302-1128","abstract":"This article discusses about public order in the Private Internationale Lawcontext, relating to the acceptance to the foreign law in a country. Every country has thepublic order although they are different in concept and implementation. This publicorder principle is important as an emergency filter when a country faces a foreign law. Ifthe foreign law is incompatible to the public policy of the country, the foreign law can beignored. The country may use it own national law. The implementation of public orderprinciple relates to the other principles in the Private International Law, such asnationality, domicile and vested rights principles.","author":[{"dropping-particle":"","family":"Wahyuni","given":"Sri","non-dropping-particle":"","parse-names":false,"suffix":""}],"container-title":"Supremasi Hukum: Jurnal Kajian Ilmu Hukum","id":"ITEM-1","issue":"1","issued":{"date-parts":[["2014"]]},"title":"Konsep Ketertiban Umum dalam Hukum Perdata Internasional: Perbandingan Beberapa Negara Civil Law dan Common Law","type":"article-journal","volume":"3"},"uris":["http://www.mendeley.com/documents/?uuid=b12c39eb-2c0e-4d83-a527-f2bf85969a5a"]}],"mendeley":{"formattedCitation":"Sri Wahyuni, “Konsep Ketertiban Umum Dalam Hukum Perdata Internasional: Perbandingan Beberapa Negara Civil Law Dan Common Law,” &lt;i&gt;Supremasi Hukum: Jurnal Kajian Ilmu Hukum&lt;/i&gt; 3, no. 1 (2014), https://doi.org/10.14421/sh.v3i1.1947.","manualFormatting":"Sri Wahyuni, “Konsep Ketertiban Umum Dalam Hukum Perdata Internasional: Perbandingan Beberapa Negara Civil Law Dan Common Law,” Supremasi Hukum: Jurnal Kajian Ilmu Hukum 3, no. 1 (2014), hlm.","plainTextFormattedCitation":"Sri Wahyuni, “Konsep Ketertiban Umum Dalam Hukum Perdata Internasional: Perbandingan Beberapa Negara Civil Law Dan Common Law,” Supremasi Hukum: Jurnal Kajian Ilmu Hukum 3, no. 1 (2014), https://doi.org/10.14421/sh.v3i1.1947.","previouslyFormattedCitation":"Sri Wahyuni, “Konsep Ketertiban Umum Dalam Hukum Perdata Internasional: Perbandingan Beberapa Negara Civil Law Dan Common Law,” &lt;i&gt;Supremasi Hukum: Jurnal Kajian Ilmu Hukum&lt;/i&gt; 3, no. 1 (2014), https://doi.org/10.14421/sh.v3i1.1947."},"properties":{"noteIndex":60},"schema":"https://github.com/citation-style-language/schema/raw/master/csl-citation.json"}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Sri Wahyuni, “Konsep Ketertiban Umum Dalam Hukum Perdata Internasional: Perbandingan Beberapa Negara Civil Law Dan Common Law,” </w:t>
      </w:r>
      <w:r w:rsidRPr="00F6627D">
        <w:rPr>
          <w:rFonts w:asciiTheme="majorBidi" w:hAnsiTheme="majorBidi" w:cstheme="majorBidi"/>
          <w:i/>
          <w:noProof/>
        </w:rPr>
        <w:t>Supremasi Hukum: Jurnal Kajian Ilmu Hukum</w:t>
      </w:r>
      <w:r w:rsidRPr="00F6627D">
        <w:rPr>
          <w:rFonts w:asciiTheme="majorBidi" w:hAnsiTheme="majorBidi" w:cstheme="majorBidi"/>
          <w:noProof/>
        </w:rPr>
        <w:t xml:space="preserve"> 3, no. 1 (2014)</w:t>
      </w:r>
      <w:r w:rsidR="00980906" w:rsidRPr="00F6627D">
        <w:rPr>
          <w:rFonts w:asciiTheme="majorBidi" w:hAnsiTheme="majorBidi" w:cstheme="majorBidi"/>
          <w:noProof/>
        </w:rPr>
        <w:t>, hlm</w:t>
      </w:r>
      <w:r w:rsidRPr="00F6627D">
        <w:rPr>
          <w:rFonts w:asciiTheme="majorBidi" w:hAnsiTheme="majorBidi" w:cstheme="majorBidi"/>
          <w:noProof/>
        </w:rPr>
        <w:t>.</w:t>
      </w:r>
      <w:r w:rsidRPr="00F6627D">
        <w:rPr>
          <w:rFonts w:asciiTheme="majorBidi" w:hAnsiTheme="majorBidi" w:cstheme="majorBidi"/>
        </w:rPr>
        <w:fldChar w:fldCharType="end"/>
      </w:r>
      <w:r w:rsidR="00980906" w:rsidRPr="00F6627D">
        <w:rPr>
          <w:rFonts w:asciiTheme="majorBidi" w:hAnsiTheme="majorBidi" w:cstheme="majorBidi"/>
        </w:rPr>
        <w:t xml:space="preserve"> 49</w:t>
      </w:r>
    </w:p>
  </w:footnote>
  <w:footnote w:id="61">
    <w:p w14:paraId="7844ABD9" w14:textId="49922449" w:rsidR="00980906" w:rsidRPr="00F6627D" w:rsidRDefault="00980906"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C47F19" w:rsidRPr="00F6627D">
        <w:rPr>
          <w:rFonts w:asciiTheme="majorBidi" w:hAnsiTheme="majorBidi" w:cstheme="majorBidi"/>
        </w:rPr>
        <w:instrText>ADDIN CSL_CITATION {"citationItems":[{"id":"ITEM-1","itemData":{"DOI":"10.14421/sh.v3i1.1947","ISSN":"2302-1128","abstract":"This article discusses about public order in the Private Internationale Lawcontext, relating to the acceptance to the foreign law in a country. Every country has thepublic order although they are different in concept and implementation. This publicorder principle is important as an emergency filter when a country faces a foreign law. Ifthe foreign law is incompatible to the public policy of the country, the foreign law can beignored. The country may use it own national law. The implementation of public orderprinciple relates to the other principles in the Private International Law, such asnationality, domicile and vested rights principles.","author":[{"dropping-particle":"","family":"Wahyuni","given":"Sri","non-dropping-particle":"","parse-names":false,"suffix":""}],"container-title":"Supremasi Hukum: Jurnal Kajian Ilmu Hukum","id":"ITEM-1","issue":"1","issued":{"date-parts":[["2014"]]},"title":"Konsep Ketertiban Umum dalam Hukum Perdata Internasional: Perbandingan Beberapa Negara Civil Law dan Common Law","type":"article-journal","volume":"3"},"uris":["http://www.mendeley.com/documents/?uuid=b12c39eb-2c0e-4d83-a527-f2bf85969a5a"]}],"mendeley":{"formattedCitation":"Wahyuni.","manualFormatting":"Ibid, hlm.","plainTextFormattedCitation":"Wahyuni.","previouslyFormattedCitation":"Wahyuni."},"properties":{"noteIndex":61},"schema":"https://github.com/citation-style-language/schema/raw/master/csl-citation.json"}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Ibid, hlm.</w:t>
      </w:r>
      <w:r w:rsidRPr="00F6627D">
        <w:rPr>
          <w:rFonts w:asciiTheme="majorBidi" w:hAnsiTheme="majorBidi" w:cstheme="majorBidi"/>
        </w:rPr>
        <w:fldChar w:fldCharType="end"/>
      </w:r>
      <w:r w:rsidRPr="00F6627D">
        <w:rPr>
          <w:rFonts w:asciiTheme="majorBidi" w:hAnsiTheme="majorBidi" w:cstheme="majorBidi"/>
        </w:rPr>
        <w:t xml:space="preserve"> 56</w:t>
      </w:r>
    </w:p>
  </w:footnote>
  <w:footnote w:id="62">
    <w:p w14:paraId="0320A917" w14:textId="715085CE" w:rsidR="00FD6EF5" w:rsidRPr="00F6627D" w:rsidRDefault="00FD6EF5"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hyperlink r:id="rId5" w:history="1">
        <w:r w:rsidRPr="00F6627D">
          <w:rPr>
            <w:rStyle w:val="Hyperlink"/>
            <w:rFonts w:asciiTheme="majorBidi" w:hAnsiTheme="majorBidi" w:cstheme="majorBidi"/>
          </w:rPr>
          <w:t>https://www.hukumonline.com/klinik/a/apa-definisi-ketertiban-umum</w:t>
        </w:r>
      </w:hyperlink>
      <w:r w:rsidRPr="00F6627D">
        <w:rPr>
          <w:rFonts w:asciiTheme="majorBidi" w:hAnsiTheme="majorBidi" w:cstheme="majorBidi"/>
        </w:rPr>
        <w:t>, diakses pada tanggal 30 Juli 2023</w:t>
      </w:r>
    </w:p>
  </w:footnote>
  <w:footnote w:id="63">
    <w:p w14:paraId="07FC0CDB" w14:textId="24E511E1" w:rsidR="002154E8" w:rsidRPr="00F6627D" w:rsidRDefault="002154E8"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C47F19" w:rsidRPr="00F6627D">
        <w:rPr>
          <w:rFonts w:asciiTheme="majorBidi" w:hAnsiTheme="majorBidi" w:cstheme="majorBidi"/>
        </w:rPr>
        <w:instrText>ADDIN CSL_CITATION {"citationItems":[{"id":"ITEM-1","itemData":{"author":[{"dropping-particle":"","family":"Wirjono Prodjodikoro","given":"","non-dropping-particle":"","parse-names":false,"suffix":""}],"id":"ITEM-1","issued":{"date-parts":[["1992"]]},"publisher":"Sumur","publisher-place":"Bandung","title":"Asas-asas Hukum Perdata Internasional","type":"book"},"uris":["http://www.mendeley.com/documents/?uuid=e94f34b7-db07-4847-981c-66a4d55cf67f"]}],"mendeley":{"formattedCitation":"Wirjono Prodjodikoro, &lt;i&gt;Asas-Asas Hukum Perdata Internasional&lt;/i&gt; (Bandung: Sumur, 1992).","manualFormatting":"Wirjono Prodjodikoro, Asas-Asas Hukum Perdata Internasional (Bandung: Sumur, 1992), hlm.","plainTextFormattedCitation":"Wirjono Prodjodikoro, Asas-Asas Hukum Perdata Internasional (Bandung: Sumur, 1992).","previouslyFormattedCitation":"Wirjono Prodjodikoro, &lt;i&gt;Asas-Asas Hukum Perdata Internasional&lt;/i&gt; (Bandung: Sumur, 1992)."},"properties":{"noteIndex":63},"schema":"https://github.com/citation-style-language/schema/raw/master/csl-citation.json"}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Wirjono Prodjodikoro, </w:t>
      </w:r>
      <w:r w:rsidRPr="00F6627D">
        <w:rPr>
          <w:rFonts w:asciiTheme="majorBidi" w:hAnsiTheme="majorBidi" w:cstheme="majorBidi"/>
          <w:i/>
          <w:noProof/>
        </w:rPr>
        <w:t>Asas-Asas Hukum Perdata Internasional</w:t>
      </w:r>
      <w:r w:rsidRPr="00F6627D">
        <w:rPr>
          <w:rFonts w:asciiTheme="majorBidi" w:hAnsiTheme="majorBidi" w:cstheme="majorBidi"/>
          <w:noProof/>
        </w:rPr>
        <w:t xml:space="preserve"> (Bandung: Sumur, 1992), hlm.</w:t>
      </w:r>
      <w:r w:rsidRPr="00F6627D">
        <w:rPr>
          <w:rFonts w:asciiTheme="majorBidi" w:hAnsiTheme="majorBidi" w:cstheme="majorBidi"/>
        </w:rPr>
        <w:fldChar w:fldCharType="end"/>
      </w:r>
      <w:r w:rsidRPr="00F6627D">
        <w:rPr>
          <w:rFonts w:asciiTheme="majorBidi" w:hAnsiTheme="majorBidi" w:cstheme="majorBidi"/>
        </w:rPr>
        <w:t xml:space="preserve"> 27</w:t>
      </w:r>
    </w:p>
  </w:footnote>
  <w:footnote w:id="64">
    <w:p w14:paraId="5B0E68FE" w14:textId="2816DE14" w:rsidR="00C47F19" w:rsidRPr="00F6627D" w:rsidRDefault="00C47F19"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Pr="00F6627D">
        <w:rPr>
          <w:rFonts w:asciiTheme="majorBidi" w:hAnsiTheme="majorBidi" w:cstheme="majorBidi"/>
        </w:rPr>
        <w:instrText>ADDIN CSL_CITATION {"citationItems":[{"id":"ITEM-1","itemData":{"author":[{"dropping-particle":"","family":"Sudargo Gautama","given":"","non-dropping-particle":"","parse-names":false,"suffix":""}],"edition":"Cetakan ke","id":"ITEM-1","issued":{"date-parts":[["1987"]]},"publisher":"Binacipta","publisher-place":"Bandung","title":"Pengantar Hukum Perdata Internasional Indonesia","type":"book"},"uris":["http://www.mendeley.com/documents/?uuid=352ca2c9-63ec-400c-94ae-321c57ba1e5a"]}],"mendeley":{"formattedCitation":"Sudargo Gautama, &lt;i&gt;Pengantar Hukum Perdata Internasional Indonesia&lt;/i&gt;.","manualFormatting":"Sudargo Gautama, Pengantar Hukum Perdata Internasional Indonesia, 217.","plainTextFormattedCitation":"Sudargo Gautama, Pengantar Hukum Perdata Internasional Indonesia.","previouslyFormattedCitation":"Sudargo Gautama, &lt;i&gt;Pengantar Hukum Perdata Internasional Indonesia&lt;/i&gt;."},"properties":{"noteIndex":64},"schema":"https://github.com/citation-style-language/schema/raw/master/csl-citation.json"}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Sudargo Gautama, </w:t>
      </w:r>
      <w:r w:rsidRPr="00F6627D">
        <w:rPr>
          <w:rFonts w:asciiTheme="majorBidi" w:hAnsiTheme="majorBidi" w:cstheme="majorBidi"/>
          <w:i/>
          <w:noProof/>
        </w:rPr>
        <w:t xml:space="preserve">Pengantar Hukum Perdata Internasional Indonesia, </w:t>
      </w:r>
      <w:r w:rsidRPr="00F6627D">
        <w:rPr>
          <w:rFonts w:asciiTheme="majorBidi" w:hAnsiTheme="majorBidi" w:cstheme="majorBidi"/>
          <w:iCs/>
          <w:noProof/>
        </w:rPr>
        <w:t>217</w:t>
      </w:r>
      <w:r w:rsidRPr="00F6627D">
        <w:rPr>
          <w:rFonts w:asciiTheme="majorBidi" w:hAnsiTheme="majorBidi" w:cstheme="majorBidi"/>
          <w:noProof/>
        </w:rPr>
        <w:t>.</w:t>
      </w:r>
      <w:r w:rsidRPr="00F6627D">
        <w:rPr>
          <w:rFonts w:asciiTheme="majorBidi" w:hAnsiTheme="majorBidi" w:cstheme="majorBidi"/>
        </w:rPr>
        <w:fldChar w:fldCharType="end"/>
      </w:r>
    </w:p>
  </w:footnote>
  <w:footnote w:id="65">
    <w:p w14:paraId="2C38FE9F" w14:textId="61563B77" w:rsidR="00C47F19" w:rsidRPr="00F6627D" w:rsidRDefault="00C47F19"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C2FC6" w:rsidRPr="00F6627D">
        <w:rPr>
          <w:rFonts w:asciiTheme="majorBidi" w:hAnsiTheme="majorBidi" w:cstheme="majorBidi"/>
        </w:rPr>
        <w:instrText>ADDIN CSL_CITATION {"citationItems":[{"id":"ITEM-1","itemData":{"author":[{"dropping-particle":"","family":"Sudargo Gautama","given":"","non-dropping-particle":"","parse-names":false,"suffix":""}],"edition":"Cetakan ke","id":"ITEM-1","issued":{"date-parts":[["1987"]]},"publisher":"Binacipta","publisher-place":"Bandung","title":"Pengantar Hukum Perdata Internasional Indonesia","type":"book"},"uris":["http://www.mendeley.com/documents/?uuid=352ca2c9-63ec-400c-94ae-321c57ba1e5a"]}],"mendeley":{"formattedCitation":"Sudargo Gautama.","manualFormatting":"Sudargo Gautama, 218-219.","plainTextFormattedCitation":"Sudargo Gautama.","previouslyFormattedCitation":"Sudargo Gautama."},"properties":{"noteIndex":65},"schema":"https://github.com/citation-style-language/schema/raw/master/csl-citation.json"}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Sudargo Gautama</w:t>
      </w:r>
      <w:r w:rsidR="000C2FC6" w:rsidRPr="00F6627D">
        <w:rPr>
          <w:rFonts w:asciiTheme="majorBidi" w:hAnsiTheme="majorBidi" w:cstheme="majorBidi"/>
          <w:noProof/>
        </w:rPr>
        <w:t>, 218-219</w:t>
      </w:r>
      <w:r w:rsidRPr="00F6627D">
        <w:rPr>
          <w:rFonts w:asciiTheme="majorBidi" w:hAnsiTheme="majorBidi" w:cstheme="majorBidi"/>
          <w:noProof/>
        </w:rPr>
        <w:t>.</w:t>
      </w:r>
      <w:r w:rsidRPr="00F6627D">
        <w:rPr>
          <w:rFonts w:asciiTheme="majorBidi" w:hAnsiTheme="majorBidi" w:cstheme="majorBidi"/>
        </w:rPr>
        <w:fldChar w:fldCharType="end"/>
      </w:r>
    </w:p>
  </w:footnote>
  <w:footnote w:id="66">
    <w:p w14:paraId="5E3459D7" w14:textId="3DFE24AB" w:rsidR="000C2FC6" w:rsidRPr="00F6627D" w:rsidRDefault="000C2FC6"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142294" w:rsidRPr="00F6627D">
        <w:rPr>
          <w:rFonts w:asciiTheme="majorBidi" w:hAnsiTheme="majorBidi" w:cstheme="majorBidi"/>
        </w:rPr>
        <w:instrText>ADDIN CSL_CITATION {"citationItems":[{"id":"ITEM-1","itemData":{"author":[{"dropping-particle":"","family":"Sudargo Gautama","given":"","non-dropping-particle":"","parse-names":false,"suffix":""}],"id":"ITEM-1","issued":{"date-parts":[["2018"]]},"publisher":"Bina Cipta","publisher-place":"Bandung","title":"Pengantar Hukum Perdata Internasional Indonesia (Buku 6)","type":"book"},"uris":["http://www.mendeley.com/documents/?uuid=2b1e5da6-3487-4830-b8c4-bb4ab13708f1"]}],"mendeley":{"formattedCitation":"Sudargo Gautama, &lt;i&gt;Pengantar Hukum Perdata Internasional Indonesia (Buku 6)&lt;/i&gt; (Bandung: Bina Cipta, 2018).","manualFormatting":"Sudargo Gautama, Pengantar Hukum Perdata Internasional Indonesia (Buku 6) (Bandung: Bina Cipta, 2018), 285-286.","plainTextFormattedCitation":"Sudargo Gautama, Pengantar Hukum Perdata Internasional Indonesia (Buku 6) (Bandung: Bina Cipta, 2018).","previouslyFormattedCitation":"Sudargo Gautama, &lt;i&gt;Pengantar Hukum Perdata Internasional Indonesia (Buku 6)&lt;/i&gt; (Bandung: Bina Cipta, 2018)."},"properties":{"noteIndex":66},"schema":"https://github.com/citation-style-language/schema/raw/master/csl-citation.json"}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Sudargo Gautama, </w:t>
      </w:r>
      <w:r w:rsidRPr="00F6627D">
        <w:rPr>
          <w:rFonts w:asciiTheme="majorBidi" w:hAnsiTheme="majorBidi" w:cstheme="majorBidi"/>
          <w:i/>
          <w:noProof/>
        </w:rPr>
        <w:t>Pengantar Hukum Perdata Internasional Indonesia (Buku 6)</w:t>
      </w:r>
      <w:r w:rsidRPr="00F6627D">
        <w:rPr>
          <w:rFonts w:asciiTheme="majorBidi" w:hAnsiTheme="majorBidi" w:cstheme="majorBidi"/>
          <w:noProof/>
        </w:rPr>
        <w:t xml:space="preserve"> (Bandung: Bina Cipta, 2018), 285-286.</w:t>
      </w:r>
      <w:r w:rsidRPr="00F6627D">
        <w:rPr>
          <w:rFonts w:asciiTheme="majorBidi" w:hAnsiTheme="majorBidi" w:cstheme="majorBidi"/>
        </w:rPr>
        <w:fldChar w:fldCharType="end"/>
      </w:r>
    </w:p>
  </w:footnote>
  <w:footnote w:id="67">
    <w:p w14:paraId="7400A24A" w14:textId="5B8B6219" w:rsidR="00FC7FBC" w:rsidRPr="00F6627D" w:rsidRDefault="00FC7FBC"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142294" w:rsidRPr="00F6627D">
        <w:rPr>
          <w:rFonts w:asciiTheme="majorBidi" w:hAnsiTheme="majorBidi" w:cstheme="majorBidi"/>
        </w:rPr>
        <w:instrText>ADDIN CSL_CITATION {"citationItems":[{"id":"ITEM-1","itemData":{"author":[{"dropping-particle":"","family":"Eddy O.S Hiariej","given":"","non-dropping-particle":"","parse-names":false,"suffix":""}],"edition":"Edisi Revi","id":"ITEM-1","issued":{"date-parts":[["2016"]]},"publisher":"Cahaya Atma Pustaka","publisher-place":"Yogyakarta","title":"Prinsip-Prinsip Hukum Pidana","type":"book"},"uris":["http://www.mendeley.com/documents/?uuid=d4e8e0a8-737f-4f70-ab3e-cb66a3b18ad4"]}],"mendeley":{"formattedCitation":"Eddy O.S Hiariej, &lt;i&gt;Prinsip-Prinsip Hukum Pidana&lt;/i&gt;, Edisi Revi (Yogyakarta: Cahaya Atma Pustaka, 2016).","manualFormatting":"Eddy O.S Hiariej, Prinsip-Prinsip Hukum Pidana, Edisi Revi. (Yogyakarta: Cahaya Atma Pustaka, 2016), hlm.","plainTextFormattedCitation":"Eddy O.S Hiariej, Prinsip-Prinsip Hukum Pidana, Edisi Revi (Yogyakarta: Cahaya Atma Pustaka, 2016).","previouslyFormattedCitation":"Eddy O.S Hiariej, &lt;i&gt;Prinsip-Prinsip Hukum Pidana&lt;/i&gt;, Edisi Revi (Yogyakarta: Cahaya Atma Pustaka, 2016)."},"properties":{"noteIndex":67},"schema":"https://github.com/citation-style-language/schema/raw/master/csl-citation.json"}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Eddy O.S Hiariej, </w:t>
      </w:r>
      <w:r w:rsidRPr="00F6627D">
        <w:rPr>
          <w:rFonts w:asciiTheme="majorBidi" w:hAnsiTheme="majorBidi" w:cstheme="majorBidi"/>
          <w:i/>
          <w:noProof/>
        </w:rPr>
        <w:t>Prinsip-Prinsip Hukum Pidana</w:t>
      </w:r>
      <w:r w:rsidRPr="00F6627D">
        <w:rPr>
          <w:rFonts w:asciiTheme="majorBidi" w:hAnsiTheme="majorBidi" w:cstheme="majorBidi"/>
          <w:noProof/>
        </w:rPr>
        <w:t>, Edisi Revi. (Yogyakarta: Cahaya Atma Pustaka, 2016)</w:t>
      </w:r>
      <w:r w:rsidR="002F6095" w:rsidRPr="00F6627D">
        <w:rPr>
          <w:rFonts w:asciiTheme="majorBidi" w:hAnsiTheme="majorBidi" w:cstheme="majorBidi"/>
          <w:noProof/>
        </w:rPr>
        <w:t>, hlm</w:t>
      </w:r>
      <w:r w:rsidRPr="00F6627D">
        <w:rPr>
          <w:rFonts w:asciiTheme="majorBidi" w:hAnsiTheme="majorBidi" w:cstheme="majorBidi"/>
          <w:noProof/>
        </w:rPr>
        <w:t>.</w:t>
      </w:r>
      <w:r w:rsidRPr="00F6627D">
        <w:rPr>
          <w:rFonts w:asciiTheme="majorBidi" w:hAnsiTheme="majorBidi" w:cstheme="majorBidi"/>
        </w:rPr>
        <w:fldChar w:fldCharType="end"/>
      </w:r>
      <w:r w:rsidR="002F6095" w:rsidRPr="00F6627D">
        <w:rPr>
          <w:rFonts w:asciiTheme="majorBidi" w:hAnsiTheme="majorBidi" w:cstheme="majorBidi"/>
        </w:rPr>
        <w:t xml:space="preserve"> 26. </w:t>
      </w:r>
      <w:r w:rsidR="002F6095" w:rsidRPr="00F6627D">
        <w:rPr>
          <w:rFonts w:asciiTheme="majorBidi" w:hAnsiTheme="majorBidi" w:cstheme="majorBidi"/>
        </w:rPr>
        <w:fldChar w:fldCharType="begin" w:fldLock="1"/>
      </w:r>
      <w:r w:rsidR="00142294" w:rsidRPr="00F6627D">
        <w:rPr>
          <w:rFonts w:asciiTheme="majorBidi" w:hAnsiTheme="majorBidi" w:cstheme="majorBidi"/>
        </w:rPr>
        <w:instrText>ADDIN CSL_CITATION {"citationItems":[{"id":"ITEM-1","itemData":{"DOI":"10.36312/jisip.v5i1.1726","ISSN":"2598-9944","abstract":"Extradition is known as the process of sending a person who is a defendant or convict who has fled abroad to avoid punishment or trial proceedings. Extradition can be carried out on the basis that the two countries already have previous extradition treaties or based on the principle of reciprocity. It is not uncommon for a country to refuse to hand over a defendant to the applicant's country for various reasons. For example in the case of Maria Lumowa, a fugitive in the bank burglary case for 17 years who was finally extradited back to Indonesia from Serbia. The two countries have never previously entered into an extradition treaty. However, Serbia has a good intention to extradite Maria based on the historical closeness of the two countries' longstanding bilateral relations, as well as remuneration to Indonesia for granting Serbia's extradition request against the perpetrator of theft of customer data in 2015. It can be seen that extradition is not always about having an agreement in order to work, but also seeing the goodwill of the requested country.","author":[{"dropping-particle":"","family":"Komara","given":"Stevani","non-dropping-particle":"","parse-names":false,"suffix":""}],"container-title":"JISIP (Jurnal Ilmu Sosial dan Pendidikan)","id":"ITEM-1","issue":"1","issued":{"date-parts":[["2021"]]},"page":"374-378","title":"Penerapan Asas Resiprositas (Timbal Balik) Dalam Proses Ekstradisi: Studi Kasus Maria Lumowa","type":"article-journal","volume":"5"},"uris":["http://www.mendeley.com/documents/?uuid=28b28ee0-815e-4be7-b6ea-c3eec67b3a9e"]}],"mendeley":{"formattedCitation":"Stevani Komara, “Penerapan Asas Resiprositas (Timbal Balik) Dalam Proses Ekstradisi: Studi Kasus Maria Lumowa,” &lt;i&gt;JISIP (Jurnal Ilmu Sosial Dan Pendidikan)&lt;/i&gt; 5, no. 1 (2021): 374–78, https://doi.org/10.36312/jisip.v5i1.1726.","plainTextFormattedCitation":"Stevani Komara, “Penerapan Asas Resiprositas (Timbal Balik) Dalam Proses Ekstradisi: Studi Kasus Maria Lumowa,” JISIP (Jurnal Ilmu Sosial Dan Pendidikan) 5, no. 1 (2021): 374–78, https://doi.org/10.36312/jisip.v5i1.1726.","previouslyFormattedCitation":"Stevani Komara, “Penerapan Asas Resiprositas (Timbal Balik) Dalam Proses Ekstradisi: Studi Kasus Maria Lumowa,” &lt;i&gt;JISIP (Jurnal Ilmu Sosial Dan Pendidikan)&lt;/i&gt; 5, no. 1 (2021): 374–78, https://doi.org/10.36312/jisip.v5i1.1726."},"properties":{"noteIndex":67},"schema":"https://github.com/citation-style-language/schema/raw/master/csl-citation.json"}</w:instrText>
      </w:r>
      <w:r w:rsidR="002F6095" w:rsidRPr="00F6627D">
        <w:rPr>
          <w:rFonts w:asciiTheme="majorBidi" w:hAnsiTheme="majorBidi" w:cstheme="majorBidi"/>
        </w:rPr>
        <w:fldChar w:fldCharType="separate"/>
      </w:r>
      <w:r w:rsidR="00201F1F" w:rsidRPr="00F6627D">
        <w:rPr>
          <w:rFonts w:asciiTheme="majorBidi" w:hAnsiTheme="majorBidi" w:cstheme="majorBidi"/>
          <w:noProof/>
        </w:rPr>
        <w:t xml:space="preserve">Stevani Komara, “Penerapan Asas Resiprositas (Timbal Balik) Dalam Proses Ekstradisi: Studi Kasus Maria Lumowa,” </w:t>
      </w:r>
      <w:r w:rsidR="00201F1F" w:rsidRPr="00F6627D">
        <w:rPr>
          <w:rFonts w:asciiTheme="majorBidi" w:hAnsiTheme="majorBidi" w:cstheme="majorBidi"/>
          <w:i/>
          <w:noProof/>
        </w:rPr>
        <w:t>JISIP (Jurnal Ilmu Sosial Dan Pendidikan)</w:t>
      </w:r>
      <w:r w:rsidR="00201F1F" w:rsidRPr="00F6627D">
        <w:rPr>
          <w:rFonts w:asciiTheme="majorBidi" w:hAnsiTheme="majorBidi" w:cstheme="majorBidi"/>
          <w:noProof/>
        </w:rPr>
        <w:t xml:space="preserve"> 5, no. 1 (2021): 374–78, https://doi.org/10.36312/jisip.v5i1.1726.</w:t>
      </w:r>
      <w:r w:rsidR="002F6095" w:rsidRPr="00F6627D">
        <w:rPr>
          <w:rFonts w:asciiTheme="majorBidi" w:hAnsiTheme="majorBidi" w:cstheme="majorBidi"/>
        </w:rPr>
        <w:fldChar w:fldCharType="end"/>
      </w:r>
    </w:p>
  </w:footnote>
  <w:footnote w:id="68">
    <w:p w14:paraId="753655DC" w14:textId="609495F7" w:rsidR="002F6095" w:rsidRPr="00F6627D" w:rsidRDefault="002F6095"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142294" w:rsidRPr="00F6627D">
        <w:rPr>
          <w:rFonts w:asciiTheme="majorBidi" w:hAnsiTheme="majorBidi" w:cstheme="majorBidi"/>
        </w:rPr>
        <w:instrText>ADDIN CSL_CITATION {"citationItems":[{"id":"ITEM-1","itemData":{"abstract":"… , sehingga bukanlah hal yang mustahil bila terjadi perkawinan antar manusia yang mempunyai kewarganegaraan yang berbeda yaitu antara warga negara Indonesia (WNI) dengan …","author":[{"dropping-particle":"","family":"Susilo","given":"A P","non-dropping-particle":"","parse-names":false,"suffix":""},{"dropping-particle":"","family":"Aminah","given":"H W","non-dropping-particle":"","parse-names":false,"suffix":""}],"container-title":"Diponegoro Law Journal","id":"ITEM-1","issue":"1","issued":{"date-parts":[["2017"]]},"page":"1-13","title":"Aspek Asas Resiprositas Dalam Pengakuan Sahnya Perkawinan Campuran Antara Warga Negara Indonesia Dengan Warga Negara Asing","type":"article-journal","volume":"6"},"uris":["http://www.mendeley.com/documents/?uuid=6bae3951-235d-4fa8-b54b-05b2cccb2afa"]}],"mendeley":{"formattedCitation":"A P Susilo and H W Aminah, “Aspek Asas Resiprositas Dalam Pengakuan Sahnya Perkawinan Campuran Antara Warga Negara Indonesia Dengan Warga Negara Asing,” &lt;i&gt;Diponegoro Law Journal&lt;/i&gt; 6, no. 1 (2017): 1–13, https://ejournal3.undip.ac.id/index.php/dlr/article/view/15665.","plainTextFormattedCitation":"A P Susilo and H W Aminah, “Aspek Asas Resiprositas Dalam Pengakuan Sahnya Perkawinan Campuran Antara Warga Negara Indonesia Dengan Warga Negara Asing,” Diponegoro Law Journal 6, no. 1 (2017): 1–13, https://ejournal3.undip.ac.id/index.php/dlr/article/view/15665.","previouslyFormattedCitation":"A P Susilo and H W Aminah, “Aspek Asas Resiprositas Dalam Pengakuan Sahnya Perkawinan Campuran Antara Warga Negara Indonesia Dengan Warga Negara Asing,” &lt;i&gt;Diponegoro Law Journal&lt;/i&gt; 6, no. 1 (2017): 1–13, https://ejournal3.undip.ac.id/index.php/dlr/article/view/15665."},"properties":{"noteIndex":68},"schema":"https://github.com/citation-style-language/schema/raw/master/csl-citation.json"}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A P Susilo and H W Aminah, “Aspek Asas Resiprositas Dalam Pengakuan Sahnya Perkawinan Campuran Antara Warga Negara Indonesia Dengan Warga Negara Asing,” </w:t>
      </w:r>
      <w:r w:rsidRPr="00F6627D">
        <w:rPr>
          <w:rFonts w:asciiTheme="majorBidi" w:hAnsiTheme="majorBidi" w:cstheme="majorBidi"/>
          <w:i/>
          <w:noProof/>
        </w:rPr>
        <w:t>Diponegoro Law Journal</w:t>
      </w:r>
      <w:r w:rsidRPr="00F6627D">
        <w:rPr>
          <w:rFonts w:asciiTheme="majorBidi" w:hAnsiTheme="majorBidi" w:cstheme="majorBidi"/>
          <w:noProof/>
        </w:rPr>
        <w:t xml:space="preserve"> 6, no. 1 (2017): 1–13, https://ejournal3.undip.ac.id/index.php/dlr/article/view/15665.</w:t>
      </w:r>
      <w:r w:rsidRPr="00F6627D">
        <w:rPr>
          <w:rFonts w:asciiTheme="majorBidi" w:hAnsiTheme="majorBidi" w:cstheme="majorBidi"/>
        </w:rPr>
        <w:fldChar w:fldCharType="end"/>
      </w:r>
      <w:r w:rsidRPr="00F6627D">
        <w:rPr>
          <w:rFonts w:asciiTheme="majorBidi" w:hAnsiTheme="majorBidi" w:cstheme="majorBidi"/>
        </w:rPr>
        <w:fldChar w:fldCharType="begin" w:fldLock="1"/>
      </w:r>
      <w:r w:rsidR="00142294" w:rsidRPr="00F6627D">
        <w:rPr>
          <w:rFonts w:asciiTheme="majorBidi" w:hAnsiTheme="majorBidi" w:cstheme="majorBidi"/>
        </w:rPr>
        <w:instrText>ADDIN CSL_CITATION {"citationItems":[{"id":"ITEM-1","itemData":{"DOI":"10.54629/jli.v17i2.654","ISSN":"0216-1338","abstract":"As a sovereign state part of the international community, Indonesia has independence from other countries. Therefore, Indonesia also needs to apply the principles of international law in taking the country policy. One of these principles is the principle of reciprocity and the principle of benefits. The principle of reciprocity implies that if a country wants good treatment from another country, then the country concerned must also give good treatment to another country. Whereas the principles of the merit provide benefits and do not endanger security and order to be allowed into Indonesian territory. Therefore, Indonesia issued a policy through Presidential Regulation Number 21 of 2016 on Visit Visa Exemption. If it is associated with the case of the spread of the coronavirus which has recently been widespread and unsettling the international community, then Indonesia's sovereignty is challenged by both principles (reciprocity and benefit). Besides, the policy of granting a Visit Visa Exemption needs to be evaluated based on both principles, especially regarding the number of countries that are granted a Visit Visa Exemption.","author":[{"dropping-particle":"","family":"Indaryanto","given":"Wisnu","non-dropping-particle":"","parse-names":false,"suffix":""}],"container-title":"Jurnal Legislasi Indonesia","id":"ITEM-1","issue":"2","issued":{"date-parts":[["2020"]]},"page":"121","title":"Kedaulatan Indonesia Diantara Virus Corona Versus Asas Resiprositas Dan Asas Manfaat (Tinjauan Yuridis Perturan Presiden Nomor 21 Tahun 2016 Tentang Bebas Visa Kunjungan)","type":"article-journal","volume":"17"},"uris":["http://www.mendeley.com/documents/?uuid=d5c64acc-fca2-491b-9ce9-ea545c9ed953"]}],"mendeley":{"formattedCitation":"Wisnu Indaryanto, “Kedaulatan Indonesia Diantara Virus Corona Versus Asas Resiprositas Dan Asas Manfaat (Tinjauan Yuridis Perturan Presiden Nomor 21 Tahun 2016 Tentang Bebas Visa Kunjungan),” &lt;i&gt;Jurnal Legislasi Indonesia&lt;/i&gt; 17, no. 2 (2020): 121, https://doi.org/10.54629/jli.v17i2.654.","plainTextFormattedCitation":"Wisnu Indaryanto, “Kedaulatan Indonesia Diantara Virus Corona Versus Asas Resiprositas Dan Asas Manfaat (Tinjauan Yuridis Perturan Presiden Nomor 21 Tahun 2016 Tentang Bebas Visa Kunjungan),” Jurnal Legislasi Indonesia 17, no. 2 (2020): 121, https://doi.org/10.54629/jli.v17i2.654.","previouslyFormattedCitation":"Wisnu Indaryanto, “Kedaulatan Indonesia Diantara Virus Corona Versus Asas Resiprositas Dan Asas Manfaat (Tinjauan Yuridis Perturan Presiden Nomor 21 Tahun 2016 Tentang Bebas Visa Kunjungan),” &lt;i&gt;Jurnal Legislasi Indonesia&lt;/i&gt; 17, no. 2 (2020): 121, https://doi.org/10.54629/jli.v17i2.654."},"properties":{"noteIndex":68},"schema":"https://github.com/citation-style-language/schema/raw/master/csl-citation.json"}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Wisnu Indaryanto, “Kedaulatan Indonesia Diantara Virus Corona Versus Asas Resiprositas Dan Asas Manfaat (Tinjauan Yuridis Perturan Presiden Nomor 21 Tahun 2016 Tentang Bebas Visa Kunjungan),” </w:t>
      </w:r>
      <w:r w:rsidR="00201F1F" w:rsidRPr="00F6627D">
        <w:rPr>
          <w:rFonts w:asciiTheme="majorBidi" w:hAnsiTheme="majorBidi" w:cstheme="majorBidi"/>
          <w:i/>
          <w:noProof/>
        </w:rPr>
        <w:t>Jurnal Legislasi Indonesia</w:t>
      </w:r>
      <w:r w:rsidR="00201F1F" w:rsidRPr="00F6627D">
        <w:rPr>
          <w:rFonts w:asciiTheme="majorBidi" w:hAnsiTheme="majorBidi" w:cstheme="majorBidi"/>
          <w:noProof/>
        </w:rPr>
        <w:t xml:space="preserve"> 17, no. 2 (2020): 121, https://doi.org/10.54629/jli.v17i2.654.</w:t>
      </w:r>
      <w:r w:rsidRPr="00F6627D">
        <w:rPr>
          <w:rFonts w:asciiTheme="majorBidi" w:hAnsiTheme="majorBidi" w:cstheme="majorBidi"/>
        </w:rPr>
        <w:fldChar w:fldCharType="end"/>
      </w:r>
    </w:p>
  </w:footnote>
  <w:footnote w:id="69">
    <w:p w14:paraId="24DF6BD1" w14:textId="40649099" w:rsidR="00661AFC" w:rsidRPr="00F6627D" w:rsidRDefault="00661AFC"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142294" w:rsidRPr="00F6627D">
        <w:rPr>
          <w:rFonts w:asciiTheme="majorBidi" w:hAnsiTheme="majorBidi" w:cstheme="majorBidi"/>
        </w:rPr>
        <w:instrText>ADDIN CSL_CITATION {"citationItems":[{"id":"ITEM-1","itemData":{"DOI":"10.15294/lesrev.v6i1.55092","ISSN":"25989685","abstract":"The regulation of social processes is part of a state’s sovereignty. States apply their law to shape and control social and economic conditions within their territory. Law as an instrument for coordinating human behaviour and for balancing colliding interests within the society is linked to human behaviour, either individually or within human organisations. The basic prerequisite for the existence of law is human interaction based on emotions, desires, and the pursuit of interests. Law and trust (interpersonal trust or system trust) are connected to each other. This leads to the assumption that law loses its relevance with a decrease of the relevance of trust. This article explores the question of which factors of current and future digitalisation could lead to a loss of the relevance of trust and of the relevance of the aspect of human behaviour as a connecting factor for legal norms. The article concludes that technological globalisation and ubiquity of the internet have already led to a loss of state territorial sovereignty. This has resulted in the diminution of system trust in law. The article further shows how digitalisation is pushing back the relevance of human behaviour and emotionality and, therefore, technicity is increasingly displacing law. The article describes the connection between deterritorialization and the development of new disruptive digital technologies and asks about the future role of ethics in the legal system of an advanced digitalised society. The development of concrete solutions and legislative proposals is subject to further studies.","author":[{"dropping-particle":"","family":"Koos","given":"Stefan","non-dropping-particle":"","parse-names":false,"suffix":""}],"container-title":"Lex Scientia Law Review","id":"ITEM-1","issue":"1","issued":{"date-parts":[["2022"]]},"page":"33-68","title":"Digital globalization and law","type":"article-journal","volume":"6"},"uris":["http://www.mendeley.com/documents/?uuid=fea06957-42d4-42fa-a7d8-7891cb940839"]}],"mendeley":{"formattedCitation":"Stefan Koos, “Digital Globalization and Law,” &lt;i&gt;Lex Scientia Law Review&lt;/i&gt; 6, no. 1 (2022): 33–68, https://doi.org/10.15294/lesrev.v6i1.55092.","plainTextFormattedCitation":"Stefan Koos, “Digital Globalization and Law,” Lex Scientia Law Review 6, no. 1 (2022): 33–68, https://doi.org/10.15294/lesrev.v6i1.55092.","previouslyFormattedCitation":"Stefan Koos, “Digital Globalization and Law,” &lt;i&gt;Lex Scientia Law Review&lt;/i&gt; 6, no. 1 (2022): 33–68, https://doi.org/10.15294/lesrev.v6i1.55092."},"properties":{"noteIndex":69},"schema":"https://github.com/citation-style-language/schema/raw/master/csl-citation.json"}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Stefan Koos, “Digital Globalization and Law,” </w:t>
      </w:r>
      <w:r w:rsidR="00201F1F" w:rsidRPr="00F6627D">
        <w:rPr>
          <w:rFonts w:asciiTheme="majorBidi" w:hAnsiTheme="majorBidi" w:cstheme="majorBidi"/>
          <w:i/>
          <w:noProof/>
        </w:rPr>
        <w:t>Lex Scientia Law Review</w:t>
      </w:r>
      <w:r w:rsidR="00201F1F" w:rsidRPr="00F6627D">
        <w:rPr>
          <w:rFonts w:asciiTheme="majorBidi" w:hAnsiTheme="majorBidi" w:cstheme="majorBidi"/>
          <w:noProof/>
        </w:rPr>
        <w:t xml:space="preserve"> 6, no. 1 (2022): 33–68, https://doi.org/10.15294/lesrev.v6i1.55092.</w:t>
      </w:r>
      <w:r w:rsidRPr="00F6627D">
        <w:rPr>
          <w:rFonts w:asciiTheme="majorBidi" w:hAnsiTheme="majorBidi" w:cstheme="majorBidi"/>
        </w:rPr>
        <w:fldChar w:fldCharType="end"/>
      </w:r>
    </w:p>
  </w:footnote>
  <w:footnote w:id="70">
    <w:p w14:paraId="590CAF24" w14:textId="6676519B" w:rsidR="00142294" w:rsidRPr="00F6627D" w:rsidRDefault="00142294"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Pr="00F6627D">
        <w:rPr>
          <w:rFonts w:asciiTheme="majorBidi" w:hAnsiTheme="majorBidi" w:cstheme="majorBidi"/>
        </w:rPr>
        <w:instrText>ADDIN CSL_CITATION {"citationItems":[{"id":"ITEM-1","itemData":{"author":[{"dropping-particle":"","family":"Ridwan Khairandy","given":"","non-dropping-particle":"","parse-names":false,"suffix":""}],"id":"ITEM-1","issued":{"date-parts":[["2007"]]},"publisher":"UII Press","publisher-place":"Yogyakarta","title":"Pengantar Hukum Perdata Internasional","type":"book"},"uris":["http://www.mendeley.com/documents/?uuid=e6a96a29-f5b6-42b3-ac8d-4f69534f84cc"]}],"mendeley":{"formattedCitation":"Ridwan Khairandy, &lt;i&gt;Pengantar Hukum Perdata Internasional&lt;/i&gt; (Yogyakarta: UII Press, 2007).","manualFormatting":"Ridwan Khairandy, Pengantar Hukum Perdata Internasional (Yogyakarta: UII Press, 2007), 21-22.","plainTextFormattedCitation":"Ridwan Khairandy, Pengantar Hukum Perdata Internasional (Yogyakarta: UII Press, 2007).","previouslyFormattedCitation":"Ridwan Khairandy, &lt;i&gt;Pengantar Hukum Perdata Internasional&lt;/i&gt; (Yogyakarta: UII Press, 2007)."},"properties":{"noteIndex":70},"schema":"https://github.com/citation-style-language/schema/raw/master/csl-citation.json"}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Ridwan Khairandy, </w:t>
      </w:r>
      <w:r w:rsidRPr="00F6627D">
        <w:rPr>
          <w:rFonts w:asciiTheme="majorBidi" w:hAnsiTheme="majorBidi" w:cstheme="majorBidi"/>
          <w:i/>
          <w:noProof/>
        </w:rPr>
        <w:t>Pengantar Hukum Perdata Internasional</w:t>
      </w:r>
      <w:r w:rsidRPr="00F6627D">
        <w:rPr>
          <w:rFonts w:asciiTheme="majorBidi" w:hAnsiTheme="majorBidi" w:cstheme="majorBidi"/>
          <w:noProof/>
        </w:rPr>
        <w:t xml:space="preserve"> (Yogyakarta: UII Press, 2007), 21-22.</w:t>
      </w:r>
      <w:r w:rsidRPr="00F6627D">
        <w:rPr>
          <w:rFonts w:asciiTheme="majorBidi" w:hAnsiTheme="majorBidi" w:cstheme="majorBidi"/>
        </w:rPr>
        <w:fldChar w:fldCharType="end"/>
      </w:r>
    </w:p>
  </w:footnote>
  <w:footnote w:id="71">
    <w:p w14:paraId="1BA23F99" w14:textId="2D79AF8C" w:rsidR="00142294" w:rsidRPr="00F6627D" w:rsidRDefault="00142294"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{"citationItems":[{"id":"ITEM-1","itemData":{"author":[{"dropping-particle":"","family":"Bayu Seto Hardjowahono","given":"","non-dropping-particle":"","parse-names":false,"suffix":""}],"edition":"Edisi Keem","id":"ITEM-1","issued":{"date-parts":[["2006"]]},"publisher-place":"Bandung","title":"Dasar-Dasar Hukum Perdata Internasional Buku Kesatu","type":"book"},"uris":["http://www.mendeley.com/documents/?uuid=068cb83a-ef7f-4e3a-bfd2-42faa0e9566a"]}],"mendeley":{"formattedCitation":"Bayu Seto Hardjowahono, &lt;i&gt;Dasar-Dasar Hukum Perdata Internasional Buku Kesatu&lt;/i&gt;.","manualFormatting":"Bayu Seto Hardjowahono, Dasar-Dasar Hukum Perdata Internasional Buku Kesatu, 33.","plainTextFormattedCitation":"Bayu Seto Hardjowahono, Dasar-Dasar Hukum Perdata Internasional Buku Kesatu.","previouslyFormattedCitation":"Bayu Seto Hardjowahono, &lt;i&gt;Dasar-Dasar Hukum Perdata Internasional Buku Kesatu&lt;/i&gt;."},"properties":{"noteIndex":71},"schema":"https://github.com/citation-style-language/schema/raw/master/csl-citation.json"}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Bayu Seto Hardjowahono, </w:t>
      </w:r>
      <w:r w:rsidRPr="00F6627D">
        <w:rPr>
          <w:rFonts w:asciiTheme="majorBidi" w:hAnsiTheme="majorBidi" w:cstheme="majorBidi"/>
          <w:i/>
          <w:noProof/>
        </w:rPr>
        <w:t>Dasar-Dasar Hukum Perdata Internasional Buku Kesatu,</w:t>
      </w:r>
      <w:r w:rsidRPr="00F6627D">
        <w:rPr>
          <w:rFonts w:asciiTheme="majorBidi" w:hAnsiTheme="majorBidi" w:cstheme="majorBidi"/>
          <w:iCs/>
          <w:noProof/>
        </w:rPr>
        <w:t xml:space="preserve"> 33</w:t>
      </w:r>
      <w:r w:rsidRPr="00F6627D">
        <w:rPr>
          <w:rFonts w:asciiTheme="majorBidi" w:hAnsiTheme="majorBidi" w:cstheme="majorBidi"/>
          <w:noProof/>
        </w:rPr>
        <w:t>.</w:t>
      </w:r>
      <w:r w:rsidRPr="00F6627D">
        <w:rPr>
          <w:rFonts w:asciiTheme="majorBidi" w:hAnsiTheme="majorBidi" w:cstheme="majorBidi"/>
        </w:rPr>
        <w:fldChar w:fldCharType="end"/>
      </w:r>
    </w:p>
  </w:footnote>
  <w:footnote w:id="72">
    <w:p w14:paraId="050D0D5C" w14:textId="611DB116" w:rsidR="00FC163A" w:rsidRPr="00F6627D" w:rsidRDefault="00FC163A"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{"citationItems":[{"id":"ITEM-1","itemData":{"ISBN":"9781108609654","author":[{"dropping-particle":"","family":"Jan Klabbers","given":"Gianluigi Palombella","non-dropping-particle":"","parse-names":false,"suffix":""}],"container-title":"The Challenge of Inter-Legality","editor":[{"dropping-particle":"","family":"Jan Klabbers","given":"Gianluigi Palombella","non-dropping-particle":"","parse-names":false,"suffix":""}],"id":"ITEM-1","issued":{"date-parts":[["2019"]]},"page":"1-20","publisher":"Cambridge University Press","publisher-place":"United Kingdom","title":"Situating Inter-Legality","type":"chapter"},"uris":["http://www.mendeley.com/documents/?uuid=f19129fb-7fa1-492c-b333-17a4c4e8fffa"]}],"mendeley":{"formattedCitation":"Gianluigi Palombella Jan Klabbers, “Situating Inter-Legality,” in &lt;i&gt;The Challenge of Inter-Legality&lt;/i&gt;, ed. Gianluigi Palombella Jan Klabbers (United Kingdom: Cambridge University Press, 2019), 1–20.","plainTextFormattedCitation":"Gianluigi Palombella Jan Klabbers, “Situating Inter-Legality,” in The Challenge of Inter-Legality, ed. Gianluigi Palombella Jan Klabbers (United Kingdom: Cambridge University Press, 2019), 1–20.","previouslyFormattedCitation":"Gianluigi Palombella Jan Klabbers, “Situating Inter-Legality,” in &lt;i&gt;The Challenge of Inter-Legality&lt;/i&gt;, ed. Gianluigi Palombella Jan Klabbers (United Kingdom: Cambridge University Press, 2019), 1–20."},"properties":{"noteIndex":72},"schema":"https://github.com/citation-style-language/schema/raw/master/csl-citation.json"}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Gianluigi Palombella Jan Klabbers, “Situating Inter-Legality,” in </w:t>
      </w:r>
      <w:r w:rsidRPr="00F6627D">
        <w:rPr>
          <w:rFonts w:asciiTheme="majorBidi" w:hAnsiTheme="majorBidi" w:cstheme="majorBidi"/>
          <w:i/>
          <w:noProof/>
        </w:rPr>
        <w:t>The Challenge of Inter-Legality</w:t>
      </w:r>
      <w:r w:rsidRPr="00F6627D">
        <w:rPr>
          <w:rFonts w:asciiTheme="majorBidi" w:hAnsiTheme="majorBidi" w:cstheme="majorBidi"/>
          <w:noProof/>
        </w:rPr>
        <w:t>, ed. Gianluigi Palombella Jan Klabbers (United Kingdom: Cambridge University Press, 2019), 1–20.</w:t>
      </w:r>
      <w:r w:rsidRPr="00F6627D">
        <w:rPr>
          <w:rFonts w:asciiTheme="majorBidi" w:hAnsiTheme="majorBidi" w:cstheme="majorBidi"/>
        </w:rPr>
        <w:fldChar w:fldCharType="end"/>
      </w:r>
    </w:p>
  </w:footnote>
  <w:footnote w:id="73">
    <w:p w14:paraId="03B30A0E" w14:textId="6041DA0F" w:rsidR="00025DF4" w:rsidRPr="00F6627D" w:rsidRDefault="00025DF4"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{"citationItems":[{"id":"ITEM-1","itemData":{"abstract":"Lawmakers and scholars are so busy looking for new ways to develop a Euro-pean private law that they are failing to see the virtues of an already existing private law harmonisation tool. This tool is the requirement of interpretation in conformity with directives as it has been designed by the Court of Justice in Marleasing and its progeny. In this paper, it is submitted that this case law operating at the level of rules on legal reasoning, and not at the level of substantive law, is a far more sophisticated means of private law harmonisation than all the measures discussed in the last years. Namely, the requirement of interpretation in conformity with directives is allowing the Common Market to develop coherently without neglecting the significance of national legal cultures. How this difficult equilibrium between harmonisation and legal pluralism might be maintained by the tool the Court of Justice developed in Marleasing is explained in this paper with the help of evolutionary jurisprudence.","author":[{"dropping-particle":"","family":"Amstutz","given":"Marc","non-dropping-particle":"","parse-names":false,"suffix":""}],"container-title":"European Law Journal","id":"ITEM-1","issue":"6","issued":{"date-parts":[["2005"]]},"page":"437","title":"In-Between Worlds: Marleasing and the Emergence of Interlegality in Legal Reasoning","type":"article-journal","volume":"11"},"uris":["http://www.mendeley.com/documents/?uuid=e4bce736-68b3-43b6-8d86-1401c4957052"]}],"mendeley":{"formattedCitation":"Marc Amstutz, “In-Between Worlds: Marleasing and the Emergence of Interlegality in Legal Reasoning,” &lt;i&gt;European Law Journal&lt;/i&gt; 11, no. 6 (2005): 437.","plainTextFormattedCitation":"Marc Amstutz, “In-Between Worlds: Marleasing and the Emergence of Interlegality in Legal Reasoning,” European Law Journal 11, no. 6 (2005): 437.","previouslyFormattedCitation":"Marc Amstutz, “In-Between Worlds: Marleasing and the Emergence of Interlegality in Legal Reasoning,” &lt;i&gt;European Law Journal&lt;/i&gt; 11, no. 6 (2005): 437."},"properties":{"noteIndex":73},"schema":"https://github.com/citation-style-language/schema/raw/master/csl-citation.json"}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Marc Amstutz, “In-Between Worlds: Marleasing and the Emergence of Interlegality in Legal Reasoning,” </w:t>
      </w:r>
      <w:r w:rsidRPr="00F6627D">
        <w:rPr>
          <w:rFonts w:asciiTheme="majorBidi" w:hAnsiTheme="majorBidi" w:cstheme="majorBidi"/>
          <w:i/>
          <w:noProof/>
        </w:rPr>
        <w:t>European Law Journal</w:t>
      </w:r>
      <w:r w:rsidRPr="00F6627D">
        <w:rPr>
          <w:rFonts w:asciiTheme="majorBidi" w:hAnsiTheme="majorBidi" w:cstheme="majorBidi"/>
          <w:noProof/>
        </w:rPr>
        <w:t xml:space="preserve"> 11, no. 6 (2005): 437.</w:t>
      </w:r>
      <w:r w:rsidRPr="00F6627D">
        <w:rPr>
          <w:rFonts w:asciiTheme="majorBidi" w:hAnsiTheme="majorBidi" w:cstheme="majorBidi"/>
        </w:rPr>
        <w:fldChar w:fldCharType="end"/>
      </w:r>
    </w:p>
  </w:footnote>
  <w:footnote w:id="74">
    <w:p w14:paraId="0331D4CB" w14:textId="60B089EB" w:rsidR="008A60B3" w:rsidRPr="00F6627D" w:rsidRDefault="008A60B3"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{"citationItems":[{"id":"ITEM-1","itemData":{"DOI":"10.1080/07329113.2005.10756585","ISSN":"07329113","abstract":"Local, national and international legal orders affect each other continuously through the selective ways people choose to use them. The neologism ‘interlegality’ will be used to cover this process where local law usually yields to the superior force of a dominant national system and adopts many features of the majority law; but there is also a ‘reverse interlegality’ when the local legal sensibilities and practices in some respects affect the dominant ones. In this article the concept of interlegality is set out, and an introduction given to a collection of papers containing three sets of reflections on legal encounters and interlegality between a minority culture and a majority culture. Acton analyses the legal position of the Travellers (Gypsies) under state law in the UK and contextualizes this in terms of a general discussion of how Gypsy law interacts with state law among different groups of Gypsies in various parts of the world. Svensson gives a similar analysis for the Sámi in Norway. Proulx provides a striking Canadian example of reverse interlegality by showing how local Aboriginal justice affects non-Aboriginal national justice through the channels of new institutions. © 2005, André J. Hoekema.","author":[{"dropping-particle":"","family":"Hoekema","given":"André J.","non-dropping-particle":"","parse-names":false,"suffix":""}],"container-title":"Journal of Legal Pluralism and Unofficial Law","id":"ITEM-1","issue":"51","issued":{"date-parts":[["2005"]]},"page":"1-28","title":"European legal encounters between minority and majority cultures: Cases of interlegality","type":"article-journal","volume":"37"},"uris":["http://www.mendeley.com/documents/?uuid=1e6fb99c-25b6-41c5-8f54-b672aa91f06c"]}],"mendeley":{"formattedCitation":"André J. Hoekema, “European Legal Encounters between Minority and Majority Cultures: Cases of Interlegality,” &lt;i&gt;Journal of Legal Pluralism and Unofficial Law&lt;/i&gt; 37, no. 51 (2005): 1–28, https://doi.org/10.1080/07329113.2005.10756585.","plainTextFormattedCitation":"André J. Hoekema, “European Legal Encounters between Minority and Majority Cultures: Cases of Interlegality,” Journal of Legal Pluralism and Unofficial Law 37, no. 51 (2005): 1–28, https://doi.org/10.1080/07329113.2005.10756585.","previouslyFormattedCitation":"André J. Hoekema, “European Legal Encounters between Minority and Majority Cultures: Cases of Interlegality,” &lt;i&gt;Journal of Legal Pluralism and Unofficial Law&lt;/i&gt; 37, no. 51 (2005): 1–28, https://doi.org/10.1080/07329113.2005.10756585."},"properties":{"noteIndex":74},"schema":"https://github.com/citation-style-language/schema/raw/master/csl-citation.json"}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André J. Hoekema, “European Legal Encounters between Minority and Majority Cultures: Cases of Interlegality,” </w:t>
      </w:r>
      <w:r w:rsidR="00201F1F" w:rsidRPr="00F6627D">
        <w:rPr>
          <w:rFonts w:asciiTheme="majorBidi" w:hAnsiTheme="majorBidi" w:cstheme="majorBidi"/>
          <w:i/>
          <w:noProof/>
        </w:rPr>
        <w:t>Journal of Legal Pluralism and Unofficial Law</w:t>
      </w:r>
      <w:r w:rsidR="00201F1F" w:rsidRPr="00F6627D">
        <w:rPr>
          <w:rFonts w:asciiTheme="majorBidi" w:hAnsiTheme="majorBidi" w:cstheme="majorBidi"/>
          <w:noProof/>
        </w:rPr>
        <w:t xml:space="preserve"> 37, no. 51 (2005): 1–28, https://doi.org/10.1080/07329113.2005.10756585.</w:t>
      </w:r>
      <w:r w:rsidRPr="00F6627D">
        <w:rPr>
          <w:rFonts w:asciiTheme="majorBidi" w:hAnsiTheme="majorBidi" w:cstheme="majorBidi"/>
        </w:rPr>
        <w:fldChar w:fldCharType="end"/>
      </w:r>
    </w:p>
  </w:footnote>
  <w:footnote w:id="75">
    <w:p w14:paraId="2C8868ED" w14:textId="421C8C3D" w:rsidR="00025DF4" w:rsidRPr="00F6627D" w:rsidRDefault="00025DF4"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{"citationItems":[{"id":"ITEM-1","itemData":{"ISSN":"00239186","author":[{"dropping-particle":"","family":"Wai","given":"Robert","non-dropping-particle":"","parse-names":false,"suffix":""}],"container-title":"Law and Contemporary Problems","id":"ITEM-1","issue":"3","issued":{"date-parts":[["2008"]]},"page":"107-127","title":"The interlegality of transnational private law","type":"article-journal","volume":"71"},"uris":["http://www.mendeley.com/documents/?uuid=16bccae4-b509-44a8-9ebd-15107ed7dbb8"]}],"mendeley":{"formattedCitation":"Robert Wai, “The Interlegality of Transnational Private Law,” &lt;i&gt;Law and Contemporary Problems&lt;/i&gt; 71, no. 3 (2008): 107–27.","plainTextFormattedCitation":"Robert Wai, “The Interlegality of Transnational Private Law,” Law and Contemporary Problems 71, no. 3 (2008): 107–27.","previouslyFormattedCitation":"Robert Wai, “The Interlegality of Transnational Private Law,” &lt;i&gt;Law and Contemporary Problems&lt;/i&gt; 71, no. 3 (2008): 107–27."},"properties":{"noteIndex":75},"schema":"https://github.com/citation-style-language/schema/raw/master/csl-citation.json"}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Robert Wai, “The Interlegality of Transnational Private Law,” </w:t>
      </w:r>
      <w:r w:rsidR="00201F1F" w:rsidRPr="00F6627D">
        <w:rPr>
          <w:rFonts w:asciiTheme="majorBidi" w:hAnsiTheme="majorBidi" w:cstheme="majorBidi"/>
          <w:i/>
          <w:noProof/>
        </w:rPr>
        <w:t>Law and Contemporary Problems</w:t>
      </w:r>
      <w:r w:rsidR="00201F1F" w:rsidRPr="00F6627D">
        <w:rPr>
          <w:rFonts w:asciiTheme="majorBidi" w:hAnsiTheme="majorBidi" w:cstheme="majorBidi"/>
          <w:noProof/>
        </w:rPr>
        <w:t xml:space="preserve"> 71, no. 3 (2008): 107–27.</w:t>
      </w:r>
      <w:r w:rsidRPr="00F6627D">
        <w:rPr>
          <w:rFonts w:asciiTheme="majorBidi" w:hAnsiTheme="majorBidi" w:cstheme="majorBidi"/>
        </w:rPr>
        <w:fldChar w:fldCharType="end"/>
      </w:r>
    </w:p>
  </w:footnote>
  <w:footnote w:id="76">
    <w:p w14:paraId="44ED56CC" w14:textId="67370DFC" w:rsidR="00025DF4" w:rsidRPr="00F6627D" w:rsidRDefault="00025DF4"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{"citationItems":[{"id":"ITEM-1","itemData":{"ISBN":"9781108609654","author":[{"dropping-particle":"","family":"Jan Klabbers","given":"Gianluigi Palombella","non-dropping-particle":"","parse-names":false,"suffix":""}],"container-title":"The Challenge of Inter-Legality","editor":[{"dropping-particle":"","family":"Jan Klabbers","given":"Gianluigi Palombella","non-dropping-particle":"","parse-names":false,"suffix":""}],"id":"ITEM-1","issued":{"date-parts":[["2019"]]},"page":"1-20","publisher":"Cambridge University Press","publisher-place":"United Kingdom","title":"Situating Inter-Legality","type":"chapter"},"uris":["http://www.mendeley.com/documents/?uuid=f19129fb-7fa1-492c-b333-17a4c4e8fffa"]}],"mendeley":{"formattedCitation":"Jan Klabbers, “Situating Inter-Legality.”","plainTextFormattedCitation":"Jan Klabbers, “Situating Inter-Legality.”","previouslyFormattedCitation":"Jan Klabbers, “Situating Inter-Legality.”"},"properties":{"noteIndex":76},"schema":"https://github.com/citation-style-language/schema/raw/master/csl-citation.json"}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Jan Klabbers, “Situating Inter-Legality.”</w:t>
      </w:r>
      <w:r w:rsidRPr="00F6627D">
        <w:rPr>
          <w:rFonts w:asciiTheme="majorBidi" w:hAnsiTheme="majorBidi" w:cstheme="majorBidi"/>
        </w:rPr>
        <w:fldChar w:fldCharType="end"/>
      </w:r>
    </w:p>
  </w:footnote>
  <w:footnote w:id="77">
    <w:p w14:paraId="60C190C9" w14:textId="71F886AE" w:rsidR="004E7417" w:rsidRPr="00F6627D" w:rsidRDefault="004E7417"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{"citationItems":[{"id":"ITEM-1","itemData":{"DOI":"10.4324/9781003253778-3","ISBN":"9781000915914","abstract":"Paradigmatic transition is the idea that ours is a time of transition between the paradigm of modernity, which seems to have exhausted its regenerating capacities, and another, emergent time, of which so far we have seen only signs. Modernity as an ambitious and revolutionary sociocultural paradigm based on a dynamic tension between social regulation and social emancipation, the prevalent dynamic in the sixteenth century, has by the twenty-first century tilted in favour of regulation, to the determent of emancipation. The collapse of emancipation into regulation, and hence the impossibility of thinking about social emancipation consistently, symbolizes the exhaustion of the paradigm of modernity. At the same time, it signals the emergence of a new paradigm or new paradigms. This updated 2020 edition is written for students taking law and globalization courses, and political science, philosophy and sociology students doing optional subjects.","author":[{"dropping-particle":"","family":"Bounventura de Sousa Santos","given":"","non-dropping-particle":"","parse-names":false,"suffix":""}],"container-title":"Leading Works on the Legal Profession","editor":[{"dropping-particle":"","family":"Third Edition","given":"","non-dropping-particle":"","parse-names":false,"suffix":""}],"id":"ITEM-1","issued":{"date-parts":[["2020"]]},"publisher":"Cambridge University Press","publisher-place":"United Kingdom","title":"Toward a New Legal Common Sense: Law, Globalization, and Emancipation","type":"book"},"uris":["http://www.mendeley.com/documents/?uuid=09355dd6-7748-494c-843f-b6f17e5e958e"]}],"mendeley":{"formattedCitation":"Bounventura de Sousa Santos, &lt;i&gt;Toward a New Legal Common Sense: Law, Globalization, and Emancipation&lt;/i&gt;, ed. Third Edition, &lt;i&gt;Leading Works on the Legal Profession&lt;/i&gt; (United Kingdom: Cambridge University Press, 2020), https://doi.org/10.4324/9781003253778-3.","plainTextFormattedCitation":"Bounventura de Sousa Santos, Toward a New Legal Common Sense: Law, Globalization, and Emancipation, ed. Third Edition, Leading Works on the Legal Profession (United Kingdom: Cambridge University Press, 2020), https://doi.org/10.4324/9781003253778-3.","previouslyFormattedCitation":"Bounventura de Sousa Santos, &lt;i&gt;Toward a New Legal Common Sense: Law, Globalization, and Emancipation&lt;/i&gt;, ed. Third Edition, &lt;i&gt;Leading Works on the Legal Profession&lt;/i&gt; (United Kingdom: Cambridge University Press, 2020), https://doi.org/10.4324/9781003253778-3."},"properties":{"noteIndex":77},"schema":"https://github.com/citation-style-language/schema/raw/master/csl-citation.json"}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Bounventura de Sousa Santos, </w:t>
      </w:r>
      <w:r w:rsidR="00201F1F" w:rsidRPr="00F6627D">
        <w:rPr>
          <w:rFonts w:asciiTheme="majorBidi" w:hAnsiTheme="majorBidi" w:cstheme="majorBidi"/>
          <w:i/>
          <w:noProof/>
        </w:rPr>
        <w:t>Toward a New Legal Common Sense: Law, Globalization, and Emancipation</w:t>
      </w:r>
      <w:r w:rsidR="00201F1F" w:rsidRPr="00F6627D">
        <w:rPr>
          <w:rFonts w:asciiTheme="majorBidi" w:hAnsiTheme="majorBidi" w:cstheme="majorBidi"/>
          <w:noProof/>
        </w:rPr>
        <w:t xml:space="preserve">, ed. Third Edition, </w:t>
      </w:r>
      <w:r w:rsidR="00201F1F" w:rsidRPr="00F6627D">
        <w:rPr>
          <w:rFonts w:asciiTheme="majorBidi" w:hAnsiTheme="majorBidi" w:cstheme="majorBidi"/>
          <w:i/>
          <w:noProof/>
        </w:rPr>
        <w:t>Leading Works on the Legal Profession</w:t>
      </w:r>
      <w:r w:rsidR="00201F1F" w:rsidRPr="00F6627D">
        <w:rPr>
          <w:rFonts w:asciiTheme="majorBidi" w:hAnsiTheme="majorBidi" w:cstheme="majorBidi"/>
          <w:noProof/>
        </w:rPr>
        <w:t xml:space="preserve"> (United Kingdom: Cambridge University Press, 2020), https://doi.org/10.4324/9781003253778-3.</w:t>
      </w:r>
      <w:r w:rsidRPr="00F6627D">
        <w:rPr>
          <w:rFonts w:asciiTheme="majorBidi" w:hAnsiTheme="majorBidi" w:cstheme="majorBidi"/>
        </w:rPr>
        <w:fldChar w:fldCharType="end"/>
      </w:r>
    </w:p>
  </w:footnote>
  <w:footnote w:id="78">
    <w:p w14:paraId="746AABF3" w14:textId="29F185AE" w:rsidR="00C026D8" w:rsidRPr="00F6627D" w:rsidRDefault="00C026D8"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{"citationItems":[{"id":"ITEM-1","itemData":{"author":[{"dropping-particle":"","family":"William Twining","given":"","non-dropping-particle":"","parse-names":false,"suffix":""}],"id":"ITEM-1","issued":{"date-parts":[["2000"]]},"publisher":"Butterworths","publisher-place":"London","title":"Globalisation and Legal Theory","type":"book"},"uris":["http://www.mendeley.com/documents/?uuid=72966e79-271c-4ac0-813e-587b0620e7bd"]}],"mendeley":{"formattedCitation":"William Twining, &lt;i&gt;Globalisation and Legal Theory&lt;/i&gt; (London: Butterworths, 2000).","manualFormatting":"William Twining, Globalisation and Legal Theory (London: Butterworths, 2000), hlm.","plainTextFormattedCitation":"William Twining, Globalisation and Legal Theory (London: Butterworths, 2000).","previouslyFormattedCitation":"William Twining, &lt;i&gt;Globalisation and Legal Theory&lt;/i&gt; (London: Butterworths, 2000)."},"properties":{"noteIndex":78},"schema":"https://github.com/citation-style-language/schema/raw/master/csl-citation.json"}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William Twining, </w:t>
      </w:r>
      <w:r w:rsidRPr="00F6627D">
        <w:rPr>
          <w:rFonts w:asciiTheme="majorBidi" w:hAnsiTheme="majorBidi" w:cstheme="majorBidi"/>
          <w:i/>
          <w:noProof/>
        </w:rPr>
        <w:t>Globalisation and Legal Theory</w:t>
      </w:r>
      <w:r w:rsidRPr="00F6627D">
        <w:rPr>
          <w:rFonts w:asciiTheme="majorBidi" w:hAnsiTheme="majorBidi" w:cstheme="majorBidi"/>
          <w:noProof/>
        </w:rPr>
        <w:t xml:space="preserve"> (London: Butterworths, 2000), hlm.</w:t>
      </w:r>
      <w:r w:rsidRPr="00F6627D">
        <w:rPr>
          <w:rFonts w:asciiTheme="majorBidi" w:hAnsiTheme="majorBidi" w:cstheme="majorBidi"/>
        </w:rPr>
        <w:fldChar w:fldCharType="end"/>
      </w:r>
      <w:r w:rsidRPr="00F6627D">
        <w:rPr>
          <w:rFonts w:asciiTheme="majorBidi" w:hAnsiTheme="majorBidi" w:cstheme="majorBidi"/>
        </w:rPr>
        <w:t xml:space="preserve"> 230</w:t>
      </w:r>
    </w:p>
  </w:footnote>
  <w:footnote w:id="79">
    <w:p w14:paraId="4C347C85" w14:textId="765B218A" w:rsidR="00C026D8" w:rsidRPr="00F6627D" w:rsidRDefault="00C026D8"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{"citationItems":[{"id":"ITEM-1","itemData":{"author":[{"dropping-particle":"","family":"William Twining","given":"","non-dropping-particle":"","parse-names":false,"suffix":""}],"container-title":"Harvard International Law Journal","id":"ITEM-1","issue":"501","issued":{"date-parts":[["2006"]]},"title":"Diffusion and Globalization Discourse","type":"article-journal","volume":"47"},"uris":["http://www.mendeley.com/documents/?uuid=d45fb480-4407-4f5e-a78a-ac243621c509"]}],"mendeley":{"formattedCitation":"William Twining, “Diffusion and Globalization Discourse,” &lt;i&gt;Harvard International Law Journal&lt;/i&gt; 47, no. 501 (2006).","manualFormatting":"William Twining, “Diffusion and Globalization Discourse,” Harvard International Law Journal 47, no. 501 (2006), hlm.","plainTextFormattedCitation":"William Twining, “Diffusion and Globalization Discourse,” Harvard International Law Journal 47, no. 501 (2006).","previouslyFormattedCitation":"William Twining, “Diffusion and Globalization Discourse,” &lt;i&gt;Harvard International Law Journal&lt;/i&gt; 47, no. 501 (2006)."},"properties":{"noteIndex":79},"schema":"https://github.com/citation-style-language/schema/raw/master/csl-citation.json"}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William Twining, “Diffusion and Globalization Discourse,” </w:t>
      </w:r>
      <w:r w:rsidRPr="00F6627D">
        <w:rPr>
          <w:rFonts w:asciiTheme="majorBidi" w:hAnsiTheme="majorBidi" w:cstheme="majorBidi"/>
          <w:i/>
          <w:noProof/>
        </w:rPr>
        <w:t>Harvard International Law Journal</w:t>
      </w:r>
      <w:r w:rsidRPr="00F6627D">
        <w:rPr>
          <w:rFonts w:asciiTheme="majorBidi" w:hAnsiTheme="majorBidi" w:cstheme="majorBidi"/>
          <w:noProof/>
        </w:rPr>
        <w:t xml:space="preserve"> 47, no. 501 (2006), hlm.</w:t>
      </w:r>
      <w:r w:rsidRPr="00F6627D">
        <w:rPr>
          <w:rFonts w:asciiTheme="majorBidi" w:hAnsiTheme="majorBidi" w:cstheme="majorBidi"/>
        </w:rPr>
        <w:fldChar w:fldCharType="end"/>
      </w:r>
      <w:r w:rsidRPr="00F6627D">
        <w:rPr>
          <w:rFonts w:asciiTheme="majorBidi" w:hAnsiTheme="majorBidi" w:cstheme="majorBidi"/>
        </w:rPr>
        <w:t xml:space="preserve"> 513</w:t>
      </w:r>
    </w:p>
  </w:footnote>
  <w:footnote w:id="80">
    <w:p w14:paraId="7A59756A" w14:textId="3A2BDEAD" w:rsidR="00F45515" w:rsidRPr="00F6627D" w:rsidRDefault="00F45515"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{"citationItems":[{"id":"ITEM-1","itemData":{"author":[{"dropping-particle":"","family":"Peter Fitzpatrick","given":"","non-dropping-particle":"","parse-names":false,"suffix":""}],"container-title":"Journal of Law and Society","id":"ITEM-1","issue":"1","issued":{"date-parts":[["1995"]]},"page":"105-112","title":"Being Social in Socio-Legal Studies","type":"article-journal","volume":"22"},"uris":["http://www.mendeley.com/documents/?uuid=14aac339-503b-44a1-8f4d-1546060caa29"]}],"mendeley":{"formattedCitation":"Peter Fitzpatrick, “Being Social in Socio-Legal Studies,” &lt;i&gt;Journal of Law and Society&lt;/i&gt; 22, no. 1 (1995): 105–12.","plainTextFormattedCitation":"Peter Fitzpatrick, “Being Social in Socio-Legal Studies,” Journal of Law and Society 22, no. 1 (1995): 105–12.","previouslyFormattedCitation":"Peter Fitzpatrick, “Being Social in Socio-Legal Studies,” &lt;i&gt;Journal of Law and Society&lt;/i&gt; 22, no. 1 (1995): 105–12."},"properties":{"noteIndex":80},"schema":"https://github.com/citation-style-language/schema/raw/master/csl-citation.json"}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Peter Fitzpatrick, “Being Social in Socio-Legal Studies,” </w:t>
      </w:r>
      <w:r w:rsidR="00201F1F" w:rsidRPr="00F6627D">
        <w:rPr>
          <w:rFonts w:asciiTheme="majorBidi" w:hAnsiTheme="majorBidi" w:cstheme="majorBidi"/>
          <w:i/>
          <w:noProof/>
        </w:rPr>
        <w:t>Journal of Law and Society</w:t>
      </w:r>
      <w:r w:rsidR="00201F1F" w:rsidRPr="00F6627D">
        <w:rPr>
          <w:rFonts w:asciiTheme="majorBidi" w:hAnsiTheme="majorBidi" w:cstheme="majorBidi"/>
          <w:noProof/>
        </w:rPr>
        <w:t xml:space="preserve"> 22, no. 1 (1995): 105–12.</w:t>
      </w:r>
      <w:r w:rsidRPr="00F6627D">
        <w:rPr>
          <w:rFonts w:asciiTheme="majorBidi" w:hAnsiTheme="majorBidi" w:cstheme="majorBidi"/>
        </w:rPr>
        <w:fldChar w:fldCharType="end"/>
      </w:r>
    </w:p>
  </w:footnote>
  <w:footnote w:id="81">
    <w:p w14:paraId="56D9CC79" w14:textId="34953710" w:rsidR="00FD0051" w:rsidRPr="00F6627D" w:rsidRDefault="00FD0051"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{"citationItems":[{"id":"ITEM-1","itemData":{"DOI":"10.1163/156851908X287280","ISSN":"09289380","abstract":"Legal pluralism has emerged in the last few decades as a prominent theoretical perspective in socio-legal research. Recently, scholars of Islamic law have begun to employ analytical concepts and theoretical insights drawn from this theoretical framework in their studies of Islamic law and shari'a courts. In this article I argue that the time has come for a systematic assessment of the relevancy of a legal-pluralist perspective for the study of shari'a courts. Specifically, I discuss its potential contribution for understanding relations between shari'a courts and other tribunals, and between qadis affiliated with different madhhabs. © 2008 Brill Academic Publishers.","author":[{"dropping-particle":"","family":"Shahar","given":"Ido","non-dropping-particle":"","parse-names":false,"suffix":""}],"container-title":"Islamic Law and Society","id":"ITEM-1","issue":"1","issued":{"date-parts":[["2008"]]},"page":"112-141","title":"Legal pluralism and the study of Shari'a courts","type":"article-journal","volume":"15"},"uris":["http://www.mendeley.com/documents/?uuid=559609a2-4318-42d1-b7b7-638728e5e472"]}],"mendeley":{"formattedCitation":"Ido Shahar, “Legal Pluralism and the Study of Shari’a Courts,” &lt;i&gt;Islamic Law and Society&lt;/i&gt; 15, no. 1 (2008): 112–41, https://doi.org/10.1163/156851908X287280.","plainTextFormattedCitation":"Ido Shahar, “Legal Pluralism and the Study of Shari’a Courts,” Islamic Law and Society 15, no. 1 (2008): 112–41, https://doi.org/10.1163/156851908X287280.","previouslyFormattedCitation":"Ido Shahar, “Legal Pluralism and the Study of Shari’a Courts,” &lt;i&gt;Islamic Law and Society&lt;/i&gt; 15, no. 1 (2008): 112–41, https://doi.org/10.1163/156851908X287280."},"properties":{"noteIndex":81},"schema":"https://github.com/citation-style-language/schema/raw/master/csl-citation.json"}</w:instrText>
      </w:r>
      <w:r w:rsidRPr="00F6627D">
        <w:rPr>
          <w:rFonts w:asciiTheme="majorBidi" w:hAnsiTheme="majorBidi" w:cstheme="majorBidi"/>
        </w:rPr>
        <w:fldChar w:fldCharType="separate"/>
      </w:r>
      <w:r w:rsidR="00201F1F" w:rsidRPr="00F6627D">
        <w:rPr>
          <w:rFonts w:asciiTheme="majorBidi" w:hAnsiTheme="majorBidi" w:cstheme="majorBidi"/>
          <w:noProof/>
        </w:rPr>
        <w:t xml:space="preserve">Ido Shahar, “Legal Pluralism and the Study of Shari’a Courts,” </w:t>
      </w:r>
      <w:r w:rsidR="00201F1F" w:rsidRPr="00F6627D">
        <w:rPr>
          <w:rFonts w:asciiTheme="majorBidi" w:hAnsiTheme="majorBidi" w:cstheme="majorBidi"/>
          <w:i/>
          <w:noProof/>
        </w:rPr>
        <w:t>Islamic Law and Society</w:t>
      </w:r>
      <w:r w:rsidR="00201F1F" w:rsidRPr="00F6627D">
        <w:rPr>
          <w:rFonts w:asciiTheme="majorBidi" w:hAnsiTheme="majorBidi" w:cstheme="majorBidi"/>
          <w:noProof/>
        </w:rPr>
        <w:t xml:space="preserve"> 15, no. 1 (2008): 112–41, https://doi.org/10.1163/156851908X287280.</w:t>
      </w:r>
      <w:r w:rsidRPr="00F6627D">
        <w:rPr>
          <w:rFonts w:asciiTheme="majorBidi" w:hAnsiTheme="majorBidi" w:cstheme="majorBidi"/>
        </w:rPr>
        <w:fldChar w:fldCharType="end"/>
      </w:r>
    </w:p>
  </w:footnote>
  <w:footnote w:id="82">
    <w:p w14:paraId="323D683F" w14:textId="4DAB4786" w:rsidR="00FD0051" w:rsidRPr="00F6627D" w:rsidRDefault="00FD0051"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 xml:space="preserve">Dikutip dari </w:t>
      </w:r>
      <w:r w:rsidRPr="00F6627D">
        <w:rPr>
          <w:rFonts w:asciiTheme="majorBidi" w:hAnsiTheme="majorBidi" w:cstheme="majorBidi"/>
        </w:rPr>
        <w:fldChar w:fldCharType="begin" w:fldLock="1"/>
      </w:r>
      <w:r w:rsidR="00F6627D">
        <w:rPr>
          <w:rFonts w:asciiTheme="majorBidi" w:hAnsiTheme="majorBidi" w:cstheme="majorBidi"/>
        </w:rPr>
        <w:instrText>ADDIN CSL_CITATION {"citationItems":[{"id":"ITEM-1","itemData":{"author":[{"dropping-particle":"","family":"Murdan","given":"","non-dropping-particle":"","parse-names":false,"suffix":""}],"id":"ITEM-1","issued":{"date-parts":[["2020"]]},"publisher":"Program pascasarjana UIN Sunan Kalijaga","publisher-place":"Yogyakarta","title":"Pluralisme Hukum di Indonesia: Interlegality dalam perkawinan Masyarakat Islam Sasak","type":"book"},"uris":["http://www.mendeley.com/documents/?uuid=a6b0c079-4b7c-4f97-a3e7-32b659bc5bac"]}],"mendeley":{"formattedCitation":"Murdan, &lt;i&gt;Pluralisme Hukum Di Indonesia: Interlegality Dalam Perkawinan Masyarakat Islam Sasak&lt;/i&gt; (Yogyakarta: Program pascasarjana UIN Sunan Kalijaga, 2020).","manualFormatting":"Murdan, Pluralisme Hukum Di Indonesia: Interlegality Dalam Perkawinan Masyarakat Islam Sasak (Yogyakarta: Program pascasarjana UIN Sunan Kalijaga, 2020), ","plainTextFormattedCitation":"Murdan, Pluralisme Hukum Di Indonesia: Interlegality Dalam Perkawinan Masyarakat Islam Sasak (Yogyakarta: Program pascasarjana UIN Sunan Kalijaga, 2020).","previouslyFormattedCitation":"Murdan, &lt;i&gt;Pluralisme Hukum Di Indonesia: Interlegality Dalam Perkawinan Masyarakat Islam Sasak&lt;/i&gt; (Yogyakarta: Program pascasarjana UIN Sunan Kalijaga, 2020)."},"properties":{"noteIndex":82},"schema":"https://github.com/citation-style-language/schema/raw/master/csl-citation.json"}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Murdan, </w:t>
      </w:r>
      <w:r w:rsidRPr="00F6627D">
        <w:rPr>
          <w:rFonts w:asciiTheme="majorBidi" w:hAnsiTheme="majorBidi" w:cstheme="majorBidi"/>
          <w:i/>
          <w:noProof/>
        </w:rPr>
        <w:t>Pluralisme Hukum Di Indonesia: Interlegality Dalam Perkawinan Masyarakat Islam Sasak</w:t>
      </w:r>
      <w:r w:rsidRPr="00F6627D">
        <w:rPr>
          <w:rFonts w:asciiTheme="majorBidi" w:hAnsiTheme="majorBidi" w:cstheme="majorBidi"/>
          <w:noProof/>
        </w:rPr>
        <w:t xml:space="preserve"> (Yogyakarta: Program pascasarjana UIN Sunan Kalijaga, 2020), </w:t>
      </w:r>
      <w:r w:rsidRPr="00F6627D">
        <w:rPr>
          <w:rFonts w:asciiTheme="majorBidi" w:hAnsiTheme="majorBidi" w:cstheme="majorBidi"/>
        </w:rPr>
        <w:fldChar w:fldCharType="end"/>
      </w:r>
      <w:r w:rsidRPr="00F6627D">
        <w:rPr>
          <w:rFonts w:asciiTheme="majorBidi" w:hAnsiTheme="majorBidi" w:cstheme="majorBidi"/>
        </w:rPr>
        <w:t>17</w:t>
      </w:r>
    </w:p>
  </w:footnote>
  <w:footnote w:id="83">
    <w:p w14:paraId="713423D5" w14:textId="3E898366" w:rsidR="00FD0051" w:rsidRPr="00F6627D" w:rsidRDefault="00FD0051" w:rsidP="00F6627D">
      <w:pPr>
        <w:pStyle w:val="FootnoteText"/>
        <w:ind w:left="142" w:hanging="142"/>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057CBD" w:rsidRPr="00F6627D">
        <w:rPr>
          <w:rFonts w:asciiTheme="majorBidi" w:hAnsiTheme="majorBidi" w:cstheme="majorBidi"/>
        </w:rPr>
        <w:instrText>ADDIN CSL_CITATION {"citationItems":[{"id":"ITEM-1","itemData":{"ISSN":"00239186","author":[{"dropping-particle":"","family":"Wai","given":"Robert","non-dropping-particle":"","parse-names":false,"suffix":""}],"container-title":"Law and Contemporary Problems","id":"ITEM-1","issue":"3","issued":{"date-parts":[["2008"]]},"page":"107-127","title":"The interlegality of transnational private law","type":"article-journal","volume":"71"},"uris":["http://www.mendeley.com/documents/?uuid=16bccae4-b509-44a8-9ebd-15107ed7dbb8"]}],"mendeley":{"formattedCitation":"Wai, “The Interlegality of Transnational Private Law.”","plainTextFormattedCitation":"Wai, “The Interlegality of Transnational Private Law.”","previouslyFormattedCitation":"Wai, “The Interlegality of Transnational Private Law.”"},"properties":{"noteIndex":83},"schema":"https://github.com/citation-style-language/schema/raw/master/csl-citation.json"}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Wai, “The Interlegality of Transnational Private Law.”</w:t>
      </w:r>
      <w:r w:rsidRPr="00F6627D">
        <w:rPr>
          <w:rFonts w:asciiTheme="majorBidi" w:hAnsiTheme="majorBidi" w:cstheme="majorBidi"/>
        </w:rPr>
        <w:fldChar w:fldCharType="end"/>
      </w:r>
    </w:p>
  </w:footnote>
  <w:footnote w:id="84">
    <w:p w14:paraId="1D63EA85" w14:textId="540EAC6E" w:rsidR="00057CBD" w:rsidRPr="00F6627D" w:rsidRDefault="00057CBD"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fldChar w:fldCharType="begin" w:fldLock="1"/>
      </w:r>
      <w:r w:rsidR="00CD250D" w:rsidRPr="00F6627D">
        <w:rPr>
          <w:rFonts w:asciiTheme="majorBidi" w:hAnsiTheme="majorBidi" w:cstheme="majorBidi"/>
        </w:rPr>
        <w:instrText>ADDIN CSL_CITATION {"citationItems":[{"id":"ITEM-1","itemData":{"DOI":"10.1080/07329113.2021.1996075","ISSN":"23059931","abstract":"In the first year of the journal of Legal Pluralism’s existence, Keebet von Benda-Beckmann’s article Forum shopping and shopping forums. Dispute processing in a Minangkabau village in West Sumatra was published. Christian Lund reflects on the continued theoretical and methodological relevance of the article for the social scientific study of law and legal pluralism, property and conflict, institutions and authorities, and the role of claimants.","author":[{"dropping-particle":"","family":"Lund","given":"Christian","non-dropping-particle":"","parse-names":false,"suffix":""}],"container-title":"Journal of Legal Pluralism and Unofficial Law","id":"ITEM-1","issue":"3","issued":{"date-parts":[["2021"]]},"page":"414-418","publisher":"Routledge","title":"Forum shopping and shopping forums: another 40-year anniversary","type":"article-journal","volume":"53"},"uris":["http://www.mendeley.com/documents/?uuid=ec02374d-dd3d-47d0-b431-a5308b26a77e"]}],"mendeley":{"formattedCitation":"Christian Lund, “Forum Shopping and Shopping Forums: Another 40-Year Anniversary,” &lt;i&gt;Journal of Legal Pluralism and Unofficial Law&lt;/i&gt; 53, no. 3 (2021): 414–18, https://doi.org/10.1080/07329113.2021.1996075.","plainTextFormattedCitation":"Christian Lund, “Forum Shopping and Shopping Forums: Another 40-Year Anniversary,” Journal of Legal Pluralism and Unofficial Law 53, no. 3 (2021): 414–18, https://doi.org/10.1080/07329113.2021.1996075.","previouslyFormattedCitation":"Christian Lund, “Forum Shopping and Shopping Forums: Another 40-Year Anniversary,” &lt;i&gt;Journal of Legal Pluralism and Unofficial Law&lt;/i&gt; 53, no. 3 (2021): 414–18, https://doi.org/10.1080/07329113.2021.1996075."},"properties":{"noteIndex":84},"schema":"https://github.com/citation-style-language/schema/raw/master/csl-citation.json"}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Christian Lund, “Forum Shopping and Shopping Forums: Another 40-Year Anniversary,” </w:t>
      </w:r>
      <w:r w:rsidRPr="00F6627D">
        <w:rPr>
          <w:rFonts w:asciiTheme="majorBidi" w:hAnsiTheme="majorBidi" w:cstheme="majorBidi"/>
          <w:i/>
          <w:noProof/>
        </w:rPr>
        <w:t>Journal of Legal Pluralism and Unofficial Law</w:t>
      </w:r>
      <w:r w:rsidRPr="00F6627D">
        <w:rPr>
          <w:rFonts w:asciiTheme="majorBidi" w:hAnsiTheme="majorBidi" w:cstheme="majorBidi"/>
          <w:noProof/>
        </w:rPr>
        <w:t xml:space="preserve"> 53, no. 3 (2021): 414–18, https://doi.org/10.1080/07329113.2021.1996075.</w:t>
      </w:r>
      <w:r w:rsidRPr="00F6627D">
        <w:rPr>
          <w:rFonts w:asciiTheme="majorBidi" w:hAnsiTheme="majorBidi" w:cstheme="majorBidi"/>
        </w:rPr>
        <w:fldChar w:fldCharType="end"/>
      </w:r>
    </w:p>
  </w:footnote>
  <w:footnote w:id="85">
    <w:p w14:paraId="3CA64992" w14:textId="4967BE4B" w:rsidR="00CD250D" w:rsidRPr="00F6627D" w:rsidRDefault="00CD250D" w:rsidP="00F6627D">
      <w:pPr>
        <w:pStyle w:val="FootnoteText"/>
        <w:jc w:val="both"/>
        <w:rPr>
          <w:rFonts w:asciiTheme="majorBidi" w:hAnsiTheme="majorBidi" w:cstheme="majorBidi"/>
        </w:rPr>
      </w:pPr>
      <w:r w:rsidRPr="00F6627D">
        <w:rPr>
          <w:rStyle w:val="FootnoteReference"/>
          <w:rFonts w:asciiTheme="majorBidi" w:hAnsiTheme="majorBidi" w:cstheme="majorBidi"/>
        </w:rPr>
        <w:footnoteRef/>
      </w:r>
      <w:r w:rsidRPr="00F6627D">
        <w:rPr>
          <w:rFonts w:asciiTheme="majorBidi" w:hAnsiTheme="majorBidi" w:cstheme="majorBidi"/>
        </w:rPr>
        <w:t xml:space="preserve"> </w:t>
      </w:r>
      <w:r w:rsidRPr="00F6627D">
        <w:rPr>
          <w:rFonts w:asciiTheme="majorBidi" w:hAnsiTheme="majorBidi" w:cstheme="majorBidi"/>
        </w:rPr>
        <w:t xml:space="preserve">Menurut  </w:t>
      </w:r>
      <w:r w:rsidRPr="00F6627D">
        <w:rPr>
          <w:rFonts w:asciiTheme="majorBidi" w:hAnsiTheme="majorBidi" w:cstheme="majorBidi"/>
          <w:noProof/>
        </w:rPr>
        <w:t>Christopher A.</w:t>
      </w:r>
      <w:r w:rsidRPr="00F6627D">
        <w:rPr>
          <w:rFonts w:asciiTheme="majorBidi" w:hAnsiTheme="majorBidi" w:cstheme="majorBidi"/>
          <w:noProof/>
        </w:rPr>
        <w:t xml:space="preserve">, forum shopping </w:t>
      </w:r>
      <w:r w:rsidRPr="00F6627D">
        <w:rPr>
          <w:rFonts w:asciiTheme="majorBidi" w:hAnsiTheme="majorBidi" w:cstheme="majorBidi"/>
          <w:noProof/>
        </w:rPr>
        <w:t xml:space="preserve"> </w:t>
      </w:r>
      <w:r w:rsidRPr="00F6627D">
        <w:rPr>
          <w:rFonts w:asciiTheme="majorBidi" w:hAnsiTheme="majorBidi" w:cstheme="majorBidi"/>
          <w:noProof/>
        </w:rPr>
        <w:t xml:space="preserve">berkaitan dengan dua hal, yaitu akses pada pengadilan dengan pilihan yurisdiksi dan </w:t>
      </w:r>
      <w:r w:rsidR="00020B12" w:rsidRPr="00F6627D">
        <w:rPr>
          <w:rFonts w:asciiTheme="majorBidi" w:hAnsiTheme="majorBidi" w:cstheme="majorBidi"/>
          <w:noProof/>
        </w:rPr>
        <w:t xml:space="preserve">pilihan hukum (choice of law). Pada konsteks ini maka menjadi jelas bahwa forum shopping dengan penyelundupan hukum merupakan dua hal yang berbeda. </w:t>
      </w:r>
      <w:r w:rsidRPr="00F6627D">
        <w:rPr>
          <w:rFonts w:asciiTheme="majorBidi" w:hAnsiTheme="majorBidi" w:cstheme="majorBidi"/>
          <w:noProof/>
        </w:rPr>
        <w:t>Whytock</w:t>
      </w:r>
      <w:r w:rsidRPr="00F6627D">
        <w:rPr>
          <w:rFonts w:asciiTheme="majorBidi" w:hAnsiTheme="majorBidi" w:cstheme="majorBidi"/>
        </w:rPr>
        <w:t xml:space="preserve"> </w:t>
      </w:r>
      <w:r w:rsidRPr="00F6627D">
        <w:rPr>
          <w:rFonts w:asciiTheme="majorBidi" w:hAnsiTheme="majorBidi" w:cstheme="majorBidi"/>
        </w:rPr>
        <w:fldChar w:fldCharType="begin" w:fldLock="1"/>
      </w:r>
      <w:r w:rsidR="00F6627D">
        <w:rPr>
          <w:rFonts w:asciiTheme="majorBidi" w:hAnsiTheme="majorBidi" w:cstheme="majorBidi"/>
        </w:rPr>
        <w:instrText>ADDIN CSL_CITATION {"citationItems":[{"id":"ITEM-1","itemData":{"ISSN":"00108847","abstract":"This Article uses empirical analysis to provide a new understanding of transnational litigation in U.S. courts. According to conventional wisdom, the United States has a forum shopping system with two features that encourage plaintiffs to file claims in U.S. courts, even when those claims involve foreign parties or foreign activity: a permissive approach to personal jurisdiction, giving plaintiffs broad court access, and a strong tendency of U.S. judges to apply plaintiff-favoring domestic law. This forum shopping system purportedly contributes to a rising tide of transnational litigation in the United States. Scholars and interest groups have therefore proposed new anti-forum shopping measures aimed at curtailing transnational litigation in U.S. courts. This Article shows that the forum shopping system has evolved and that it no longer encourages plaintiffs to pursue transnational claims in U.S. courts to the extent it supposedly once did. It also presents empirical evidence that transnational litigation in the United States may have actually decreased, not increased, over the last two decades. The analysis suggests that new anti-forum shopping measures may not be as urgent or necessary as their advocates claim. If adopted, such measures could unduly limit access to justice for both American and foreign citizens who, in our era of globalization, are increasingly affected by transnational activity.","author":[{"dropping-particle":"","family":"Whytock","given":"Christopher A.","non-dropping-particle":"","parse-names":false,"suffix":""}],"container-title":"Cornell Law Review","id":"ITEM-1","issue":"3","issued":{"date-parts":[["2011"]]},"page":"481-534","title":"The evolving forum shopping system","type":"article-journal","volume":"96"},"uris":["http://www.mendeley.com/documents/?uuid=f9f2b693-0340-4b9c-addc-79c8301c1d02"]}],"mendeley":{"formattedCitation":"Christopher A. Whytock, “The Evolving Forum Shopping System,” &lt;i&gt;Cornell Law Review&lt;/i&gt; 96, no. 3 (2011): 481–534.","plainTextFormattedCitation":"Christopher A. Whytock, “The Evolving Forum Shopping System,” Cornell Law Review 96, no. 3 (2011): 481–534.","previouslyFormattedCitation":"Christopher A. Whytock, “The Evolving Forum Shopping System,” &lt;i&gt;Cornell Law Review&lt;/i&gt; 96, no. 3 (2011): 481–534."},"properties":{"noteIndex":85},"schema":"https://github.com/citation-style-language/schema/raw/master/csl-citation.json"}</w:instrText>
      </w:r>
      <w:r w:rsidRPr="00F6627D">
        <w:rPr>
          <w:rFonts w:asciiTheme="majorBidi" w:hAnsiTheme="majorBidi" w:cstheme="majorBidi"/>
        </w:rPr>
        <w:fldChar w:fldCharType="separate"/>
      </w:r>
      <w:r w:rsidRPr="00F6627D">
        <w:rPr>
          <w:rFonts w:asciiTheme="majorBidi" w:hAnsiTheme="majorBidi" w:cstheme="majorBidi"/>
          <w:noProof/>
        </w:rPr>
        <w:t xml:space="preserve">Christopher A. Whytock, “The Evolving Forum Shopping System,” </w:t>
      </w:r>
      <w:r w:rsidRPr="00F6627D">
        <w:rPr>
          <w:rFonts w:asciiTheme="majorBidi" w:hAnsiTheme="majorBidi" w:cstheme="majorBidi"/>
          <w:i/>
          <w:noProof/>
        </w:rPr>
        <w:t>Cornell Law Review</w:t>
      </w:r>
      <w:r w:rsidRPr="00F6627D">
        <w:rPr>
          <w:rFonts w:asciiTheme="majorBidi" w:hAnsiTheme="majorBidi" w:cstheme="majorBidi"/>
          <w:noProof/>
        </w:rPr>
        <w:t xml:space="preserve"> 96, no. 3 (2011): 481–534.</w:t>
      </w:r>
      <w:r w:rsidRPr="00F6627D">
        <w:rPr>
          <w:rFonts w:asciiTheme="majorBidi" w:hAnsiTheme="majorBidi" w:cstheme="majorBidi"/>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D4682"/>
    <w:multiLevelType w:val="hybridMultilevel"/>
    <w:tmpl w:val="A2424D78"/>
    <w:lvl w:ilvl="0" w:tplc="3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404B69"/>
    <w:multiLevelType w:val="hybridMultilevel"/>
    <w:tmpl w:val="A55C399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 w15:restartNumberingAfterBreak="0">
    <w:nsid w:val="0E86568C"/>
    <w:multiLevelType w:val="hybridMultilevel"/>
    <w:tmpl w:val="A55C3990"/>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 w15:restartNumberingAfterBreak="0">
    <w:nsid w:val="15F4586D"/>
    <w:multiLevelType w:val="hybridMultilevel"/>
    <w:tmpl w:val="34D05B7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AB95E63"/>
    <w:multiLevelType w:val="hybridMultilevel"/>
    <w:tmpl w:val="66AC485E"/>
    <w:lvl w:ilvl="0" w:tplc="38090011">
      <w:start w:val="1"/>
      <w:numFmt w:val="decimal"/>
      <w:lvlText w:val="%1)"/>
      <w:lvlJc w:val="left"/>
      <w:pPr>
        <w:ind w:left="1629" w:hanging="360"/>
      </w:pPr>
    </w:lvl>
    <w:lvl w:ilvl="1" w:tplc="38090011">
      <w:start w:val="1"/>
      <w:numFmt w:val="decimal"/>
      <w:lvlText w:val="%2)"/>
      <w:lvlJc w:val="left"/>
      <w:pPr>
        <w:ind w:left="3060" w:hanging="360"/>
      </w:pPr>
    </w:lvl>
    <w:lvl w:ilvl="2" w:tplc="3809001B" w:tentative="1">
      <w:start w:val="1"/>
      <w:numFmt w:val="lowerRoman"/>
      <w:lvlText w:val="%3."/>
      <w:lvlJc w:val="right"/>
      <w:pPr>
        <w:ind w:left="3069" w:hanging="180"/>
      </w:pPr>
    </w:lvl>
    <w:lvl w:ilvl="3" w:tplc="3809000F" w:tentative="1">
      <w:start w:val="1"/>
      <w:numFmt w:val="decimal"/>
      <w:lvlText w:val="%4."/>
      <w:lvlJc w:val="left"/>
      <w:pPr>
        <w:ind w:left="3789" w:hanging="360"/>
      </w:pPr>
    </w:lvl>
    <w:lvl w:ilvl="4" w:tplc="38090019" w:tentative="1">
      <w:start w:val="1"/>
      <w:numFmt w:val="lowerLetter"/>
      <w:lvlText w:val="%5."/>
      <w:lvlJc w:val="left"/>
      <w:pPr>
        <w:ind w:left="4509" w:hanging="360"/>
      </w:pPr>
    </w:lvl>
    <w:lvl w:ilvl="5" w:tplc="3809001B" w:tentative="1">
      <w:start w:val="1"/>
      <w:numFmt w:val="lowerRoman"/>
      <w:lvlText w:val="%6."/>
      <w:lvlJc w:val="right"/>
      <w:pPr>
        <w:ind w:left="5229" w:hanging="180"/>
      </w:pPr>
    </w:lvl>
    <w:lvl w:ilvl="6" w:tplc="3809000F" w:tentative="1">
      <w:start w:val="1"/>
      <w:numFmt w:val="decimal"/>
      <w:lvlText w:val="%7."/>
      <w:lvlJc w:val="left"/>
      <w:pPr>
        <w:ind w:left="5949" w:hanging="360"/>
      </w:pPr>
    </w:lvl>
    <w:lvl w:ilvl="7" w:tplc="38090019" w:tentative="1">
      <w:start w:val="1"/>
      <w:numFmt w:val="lowerLetter"/>
      <w:lvlText w:val="%8."/>
      <w:lvlJc w:val="left"/>
      <w:pPr>
        <w:ind w:left="6669" w:hanging="360"/>
      </w:pPr>
    </w:lvl>
    <w:lvl w:ilvl="8" w:tplc="3809001B" w:tentative="1">
      <w:start w:val="1"/>
      <w:numFmt w:val="lowerRoman"/>
      <w:lvlText w:val="%9."/>
      <w:lvlJc w:val="right"/>
      <w:pPr>
        <w:ind w:left="7389" w:hanging="180"/>
      </w:pPr>
    </w:lvl>
  </w:abstractNum>
  <w:abstractNum w:abstractNumId="5" w15:restartNumberingAfterBreak="0">
    <w:nsid w:val="1AEF770E"/>
    <w:multiLevelType w:val="hybridMultilevel"/>
    <w:tmpl w:val="1CB49826"/>
    <w:lvl w:ilvl="0" w:tplc="51EC55FE">
      <w:start w:val="1"/>
      <w:numFmt w:val="lowerLetter"/>
      <w:lvlText w:val="%1."/>
      <w:lvlJc w:val="left"/>
      <w:pPr>
        <w:ind w:left="1440" w:hanging="360"/>
      </w:pPr>
      <w:rPr>
        <w:i/>
        <w:iCs/>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1FD97398"/>
    <w:multiLevelType w:val="hybridMultilevel"/>
    <w:tmpl w:val="9B580E9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FE54FF0"/>
    <w:multiLevelType w:val="hybridMultilevel"/>
    <w:tmpl w:val="B21A32A0"/>
    <w:lvl w:ilvl="0" w:tplc="570CE474">
      <w:start w:val="1"/>
      <w:numFmt w:val="decimal"/>
      <w:lvlText w:val="%1."/>
      <w:lvlJc w:val="left"/>
      <w:pPr>
        <w:ind w:left="720" w:hanging="360"/>
      </w:pPr>
      <w:rPr>
        <w:rFonts w:hint="default"/>
        <w:b/>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D9149B1"/>
    <w:multiLevelType w:val="hybridMultilevel"/>
    <w:tmpl w:val="6C50A57C"/>
    <w:lvl w:ilvl="0" w:tplc="938CF772">
      <w:start w:val="1"/>
      <w:numFmt w:val="lowerLetter"/>
      <w:lvlText w:val="%1."/>
      <w:lvlJc w:val="left"/>
      <w:pPr>
        <w:ind w:left="1140" w:hanging="420"/>
      </w:pPr>
      <w:rPr>
        <w:rFonts w:hint="default"/>
        <w:i/>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E9A037D"/>
    <w:multiLevelType w:val="hybridMultilevel"/>
    <w:tmpl w:val="01E4D07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04B61D7"/>
    <w:multiLevelType w:val="hybridMultilevel"/>
    <w:tmpl w:val="902699BE"/>
    <w:lvl w:ilvl="0" w:tplc="38090011">
      <w:start w:val="1"/>
      <w:numFmt w:val="decimal"/>
      <w:lvlText w:val="%1)"/>
      <w:lvlJc w:val="left"/>
      <w:pPr>
        <w:ind w:left="2340" w:hanging="360"/>
      </w:pPr>
    </w:lvl>
    <w:lvl w:ilvl="1" w:tplc="38090011">
      <w:start w:val="1"/>
      <w:numFmt w:val="decimal"/>
      <w:lvlText w:val="%2)"/>
      <w:lvlJc w:val="left"/>
      <w:pPr>
        <w:ind w:left="3060" w:hanging="360"/>
      </w:pPr>
    </w:lvl>
    <w:lvl w:ilvl="2" w:tplc="3809001B" w:tentative="1">
      <w:start w:val="1"/>
      <w:numFmt w:val="lowerRoman"/>
      <w:lvlText w:val="%3."/>
      <w:lvlJc w:val="right"/>
      <w:pPr>
        <w:ind w:left="3780" w:hanging="180"/>
      </w:pPr>
    </w:lvl>
    <w:lvl w:ilvl="3" w:tplc="3809000F" w:tentative="1">
      <w:start w:val="1"/>
      <w:numFmt w:val="decimal"/>
      <w:lvlText w:val="%4."/>
      <w:lvlJc w:val="left"/>
      <w:pPr>
        <w:ind w:left="4500" w:hanging="360"/>
      </w:pPr>
    </w:lvl>
    <w:lvl w:ilvl="4" w:tplc="38090019" w:tentative="1">
      <w:start w:val="1"/>
      <w:numFmt w:val="lowerLetter"/>
      <w:lvlText w:val="%5."/>
      <w:lvlJc w:val="left"/>
      <w:pPr>
        <w:ind w:left="5220" w:hanging="360"/>
      </w:pPr>
    </w:lvl>
    <w:lvl w:ilvl="5" w:tplc="3809001B" w:tentative="1">
      <w:start w:val="1"/>
      <w:numFmt w:val="lowerRoman"/>
      <w:lvlText w:val="%6."/>
      <w:lvlJc w:val="right"/>
      <w:pPr>
        <w:ind w:left="5940" w:hanging="180"/>
      </w:pPr>
    </w:lvl>
    <w:lvl w:ilvl="6" w:tplc="3809000F" w:tentative="1">
      <w:start w:val="1"/>
      <w:numFmt w:val="decimal"/>
      <w:lvlText w:val="%7."/>
      <w:lvlJc w:val="left"/>
      <w:pPr>
        <w:ind w:left="6660" w:hanging="360"/>
      </w:pPr>
    </w:lvl>
    <w:lvl w:ilvl="7" w:tplc="38090019" w:tentative="1">
      <w:start w:val="1"/>
      <w:numFmt w:val="lowerLetter"/>
      <w:lvlText w:val="%8."/>
      <w:lvlJc w:val="left"/>
      <w:pPr>
        <w:ind w:left="7380" w:hanging="360"/>
      </w:pPr>
    </w:lvl>
    <w:lvl w:ilvl="8" w:tplc="3809001B" w:tentative="1">
      <w:start w:val="1"/>
      <w:numFmt w:val="lowerRoman"/>
      <w:lvlText w:val="%9."/>
      <w:lvlJc w:val="right"/>
      <w:pPr>
        <w:ind w:left="8100" w:hanging="180"/>
      </w:pPr>
    </w:lvl>
  </w:abstractNum>
  <w:abstractNum w:abstractNumId="11" w15:restartNumberingAfterBreak="0">
    <w:nsid w:val="37C36364"/>
    <w:multiLevelType w:val="hybridMultilevel"/>
    <w:tmpl w:val="89E0F9CC"/>
    <w:lvl w:ilvl="0" w:tplc="3809000F">
      <w:start w:val="1"/>
      <w:numFmt w:val="decimal"/>
      <w:lvlText w:val="%1."/>
      <w:lvlJc w:val="left"/>
      <w:pPr>
        <w:ind w:left="720" w:hanging="360"/>
      </w:pPr>
    </w:lvl>
    <w:lvl w:ilvl="1" w:tplc="3B9E6F54">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99D7AB0"/>
    <w:multiLevelType w:val="hybridMultilevel"/>
    <w:tmpl w:val="FB860B4A"/>
    <w:lvl w:ilvl="0" w:tplc="6FDEF3F8">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13" w15:restartNumberingAfterBreak="0">
    <w:nsid w:val="4C0344A7"/>
    <w:multiLevelType w:val="hybridMultilevel"/>
    <w:tmpl w:val="FB8265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0E644A0"/>
    <w:multiLevelType w:val="hybridMultilevel"/>
    <w:tmpl w:val="C1FA3AF0"/>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5" w15:restartNumberingAfterBreak="0">
    <w:nsid w:val="66CD081E"/>
    <w:multiLevelType w:val="hybridMultilevel"/>
    <w:tmpl w:val="C1FA3AF0"/>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6" w15:restartNumberingAfterBreak="0">
    <w:nsid w:val="6FD341E1"/>
    <w:multiLevelType w:val="hybridMultilevel"/>
    <w:tmpl w:val="260041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78122EA0"/>
    <w:multiLevelType w:val="multilevel"/>
    <w:tmpl w:val="D60296D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7BE673F1"/>
    <w:multiLevelType w:val="hybridMultilevel"/>
    <w:tmpl w:val="01B016C2"/>
    <w:lvl w:ilvl="0" w:tplc="4DB6AB0E">
      <w:start w:val="1"/>
      <w:numFmt w:val="lowerLetter"/>
      <w:lvlText w:val="%1."/>
      <w:lvlJc w:val="left"/>
      <w:pPr>
        <w:ind w:left="1146" w:hanging="360"/>
      </w:pPr>
      <w:rPr>
        <w:rFonts w:asciiTheme="majorBidi" w:hAnsiTheme="majorBidi" w:cstheme="majorBidi" w:hint="default"/>
        <w:sz w:val="24"/>
        <w:szCs w:val="24"/>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num w:numId="1" w16cid:durableId="1883400737">
    <w:abstractNumId w:val="11"/>
  </w:num>
  <w:num w:numId="2" w16cid:durableId="858810783">
    <w:abstractNumId w:val="12"/>
  </w:num>
  <w:num w:numId="3" w16cid:durableId="524447508">
    <w:abstractNumId w:val="5"/>
  </w:num>
  <w:num w:numId="4" w16cid:durableId="447696932">
    <w:abstractNumId w:val="8"/>
  </w:num>
  <w:num w:numId="5" w16cid:durableId="1745251783">
    <w:abstractNumId w:val="13"/>
  </w:num>
  <w:num w:numId="6" w16cid:durableId="675159939">
    <w:abstractNumId w:val="3"/>
  </w:num>
  <w:num w:numId="7" w16cid:durableId="2118258687">
    <w:abstractNumId w:val="14"/>
  </w:num>
  <w:num w:numId="8" w16cid:durableId="495190188">
    <w:abstractNumId w:val="15"/>
  </w:num>
  <w:num w:numId="9" w16cid:durableId="1662540986">
    <w:abstractNumId w:val="2"/>
  </w:num>
  <w:num w:numId="10" w16cid:durableId="822355721">
    <w:abstractNumId w:val="1"/>
  </w:num>
  <w:num w:numId="11" w16cid:durableId="548110215">
    <w:abstractNumId w:val="10"/>
  </w:num>
  <w:num w:numId="12" w16cid:durableId="1475295469">
    <w:abstractNumId w:val="4"/>
  </w:num>
  <w:num w:numId="13" w16cid:durableId="1264461231">
    <w:abstractNumId w:val="16"/>
  </w:num>
  <w:num w:numId="14" w16cid:durableId="678198194">
    <w:abstractNumId w:val="7"/>
  </w:num>
  <w:num w:numId="15" w16cid:durableId="1715884150">
    <w:abstractNumId w:val="18"/>
  </w:num>
  <w:num w:numId="16" w16cid:durableId="1765686690">
    <w:abstractNumId w:val="6"/>
  </w:num>
  <w:num w:numId="17" w16cid:durableId="406805327">
    <w:abstractNumId w:val="9"/>
  </w:num>
  <w:num w:numId="18" w16cid:durableId="477763937">
    <w:abstractNumId w:val="0"/>
  </w:num>
  <w:num w:numId="19" w16cid:durableId="16152846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2F2"/>
    <w:rsid w:val="00020B12"/>
    <w:rsid w:val="000228C2"/>
    <w:rsid w:val="00025DF4"/>
    <w:rsid w:val="00035529"/>
    <w:rsid w:val="000456FC"/>
    <w:rsid w:val="00057CBD"/>
    <w:rsid w:val="00065A88"/>
    <w:rsid w:val="00075FBD"/>
    <w:rsid w:val="00080845"/>
    <w:rsid w:val="000A1A2E"/>
    <w:rsid w:val="000C2FC6"/>
    <w:rsid w:val="000E3E31"/>
    <w:rsid w:val="001023E2"/>
    <w:rsid w:val="00103744"/>
    <w:rsid w:val="0010514D"/>
    <w:rsid w:val="00125287"/>
    <w:rsid w:val="00133303"/>
    <w:rsid w:val="00133597"/>
    <w:rsid w:val="001337C4"/>
    <w:rsid w:val="0013454C"/>
    <w:rsid w:val="00142294"/>
    <w:rsid w:val="0015094B"/>
    <w:rsid w:val="00151A67"/>
    <w:rsid w:val="001B302B"/>
    <w:rsid w:val="001C0496"/>
    <w:rsid w:val="001D2FD9"/>
    <w:rsid w:val="001E156B"/>
    <w:rsid w:val="001E2AAC"/>
    <w:rsid w:val="001E7595"/>
    <w:rsid w:val="001E7647"/>
    <w:rsid w:val="00201F1F"/>
    <w:rsid w:val="002154E8"/>
    <w:rsid w:val="00216FFE"/>
    <w:rsid w:val="002361A8"/>
    <w:rsid w:val="00253ABE"/>
    <w:rsid w:val="00283A23"/>
    <w:rsid w:val="0029566C"/>
    <w:rsid w:val="002B19AB"/>
    <w:rsid w:val="002B3A88"/>
    <w:rsid w:val="002B60AA"/>
    <w:rsid w:val="002B766A"/>
    <w:rsid w:val="002C7407"/>
    <w:rsid w:val="002F18EF"/>
    <w:rsid w:val="002F5DA3"/>
    <w:rsid w:val="002F6095"/>
    <w:rsid w:val="00310864"/>
    <w:rsid w:val="00312A7F"/>
    <w:rsid w:val="0031549B"/>
    <w:rsid w:val="0033611A"/>
    <w:rsid w:val="0039135C"/>
    <w:rsid w:val="003B743E"/>
    <w:rsid w:val="003D4A26"/>
    <w:rsid w:val="003D4A81"/>
    <w:rsid w:val="003D6D0A"/>
    <w:rsid w:val="004140FC"/>
    <w:rsid w:val="0042492A"/>
    <w:rsid w:val="004319B9"/>
    <w:rsid w:val="004353A7"/>
    <w:rsid w:val="004430BB"/>
    <w:rsid w:val="004602DE"/>
    <w:rsid w:val="00463DFA"/>
    <w:rsid w:val="00494B55"/>
    <w:rsid w:val="004B4428"/>
    <w:rsid w:val="004D3C2B"/>
    <w:rsid w:val="004D60BE"/>
    <w:rsid w:val="004E2A25"/>
    <w:rsid w:val="004E2D9B"/>
    <w:rsid w:val="004E7417"/>
    <w:rsid w:val="004E78B3"/>
    <w:rsid w:val="00503052"/>
    <w:rsid w:val="00521C16"/>
    <w:rsid w:val="00522FB7"/>
    <w:rsid w:val="00535D99"/>
    <w:rsid w:val="005433BF"/>
    <w:rsid w:val="0054421E"/>
    <w:rsid w:val="0056583A"/>
    <w:rsid w:val="00583B7D"/>
    <w:rsid w:val="00586CAF"/>
    <w:rsid w:val="00586FD0"/>
    <w:rsid w:val="005B1D70"/>
    <w:rsid w:val="005B6B00"/>
    <w:rsid w:val="005C368C"/>
    <w:rsid w:val="005C4D25"/>
    <w:rsid w:val="005D2E1B"/>
    <w:rsid w:val="00602018"/>
    <w:rsid w:val="00602887"/>
    <w:rsid w:val="006406EA"/>
    <w:rsid w:val="006458B8"/>
    <w:rsid w:val="00661AFC"/>
    <w:rsid w:val="006B172F"/>
    <w:rsid w:val="006B5F3A"/>
    <w:rsid w:val="006C556B"/>
    <w:rsid w:val="006D40FD"/>
    <w:rsid w:val="006E0136"/>
    <w:rsid w:val="00712C79"/>
    <w:rsid w:val="007302EA"/>
    <w:rsid w:val="007429F2"/>
    <w:rsid w:val="00747123"/>
    <w:rsid w:val="00763F9E"/>
    <w:rsid w:val="007818CC"/>
    <w:rsid w:val="007950E4"/>
    <w:rsid w:val="007A545A"/>
    <w:rsid w:val="007E0806"/>
    <w:rsid w:val="007F6383"/>
    <w:rsid w:val="0083166E"/>
    <w:rsid w:val="008367BA"/>
    <w:rsid w:val="008431BF"/>
    <w:rsid w:val="00847C0F"/>
    <w:rsid w:val="008508A1"/>
    <w:rsid w:val="008562F2"/>
    <w:rsid w:val="00857F96"/>
    <w:rsid w:val="00862628"/>
    <w:rsid w:val="00883437"/>
    <w:rsid w:val="008874D6"/>
    <w:rsid w:val="008A09CA"/>
    <w:rsid w:val="008A33FB"/>
    <w:rsid w:val="008A519B"/>
    <w:rsid w:val="008A60B3"/>
    <w:rsid w:val="008B69AB"/>
    <w:rsid w:val="008C72EC"/>
    <w:rsid w:val="008E0235"/>
    <w:rsid w:val="009428BD"/>
    <w:rsid w:val="00980906"/>
    <w:rsid w:val="009C65C8"/>
    <w:rsid w:val="009D64BE"/>
    <w:rsid w:val="009F3BF0"/>
    <w:rsid w:val="009F6CA1"/>
    <w:rsid w:val="009F76BE"/>
    <w:rsid w:val="00A047C5"/>
    <w:rsid w:val="00A34E1F"/>
    <w:rsid w:val="00A475C1"/>
    <w:rsid w:val="00A607F3"/>
    <w:rsid w:val="00A62DFA"/>
    <w:rsid w:val="00A715BD"/>
    <w:rsid w:val="00A74C20"/>
    <w:rsid w:val="00A849AC"/>
    <w:rsid w:val="00AC4844"/>
    <w:rsid w:val="00AE2C77"/>
    <w:rsid w:val="00AF1F0F"/>
    <w:rsid w:val="00B01B27"/>
    <w:rsid w:val="00B22340"/>
    <w:rsid w:val="00B330FB"/>
    <w:rsid w:val="00B34229"/>
    <w:rsid w:val="00B352F8"/>
    <w:rsid w:val="00B52487"/>
    <w:rsid w:val="00B5360E"/>
    <w:rsid w:val="00B728DB"/>
    <w:rsid w:val="00B833DC"/>
    <w:rsid w:val="00B97AA9"/>
    <w:rsid w:val="00BA0193"/>
    <w:rsid w:val="00BB6B12"/>
    <w:rsid w:val="00BD3532"/>
    <w:rsid w:val="00BF3AA1"/>
    <w:rsid w:val="00C026D8"/>
    <w:rsid w:val="00C02E90"/>
    <w:rsid w:val="00C10DD2"/>
    <w:rsid w:val="00C47F19"/>
    <w:rsid w:val="00C55197"/>
    <w:rsid w:val="00C617EC"/>
    <w:rsid w:val="00C80A99"/>
    <w:rsid w:val="00C95540"/>
    <w:rsid w:val="00CB3A41"/>
    <w:rsid w:val="00CB5F17"/>
    <w:rsid w:val="00CC72CA"/>
    <w:rsid w:val="00CD250D"/>
    <w:rsid w:val="00CD2DED"/>
    <w:rsid w:val="00CF0D03"/>
    <w:rsid w:val="00CF1591"/>
    <w:rsid w:val="00D05A1C"/>
    <w:rsid w:val="00D21BF7"/>
    <w:rsid w:val="00D52D5D"/>
    <w:rsid w:val="00D60D27"/>
    <w:rsid w:val="00D63CF5"/>
    <w:rsid w:val="00D84793"/>
    <w:rsid w:val="00DC4E40"/>
    <w:rsid w:val="00DD0EBF"/>
    <w:rsid w:val="00DD3D9A"/>
    <w:rsid w:val="00DE620D"/>
    <w:rsid w:val="00DF1098"/>
    <w:rsid w:val="00E40FB2"/>
    <w:rsid w:val="00E556C9"/>
    <w:rsid w:val="00E85F76"/>
    <w:rsid w:val="00E92C41"/>
    <w:rsid w:val="00E94F53"/>
    <w:rsid w:val="00EA0285"/>
    <w:rsid w:val="00EA664A"/>
    <w:rsid w:val="00EB60B8"/>
    <w:rsid w:val="00EC32D7"/>
    <w:rsid w:val="00EC6576"/>
    <w:rsid w:val="00EC6AE8"/>
    <w:rsid w:val="00F36337"/>
    <w:rsid w:val="00F42BB7"/>
    <w:rsid w:val="00F45515"/>
    <w:rsid w:val="00F61518"/>
    <w:rsid w:val="00F6627D"/>
    <w:rsid w:val="00FA0D8D"/>
    <w:rsid w:val="00FA28BF"/>
    <w:rsid w:val="00FA33C8"/>
    <w:rsid w:val="00FA5D34"/>
    <w:rsid w:val="00FB46D7"/>
    <w:rsid w:val="00FC01E3"/>
    <w:rsid w:val="00FC163A"/>
    <w:rsid w:val="00FC7FBC"/>
    <w:rsid w:val="00FD0051"/>
    <w:rsid w:val="00FD32F2"/>
    <w:rsid w:val="00FD6EF5"/>
    <w:rsid w:val="00FD76DC"/>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63AA2"/>
  <w15:chartTrackingRefBased/>
  <w15:docId w15:val="{3C2C6751-EFF9-4371-8BE1-9C9928BA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FB7"/>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123"/>
    <w:pPr>
      <w:ind w:left="720"/>
      <w:contextualSpacing/>
    </w:pPr>
  </w:style>
  <w:style w:type="character" w:styleId="Hyperlink">
    <w:name w:val="Hyperlink"/>
    <w:basedOn w:val="DefaultParagraphFont"/>
    <w:uiPriority w:val="99"/>
    <w:unhideWhenUsed/>
    <w:rsid w:val="004602DE"/>
    <w:rPr>
      <w:color w:val="0000FF"/>
      <w:u w:val="single"/>
    </w:rPr>
  </w:style>
  <w:style w:type="paragraph" w:styleId="NormalWeb">
    <w:name w:val="Normal (Web)"/>
    <w:basedOn w:val="Normal"/>
    <w:uiPriority w:val="99"/>
    <w:semiHidden/>
    <w:unhideWhenUsed/>
    <w:rsid w:val="00103744"/>
    <w:pPr>
      <w:spacing w:before="100" w:beforeAutospacing="1" w:after="100" w:afterAutospacing="1" w:line="240" w:lineRule="auto"/>
    </w:pPr>
    <w:rPr>
      <w:rFonts w:ascii="Times New Roman" w:eastAsia="Times New Roman" w:hAnsi="Times New Roman" w:cs="Times New Roman"/>
      <w:kern w:val="0"/>
      <w:sz w:val="24"/>
      <w:szCs w:val="24"/>
      <w:lang w:val="en-ID"/>
      <w14:ligatures w14:val="none"/>
    </w:rPr>
  </w:style>
  <w:style w:type="paragraph" w:styleId="Header">
    <w:name w:val="header"/>
    <w:basedOn w:val="Normal"/>
    <w:link w:val="HeaderChar"/>
    <w:uiPriority w:val="99"/>
    <w:unhideWhenUsed/>
    <w:rsid w:val="00AC48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AC4844"/>
    <w:rPr>
      <w:lang w:val="id-ID"/>
    </w:rPr>
  </w:style>
  <w:style w:type="paragraph" w:styleId="Footer">
    <w:name w:val="footer"/>
    <w:basedOn w:val="Normal"/>
    <w:link w:val="FooterChar"/>
    <w:uiPriority w:val="99"/>
    <w:unhideWhenUsed/>
    <w:rsid w:val="00AC4844"/>
    <w:pPr>
      <w:tabs>
        <w:tab w:val="center" w:pos="4153"/>
        <w:tab w:val="right" w:pos="8306"/>
      </w:tabs>
      <w:spacing w:after="0" w:line="240" w:lineRule="auto"/>
    </w:pPr>
  </w:style>
  <w:style w:type="character" w:customStyle="1" w:styleId="FooterChar">
    <w:name w:val="Footer Char"/>
    <w:basedOn w:val="DefaultParagraphFont"/>
    <w:link w:val="Footer"/>
    <w:uiPriority w:val="99"/>
    <w:rsid w:val="00AC4844"/>
    <w:rPr>
      <w:lang w:val="id-ID"/>
    </w:rPr>
  </w:style>
  <w:style w:type="paragraph" w:styleId="FootnoteText">
    <w:name w:val="footnote text"/>
    <w:aliases w:val="Char Char1,Char Char Char,Footnote Text1 Char,Char Char,Footnote Text2 Char,Footnote Text1, Char,Char,Footnote Text2,Char1"/>
    <w:basedOn w:val="Normal"/>
    <w:link w:val="FootnoteTextChar"/>
    <w:uiPriority w:val="99"/>
    <w:unhideWhenUsed/>
    <w:qFormat/>
    <w:rsid w:val="00583B7D"/>
    <w:pPr>
      <w:spacing w:after="0" w:line="240" w:lineRule="auto"/>
    </w:pPr>
    <w:rPr>
      <w:sz w:val="20"/>
      <w:szCs w:val="20"/>
    </w:rPr>
  </w:style>
  <w:style w:type="character" w:customStyle="1" w:styleId="FootnoteTextChar">
    <w:name w:val="Footnote Text Char"/>
    <w:aliases w:val="Char Char1 Char,Char Char Char Char,Footnote Text1 Char Char,Char Char Char1,Footnote Text2 Char Char,Footnote Text1 Char1, Char Char,Char Char2,Footnote Text2 Char1,Char1 Char"/>
    <w:basedOn w:val="DefaultParagraphFont"/>
    <w:link w:val="FootnoteText"/>
    <w:uiPriority w:val="99"/>
    <w:qFormat/>
    <w:rsid w:val="00583B7D"/>
    <w:rPr>
      <w:sz w:val="20"/>
      <w:szCs w:val="20"/>
      <w:lang w:val="id-ID"/>
    </w:rPr>
  </w:style>
  <w:style w:type="character" w:styleId="FootnoteReference">
    <w:name w:val="footnote reference"/>
    <w:basedOn w:val="DefaultParagraphFont"/>
    <w:uiPriority w:val="99"/>
    <w:unhideWhenUsed/>
    <w:qFormat/>
    <w:rsid w:val="00583B7D"/>
    <w:rPr>
      <w:vertAlign w:val="superscript"/>
    </w:rPr>
  </w:style>
  <w:style w:type="character" w:styleId="UnresolvedMention">
    <w:name w:val="Unresolved Mention"/>
    <w:basedOn w:val="DefaultParagraphFont"/>
    <w:uiPriority w:val="99"/>
    <w:semiHidden/>
    <w:unhideWhenUsed/>
    <w:rsid w:val="009D64BE"/>
    <w:rPr>
      <w:color w:val="605E5C"/>
      <w:shd w:val="clear" w:color="auto" w:fill="E1DFDD"/>
    </w:rPr>
  </w:style>
  <w:style w:type="character" w:styleId="Strong">
    <w:name w:val="Strong"/>
    <w:basedOn w:val="DefaultParagraphFont"/>
    <w:uiPriority w:val="22"/>
    <w:qFormat/>
    <w:rsid w:val="00857F96"/>
    <w:rPr>
      <w:b/>
      <w:bCs/>
    </w:rPr>
  </w:style>
  <w:style w:type="character" w:styleId="Emphasis">
    <w:name w:val="Emphasis"/>
    <w:basedOn w:val="DefaultParagraphFont"/>
    <w:uiPriority w:val="20"/>
    <w:qFormat/>
    <w:rsid w:val="00857F96"/>
    <w:rPr>
      <w:i/>
      <w:iCs/>
    </w:rPr>
  </w:style>
  <w:style w:type="character" w:customStyle="1" w:styleId="SubJudulTemplateChar">
    <w:name w:val="Sub Judul Template Char"/>
    <w:basedOn w:val="DefaultParagraphFont"/>
    <w:link w:val="SubJudulTemplate"/>
    <w:locked/>
    <w:rsid w:val="00522FB7"/>
    <w:rPr>
      <w:rFonts w:ascii="Times New Roman" w:eastAsia="Arial" w:hAnsi="Times New Roman" w:cs="Times New Roman"/>
      <w:b/>
      <w:bCs/>
      <w:sz w:val="24"/>
      <w:szCs w:val="24"/>
      <w:lang w:val="id-ID"/>
    </w:rPr>
  </w:style>
  <w:style w:type="paragraph" w:customStyle="1" w:styleId="SubJudulTemplate">
    <w:name w:val="Sub Judul Template"/>
    <w:basedOn w:val="Normal"/>
    <w:link w:val="SubJudulTemplateChar"/>
    <w:qFormat/>
    <w:rsid w:val="00522FB7"/>
    <w:pPr>
      <w:spacing w:after="0" w:line="360" w:lineRule="auto"/>
      <w:ind w:left="284" w:hanging="284"/>
      <w:jc w:val="both"/>
    </w:pPr>
    <w:rPr>
      <w:rFonts w:ascii="Times New Roman" w:eastAsia="Arial" w:hAnsi="Times New Roman" w:cs="Times New Roman"/>
      <w:b/>
      <w:bCs/>
      <w:sz w:val="24"/>
      <w:szCs w:val="24"/>
    </w:rPr>
  </w:style>
  <w:style w:type="character" w:customStyle="1" w:styleId="FootnoteCharacters">
    <w:name w:val="Footnote Characters"/>
    <w:uiPriority w:val="99"/>
    <w:qFormat/>
    <w:rsid w:val="00522F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83774">
      <w:bodyDiv w:val="1"/>
      <w:marLeft w:val="0"/>
      <w:marRight w:val="0"/>
      <w:marTop w:val="0"/>
      <w:marBottom w:val="0"/>
      <w:divBdr>
        <w:top w:val="none" w:sz="0" w:space="0" w:color="auto"/>
        <w:left w:val="none" w:sz="0" w:space="0" w:color="auto"/>
        <w:bottom w:val="none" w:sz="0" w:space="0" w:color="auto"/>
        <w:right w:val="none" w:sz="0" w:space="0" w:color="auto"/>
      </w:divBdr>
    </w:div>
    <w:div w:id="912279937">
      <w:bodyDiv w:val="1"/>
      <w:marLeft w:val="0"/>
      <w:marRight w:val="0"/>
      <w:marTop w:val="0"/>
      <w:marBottom w:val="0"/>
      <w:divBdr>
        <w:top w:val="none" w:sz="0" w:space="0" w:color="auto"/>
        <w:left w:val="none" w:sz="0" w:space="0" w:color="auto"/>
        <w:bottom w:val="none" w:sz="0" w:space="0" w:color="auto"/>
        <w:right w:val="none" w:sz="0" w:space="0" w:color="auto"/>
      </w:divBdr>
    </w:div>
    <w:div w:id="948001628">
      <w:bodyDiv w:val="1"/>
      <w:marLeft w:val="0"/>
      <w:marRight w:val="0"/>
      <w:marTop w:val="0"/>
      <w:marBottom w:val="0"/>
      <w:divBdr>
        <w:top w:val="none" w:sz="0" w:space="0" w:color="auto"/>
        <w:left w:val="none" w:sz="0" w:space="0" w:color="auto"/>
        <w:bottom w:val="none" w:sz="0" w:space="0" w:color="auto"/>
        <w:right w:val="none" w:sz="0" w:space="0" w:color="auto"/>
      </w:divBdr>
    </w:div>
    <w:div w:id="1081952268">
      <w:bodyDiv w:val="1"/>
      <w:marLeft w:val="0"/>
      <w:marRight w:val="0"/>
      <w:marTop w:val="0"/>
      <w:marBottom w:val="0"/>
      <w:divBdr>
        <w:top w:val="none" w:sz="0" w:space="0" w:color="auto"/>
        <w:left w:val="none" w:sz="0" w:space="0" w:color="auto"/>
        <w:bottom w:val="none" w:sz="0" w:space="0" w:color="auto"/>
        <w:right w:val="none" w:sz="0" w:space="0" w:color="auto"/>
      </w:divBdr>
    </w:div>
    <w:div w:id="1340892164">
      <w:bodyDiv w:val="1"/>
      <w:marLeft w:val="0"/>
      <w:marRight w:val="0"/>
      <w:marTop w:val="0"/>
      <w:marBottom w:val="0"/>
      <w:divBdr>
        <w:top w:val="none" w:sz="0" w:space="0" w:color="auto"/>
        <w:left w:val="none" w:sz="0" w:space="0" w:color="auto"/>
        <w:bottom w:val="none" w:sz="0" w:space="0" w:color="auto"/>
        <w:right w:val="none" w:sz="0" w:space="0" w:color="auto"/>
      </w:divBdr>
    </w:div>
    <w:div w:id="1609774641">
      <w:bodyDiv w:val="1"/>
      <w:marLeft w:val="0"/>
      <w:marRight w:val="0"/>
      <w:marTop w:val="0"/>
      <w:marBottom w:val="0"/>
      <w:divBdr>
        <w:top w:val="none" w:sz="0" w:space="0" w:color="auto"/>
        <w:left w:val="none" w:sz="0" w:space="0" w:color="auto"/>
        <w:bottom w:val="none" w:sz="0" w:space="0" w:color="auto"/>
        <w:right w:val="none" w:sz="0" w:space="0" w:color="auto"/>
      </w:divBdr>
    </w:div>
    <w:div w:id="1610552200">
      <w:bodyDiv w:val="1"/>
      <w:marLeft w:val="0"/>
      <w:marRight w:val="0"/>
      <w:marTop w:val="0"/>
      <w:marBottom w:val="0"/>
      <w:divBdr>
        <w:top w:val="none" w:sz="0" w:space="0" w:color="auto"/>
        <w:left w:val="none" w:sz="0" w:space="0" w:color="auto"/>
        <w:bottom w:val="none" w:sz="0" w:space="0" w:color="auto"/>
        <w:right w:val="none" w:sz="0" w:space="0" w:color="auto"/>
      </w:divBdr>
    </w:div>
    <w:div w:id="1688363087">
      <w:bodyDiv w:val="1"/>
      <w:marLeft w:val="0"/>
      <w:marRight w:val="0"/>
      <w:marTop w:val="0"/>
      <w:marBottom w:val="0"/>
      <w:divBdr>
        <w:top w:val="none" w:sz="0" w:space="0" w:color="auto"/>
        <w:left w:val="none" w:sz="0" w:space="0" w:color="auto"/>
        <w:bottom w:val="none" w:sz="0" w:space="0" w:color="auto"/>
        <w:right w:val="none" w:sz="0" w:space="0" w:color="auto"/>
      </w:divBdr>
    </w:div>
    <w:div w:id="1771972364">
      <w:bodyDiv w:val="1"/>
      <w:marLeft w:val="0"/>
      <w:marRight w:val="0"/>
      <w:marTop w:val="0"/>
      <w:marBottom w:val="0"/>
      <w:divBdr>
        <w:top w:val="none" w:sz="0" w:space="0" w:color="auto"/>
        <w:left w:val="none" w:sz="0" w:space="0" w:color="auto"/>
        <w:bottom w:val="none" w:sz="0" w:space="0" w:color="auto"/>
        <w:right w:val="none" w:sz="0" w:space="0" w:color="auto"/>
      </w:divBdr>
    </w:div>
    <w:div w:id="210923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eryasin@syariah.uin-malang.ac.id" TargetMode="External"/><Relationship Id="rId13" Type="http://schemas.openxmlformats.org/officeDocument/2006/relationships/hyperlink" Target="mailto:musa@syariah.uin-malang.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oeryasin@syariah.uin-malang.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sa@syariah.uin-malang.ac.i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oeryasin@syariah.uin-malang.ac.id" TargetMode="External"/><Relationship Id="rId4" Type="http://schemas.openxmlformats.org/officeDocument/2006/relationships/settings" Target="settings.xml"/><Relationship Id="rId9" Type="http://schemas.openxmlformats.org/officeDocument/2006/relationships/hyperlink" Target="mailto:musa@syariah.uin-malang.ac.id"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history.nebraska.gov/equality-before-the-law-thoughts-on-the-origin-of-nebraskas-state-motto/" TargetMode="External"/><Relationship Id="rId2" Type="http://schemas.openxmlformats.org/officeDocument/2006/relationships/hyperlink" Target="https://www.britannica.com/event/Peloponnesian-War" TargetMode="External"/><Relationship Id="rId1" Type="http://schemas.openxmlformats.org/officeDocument/2006/relationships/hyperlink" Target="https://www.hukumonline.com/berita/a/hak-konstitusional-warga-negara-lt640908f758dd9/" TargetMode="External"/><Relationship Id="rId5" Type="http://schemas.openxmlformats.org/officeDocument/2006/relationships/hyperlink" Target="https://www.hukumonline.com/klinik/a/apa-definisi-ketertiban-umum" TargetMode="External"/><Relationship Id="rId4" Type="http://schemas.openxmlformats.org/officeDocument/2006/relationships/hyperlink" Target="https://www.metrotvnews.com/play/NnjC7LWL-pasangan-beda-agama-bisa-menikah-di-5-negara-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8A4DC-92E5-47EA-BC1A-EB56D6131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18226</TotalTime>
  <Pages>24</Pages>
  <Words>11232</Words>
  <Characters>64024</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Musa Taklima</dc:creator>
  <cp:keywords/>
  <dc:description/>
  <cp:lastModifiedBy>MUSATAKLIMA</cp:lastModifiedBy>
  <cp:revision>33</cp:revision>
  <dcterms:created xsi:type="dcterms:W3CDTF">2023-07-27T02:12:00Z</dcterms:created>
  <dcterms:modified xsi:type="dcterms:W3CDTF">2023-08-25T13:44:00Z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c57ceed4-6579-313c-93f2-3e71fac56b10</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http://www.zotero.org/styles/oscola</vt:lpwstr>
  </property>
  <property fmtid="{D5CDD505-2E9C-101B-9397-08002B2CF9AE}" pid="20" name="Mendeley Recent Style Name 7_1">
    <vt:lpwstr>OSCOLA (Oxford University Standard for Citation of Legal Authorities)</vt:lpwstr>
  </property>
  <property fmtid="{D5CDD505-2E9C-101B-9397-08002B2CF9AE}" pid="21" name="Mendeley Recent Style Id 8_1">
    <vt:lpwstr>http://www.zotero.org/styles/oscola-no-ibid</vt:lpwstr>
  </property>
  <property fmtid="{D5CDD505-2E9C-101B-9397-08002B2CF9AE}" pid="22" name="Mendeley Recent Style Name 8_1">
    <vt:lpwstr>OSCOLA (Oxford University Standard for Citation of Legal Authorities) (no Ibid.)</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